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Maplebear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565394103**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SC US (TTGP), Ltd.</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2800 Sand Hill Road</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Suite 101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Menlo Park, CA 94025</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Roelof Botha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Telephone: (650) 854-3927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Craig Marcus</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800 Boylston Street</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Massachusetts 02199</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(617) 951-7802</w:t>
      </w:r>
    </w:p>
    <w:p>
      <w:pPr>
        <w:spacing w:after="0" w:line="2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5,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0" w:lineRule="exact"/>
        <w:rPr>
          <w:sz w:val="24"/>
          <w:szCs w:val="24"/>
          <w:color w:val="auto"/>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CUSIP number applies to the Issuer’s Class A Common Stock.</w:t>
      </w:r>
    </w:p>
    <w:p>
      <w:pPr>
        <w:spacing w:after="0" w:line="207"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USV XIV HOLDCO, LTD. (“SEQUOIA CAPITAL USV XIV HOLDCO”)</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2" w:name="page3"/>
    <w:bookmarkEnd w:id="2"/>
    <w:p>
      <w:pPr>
        <w:ind w:left="87" w:hanging="87"/>
        <w:spacing w:after="0"/>
        <w:tabs>
          <w:tab w:leader="none" w:pos="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U.S. GROWTH FUND VI, L.P. (“SEQUOIA CAPITAL U.S. GROWTH FUND VI”)</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3" w:name="page4"/>
    <w:bookmarkEnd w:id="3"/>
    <w:p>
      <w:pPr>
        <w:ind w:left="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SEQUOIA CAPITAL U.S. GROWTH VI PRINCIPALS FUND, L.P. (“SEQUOIA CAPITAL U.S. GROWTH VI PRINCIPALS FUND”)</w:t>
      </w:r>
    </w:p>
    <w:p>
      <w:pPr>
        <w:spacing w:after="0" w:line="36" w:lineRule="exact"/>
        <w:rPr>
          <w:sz w:val="20"/>
          <w:szCs w:val="20"/>
          <w:color w:val="auto"/>
        </w:rPr>
      </w:pPr>
    </w:p>
    <w:p>
      <w:pPr>
        <w:ind w:left="7"/>
        <w:spacing w:after="0"/>
        <w:tabs>
          <w:tab w:leader="none" w:pos="386"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  Check the Appropriate Box if a Member of a Group (See Instructions)</w:t>
      </w:r>
    </w:p>
    <w:p>
      <w:pPr>
        <w:spacing w:after="0" w:line="27"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1" w:lineRule="exact"/>
        <w:rPr>
          <w:sz w:val="20"/>
          <w:szCs w:val="20"/>
          <w:color w:val="auto"/>
        </w:rPr>
      </w:pPr>
    </w:p>
    <w:p>
      <w:pPr>
        <w:ind w:left="87" w:hanging="87"/>
        <w:spacing w:after="0"/>
        <w:tabs>
          <w:tab w:leader="none" w:pos="8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4" w:name="page5"/>
    <w:bookmarkEnd w:id="4"/>
    <w:p>
      <w:pPr>
        <w:ind w:left="87" w:hanging="87"/>
        <w:spacing w:after="0"/>
        <w:tabs>
          <w:tab w:leader="none" w:pos="8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GLOBAL GROWTH FUND II, L.P. (“SEQUOIA CAPITAL GLOBAL GROWTH FUND II”)</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4,405,162</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4,405,162</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4,405,162</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5" w:name="page6"/>
    <w:bookmarkEnd w:id="5"/>
    <w:p>
      <w:pPr>
        <w:ind w:left="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6249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32" w:lineRule="exact"/>
        <w:rPr>
          <w:sz w:val="20"/>
          <w:szCs w:val="20"/>
          <w:color w:val="auto"/>
        </w:rPr>
      </w:pPr>
    </w:p>
    <w:p>
      <w:pPr>
        <w:ind w:left="507" w:right="340"/>
        <w:spacing w:after="0" w:line="266" w:lineRule="auto"/>
        <w:rPr>
          <w:sz w:val="20"/>
          <w:szCs w:val="20"/>
          <w:color w:val="auto"/>
        </w:rPr>
      </w:pPr>
      <w:r>
        <w:rPr>
          <w:rFonts w:ascii="Times New Roman" w:cs="Times New Roman" w:eastAsia="Times New Roman" w:hAnsi="Times New Roman"/>
          <w:sz w:val="18"/>
          <w:szCs w:val="18"/>
          <w:color w:val="auto"/>
        </w:rPr>
        <w:t>SEQUOIA CAPITAL GLOBAL GROWTH II PRINCIPALS FUND, L.P. (“SEQUOIA CAPITAL GLOBAL GROWTH II PRINCIPALS FUND”)</w:t>
      </w:r>
    </w:p>
    <w:p>
      <w:pPr>
        <w:ind w:left="7"/>
        <w:spacing w:after="0"/>
        <w:tabs>
          <w:tab w:leader="none" w:pos="386"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  Check the Appropriate Box if a Member of a Group (See Instructions)</w:t>
      </w:r>
    </w:p>
    <w:p>
      <w:pPr>
        <w:spacing w:after="0" w:line="27"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1" w:lineRule="exact"/>
        <w:rPr>
          <w:sz w:val="20"/>
          <w:szCs w:val="20"/>
          <w:color w:val="auto"/>
        </w:rPr>
      </w:pPr>
    </w:p>
    <w:p>
      <w:pPr>
        <w:ind w:left="87" w:hanging="87"/>
        <w:spacing w:after="0"/>
        <w:tabs>
          <w:tab w:leader="none" w:pos="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68,020</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68,020</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68,020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0.1%</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6" w:name="page7"/>
    <w:bookmarkEnd w:id="6"/>
    <w:p>
      <w:pPr>
        <w:ind w:left="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SEQUOIA CAPITAL U.S. GROWTH FUND VII, L.P. (“SEQUOIA CAPITAL U.S. GROWTH FUND VII”)</w:t>
      </w:r>
    </w:p>
    <w:p>
      <w:pPr>
        <w:spacing w:after="0" w:line="36" w:lineRule="exact"/>
        <w:rPr>
          <w:sz w:val="20"/>
          <w:szCs w:val="20"/>
          <w:color w:val="auto"/>
        </w:rPr>
      </w:pPr>
    </w:p>
    <w:p>
      <w:pPr>
        <w:ind w:left="7"/>
        <w:spacing w:after="0"/>
        <w:tabs>
          <w:tab w:leader="none" w:pos="386"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  Check the Appropriate Box if a Member of a Group (See Instructions)</w:t>
      </w:r>
    </w:p>
    <w:p>
      <w:pPr>
        <w:spacing w:after="0" w:line="27"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1" w:lineRule="exact"/>
        <w:rPr>
          <w:sz w:val="20"/>
          <w:szCs w:val="20"/>
          <w:color w:val="auto"/>
        </w:rPr>
      </w:pPr>
    </w:p>
    <w:p>
      <w:pPr>
        <w:ind w:left="87" w:hanging="87"/>
        <w:spacing w:after="0"/>
        <w:tabs>
          <w:tab w:leader="none" w:pos="8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1,774,756</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1,774,756</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1,774,756</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7" w:name="page8"/>
    <w:bookmarkEnd w:id="7"/>
    <w:p>
      <w:pPr>
        <w:ind w:left="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SEQUOIA CAPITAL U.S. GROWTH VII PRINCIPALS FUND, L.P. (“SEQUOIA CAPITAL U.S. GROWTH VII PRINCIPALS FUND”)</w:t>
      </w:r>
    </w:p>
    <w:p>
      <w:pPr>
        <w:spacing w:after="0" w:line="36" w:lineRule="exact"/>
        <w:rPr>
          <w:sz w:val="20"/>
          <w:szCs w:val="20"/>
          <w:color w:val="auto"/>
        </w:rPr>
      </w:pPr>
    </w:p>
    <w:p>
      <w:pPr>
        <w:ind w:left="7"/>
        <w:spacing w:after="0"/>
        <w:tabs>
          <w:tab w:leader="none" w:pos="386"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  Check the Appropriate Box if a Member of a Group (See Instructions)</w:t>
      </w:r>
    </w:p>
    <w:p>
      <w:pPr>
        <w:spacing w:after="0" w:line="27"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1" w:lineRule="exact"/>
        <w:rPr>
          <w:sz w:val="20"/>
          <w:szCs w:val="20"/>
          <w:color w:val="auto"/>
        </w:rPr>
      </w:pPr>
    </w:p>
    <w:p>
      <w:pPr>
        <w:ind w:left="87" w:hanging="87"/>
        <w:spacing w:after="0"/>
        <w:tabs>
          <w:tab w:leader="none" w:pos="8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164,955</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164,955</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164,955</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0.1%</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8" w:name="page9"/>
    <w:bookmarkEnd w:id="8"/>
    <w:p>
      <w:pPr>
        <w:ind w:left="87" w:hanging="87"/>
        <w:spacing w:after="0"/>
        <w:tabs>
          <w:tab w:leader="none" w:pos="8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GLOBAL GROWTH FUND III - ENDURANCE PARTNERS, L.P. (“SC GGF III ”)</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351,374</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351,374</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351,374</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9" w:name="page10"/>
    <w:bookmarkEnd w:id="9"/>
    <w:p>
      <w:pPr>
        <w:ind w:left="87" w:hanging="87"/>
        <w:spacing w:after="0"/>
        <w:tabs>
          <w:tab w:leader="none" w:pos="8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US/E EXPANSION FUND I, L.P. (“SC US/E EXPANSION FUND I”)</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1,000,000</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1,000,000</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0" w:name="page11"/>
    <w:bookmarkEnd w:id="10"/>
    <w:p>
      <w:pPr>
        <w:ind w:left="87" w:hanging="87"/>
        <w:spacing w:after="0"/>
        <w:tabs>
          <w:tab w:leader="none" w:pos="8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US/E EXPANSION FUND I MANAGEMENT, L.P. (“SC US/E EXPANSION FUND I MGMT”)</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38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38619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sz w:val="20"/>
          <w:szCs w:val="20"/>
          <w:color w:val="auto"/>
        </w:rPr>
      </w:pPr>
    </w:p>
    <w:tbl>
      <w:tblPr>
        <w:tblLayout w:type="fixed"/>
        <w:tblInd w:w="47" w:type="dxa"/>
        <w:tblCellMar>
          <w:top w:w="0" w:type="dxa"/>
          <w:left w:w="0" w:type="dxa"/>
          <w:bottom w:w="0" w:type="dxa"/>
          <w:right w:w="0" w:type="dxa"/>
        </w:tblCellMar>
      </w:tblPr>
      <w:tr>
        <w:trPr>
          <w:trHeight w:val="24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30"/>
        </w:trPr>
        <w:tc>
          <w:tcPr>
            <w:tcW w:w="1020" w:type="dxa"/>
            <w:vAlign w:val="bottom"/>
            <w:vMerge w:val="continue"/>
          </w:tcPr>
          <w:p>
            <w:pPr>
              <w:spacing w:after="0"/>
              <w:rPr>
                <w:sz w:val="11"/>
                <w:szCs w:val="1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vMerge w:val="continue"/>
          </w:tcPr>
          <w:p>
            <w:pPr>
              <w:spacing w:after="0"/>
              <w:rPr>
                <w:sz w:val="9"/>
                <w:szCs w:val="9"/>
                <w:color w:val="auto"/>
              </w:rPr>
            </w:pPr>
          </w:p>
        </w:tc>
        <w:tc>
          <w:tcPr>
            <w:tcW w:w="9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18"/>
                <w:szCs w:val="18"/>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3,150,331 of which 1,000,000 shares are directly owned by SC US/E EXPANSION FUND I. The general partner of SC</w:t>
            </w:r>
          </w:p>
        </w:tc>
        <w:tc>
          <w:tcPr>
            <w:tcW w:w="0" w:type="dxa"/>
            <w:vAlign w:val="bottom"/>
          </w:tcPr>
          <w:p>
            <w:pPr>
              <w:spacing w:after="0"/>
              <w:rPr>
                <w:sz w:val="1"/>
                <w:szCs w:val="1"/>
                <w:color w:val="auto"/>
              </w:rPr>
            </w:pPr>
          </w:p>
        </w:tc>
      </w:tr>
      <w:tr>
        <w:trPr>
          <w:trHeight w:val="95"/>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US/E EXPANSION FUND I is SC US/E EXPANSION FUND I MGMT.</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440"/>
        <w:spacing w:after="0" w:line="266" w:lineRule="auto"/>
        <w:rPr>
          <w:sz w:val="20"/>
          <w:szCs w:val="20"/>
          <w:color w:val="auto"/>
        </w:rPr>
      </w:pPr>
      <w:r>
        <w:rPr>
          <w:rFonts w:ascii="Times New Roman" w:cs="Times New Roman" w:eastAsia="Times New Roman" w:hAnsi="Times New Roman"/>
          <w:sz w:val="18"/>
          <w:szCs w:val="18"/>
          <w:color w:val="auto"/>
        </w:rPr>
        <w:t>3,150,331 of which 1,000,000 shares are directly owned by SC US/E EXPANSION FUND I. The general partner of SC US/E EXPANSION FUND I is SC US/E EXPANSION FUND I MGMT.</w:t>
      </w: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3,150,331</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26"/>
          <w:szCs w:val="26"/>
          <w:color w:val="auto"/>
          <w:vertAlign w:val="subscript"/>
        </w:rPr>
        <w:t xml:space="preserve">  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1" w:name="page12"/>
    <w:bookmarkEnd w:id="11"/>
    <w:p>
      <w:pPr>
        <w:ind w:left="87" w:hanging="87"/>
        <w:spacing w:after="0"/>
        <w:tabs>
          <w:tab w:leader="none" w:pos="8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U.S. VENTURE FUND XIV, L.P. (“SC U.S. VENTURE FUND XIV”)</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934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693483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rFonts w:ascii="Times New Roman" w:cs="Times New Roman" w:eastAsia="Times New Roman" w:hAnsi="Times New Roman"/>
          <w:sz w:val="16"/>
          <w:szCs w:val="16"/>
          <w:color w:val="auto"/>
        </w:rPr>
      </w:pPr>
    </w:p>
    <w:p>
      <w:pPr>
        <w:ind w:left="1687" w:hanging="89"/>
        <w:spacing w:after="0"/>
        <w:tabs>
          <w:tab w:leader="none" w:pos="1687" w:val="left"/>
        </w:tabs>
        <w:numPr>
          <w:ilvl w:val="3"/>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1247" w:hanging="81"/>
        <w:spacing w:after="0"/>
        <w:tabs>
          <w:tab w:leader="none" w:pos="1247" w:val="left"/>
        </w:tabs>
        <w:numPr>
          <w:ilvl w:val="2"/>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Shared Voting Power</w:t>
      </w:r>
    </w:p>
    <w:p>
      <w:pPr>
        <w:spacing w:after="0" w:line="181" w:lineRule="exact"/>
        <w:rPr>
          <w:sz w:val="20"/>
          <w:szCs w:val="20"/>
          <w:color w:val="auto"/>
        </w:rPr>
      </w:pPr>
    </w:p>
    <w:tbl>
      <w:tblPr>
        <w:tblLayout w:type="fixed"/>
        <w:tblInd w:w="47"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w:t>
            </w:r>
          </w:p>
        </w:tc>
        <w:tc>
          <w:tcPr>
            <w:tcW w:w="0" w:type="dxa"/>
            <w:vAlign w:val="bottom"/>
          </w:tcPr>
          <w:p>
            <w:pPr>
              <w:spacing w:after="0"/>
              <w:rPr>
                <w:sz w:val="1"/>
                <w:szCs w:val="1"/>
                <w:color w:val="auto"/>
              </w:rPr>
            </w:pPr>
          </w:p>
        </w:tc>
      </w:tr>
      <w:tr>
        <w:trPr>
          <w:trHeight w:val="95"/>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FUND XIV, SEQUOIA CAPITAL U.S. VENTURE PARTNERS FUND XIV and SEQUOIA CAPITAL U.S.</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PARTNERS FUND XIV (Q), together, own 100% of the outstanding shares of SEQUOIA CAPITAL USV XIV</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HOLDCO.</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120"/>
        <w:spacing w:after="0" w:line="258" w:lineRule="auto"/>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 VENTURE FUND XIV, SEQUOIA CAPITAL U.S. VENTURE PARTNERS FUND XIV and SEQUOIA CAPITAL U.S. VENTURE PARTNERS FUND XIV (Q), together, own 100% of the outstanding shares of SEQUOIA CAPITAL USV XIV HOLDCO.</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1</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2" w:name="page13"/>
    <w:bookmarkEnd w:id="12"/>
    <w:p>
      <w:pPr>
        <w:ind w:left="87" w:hanging="87"/>
        <w:spacing w:after="0"/>
        <w:tabs>
          <w:tab w:leader="none" w:pos="8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U.S. VENTURE PARTNERS FUND XIV, L.P. (“SC U.S. VENTURE PARTNERS FUND XIV”)</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934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693483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rFonts w:ascii="Times New Roman" w:cs="Times New Roman" w:eastAsia="Times New Roman" w:hAnsi="Times New Roman"/>
          <w:sz w:val="16"/>
          <w:szCs w:val="16"/>
          <w:color w:val="auto"/>
        </w:rPr>
      </w:pPr>
    </w:p>
    <w:p>
      <w:pPr>
        <w:ind w:left="1687" w:hanging="89"/>
        <w:spacing w:after="0"/>
        <w:tabs>
          <w:tab w:leader="none" w:pos="1687" w:val="left"/>
        </w:tabs>
        <w:numPr>
          <w:ilvl w:val="3"/>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1247" w:hanging="81"/>
        <w:spacing w:after="0"/>
        <w:tabs>
          <w:tab w:leader="none" w:pos="1247" w:val="left"/>
        </w:tabs>
        <w:numPr>
          <w:ilvl w:val="2"/>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Shared Voting Power</w:t>
      </w:r>
    </w:p>
    <w:p>
      <w:pPr>
        <w:spacing w:after="0" w:line="181" w:lineRule="exact"/>
        <w:rPr>
          <w:sz w:val="20"/>
          <w:szCs w:val="20"/>
          <w:color w:val="auto"/>
        </w:rPr>
      </w:pPr>
    </w:p>
    <w:tbl>
      <w:tblPr>
        <w:tblLayout w:type="fixed"/>
        <w:tblInd w:w="47"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w:t>
            </w:r>
          </w:p>
        </w:tc>
        <w:tc>
          <w:tcPr>
            <w:tcW w:w="0" w:type="dxa"/>
            <w:vAlign w:val="bottom"/>
          </w:tcPr>
          <w:p>
            <w:pPr>
              <w:spacing w:after="0"/>
              <w:rPr>
                <w:sz w:val="1"/>
                <w:szCs w:val="1"/>
                <w:color w:val="auto"/>
              </w:rPr>
            </w:pPr>
          </w:p>
        </w:tc>
      </w:tr>
      <w:tr>
        <w:trPr>
          <w:trHeight w:val="95"/>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FUND XIV, SEQUOIA CAPITAL U.S. VENTURE PARTNERS FUND XIV and SEQUOIA CAPITAL U.S.</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PARTNERS FUND XIV (Q), together, own 100% of the outstanding shares of SEQUOIA CAPITAL USV XIV</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HOLDCO.</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120"/>
        <w:spacing w:after="0" w:line="258" w:lineRule="auto"/>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 VENTURE FUND XIV, SEQUOIA CAPITAL U.S. VENTURE PARTNERS FUND XIV and SEQUOIA CAPITAL U.S. VENTURE PARTNERS FUND XIV (Q), together, own 100% of the outstanding shares of SEQUOIA CAPITAL USV XIV HOLDCO.</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3" w:name="page14"/>
    <w:bookmarkEnd w:id="13"/>
    <w:p>
      <w:pPr>
        <w:ind w:left="87" w:hanging="87"/>
        <w:spacing w:after="0"/>
        <w:tabs>
          <w:tab w:leader="none" w:pos="8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U.S. VENTURE PARTNERS FUND XIV (Q), L.P. (“SC U.S. VENTURE FUND XIV (Q)”)</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934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693483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rFonts w:ascii="Times New Roman" w:cs="Times New Roman" w:eastAsia="Times New Roman" w:hAnsi="Times New Roman"/>
          <w:sz w:val="16"/>
          <w:szCs w:val="16"/>
          <w:color w:val="auto"/>
        </w:rPr>
      </w:pPr>
    </w:p>
    <w:p>
      <w:pPr>
        <w:ind w:left="1687" w:hanging="89"/>
        <w:spacing w:after="0"/>
        <w:tabs>
          <w:tab w:leader="none" w:pos="1687" w:val="left"/>
        </w:tabs>
        <w:numPr>
          <w:ilvl w:val="3"/>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1247" w:hanging="81"/>
        <w:spacing w:after="0"/>
        <w:tabs>
          <w:tab w:leader="none" w:pos="1247"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Shared Voting Power</w:t>
      </w:r>
    </w:p>
    <w:p>
      <w:pPr>
        <w:spacing w:after="0" w:line="181" w:lineRule="exact"/>
        <w:rPr>
          <w:sz w:val="20"/>
          <w:szCs w:val="20"/>
          <w:color w:val="auto"/>
        </w:rPr>
      </w:pPr>
    </w:p>
    <w:tbl>
      <w:tblPr>
        <w:tblLayout w:type="fixed"/>
        <w:tblInd w:w="47"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FUND XIV, SEQUOIA CAPITAL U.S. VENTURE PARTNERS FUND XIV and SEQUOIA CAPITAL U.S.</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PARTNERS FUND XIV (Q), together, own 100% of the outstanding shares of SEQUOIA CAPITAL USV XIV</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HOLDCO.</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120"/>
        <w:spacing w:after="0" w:line="258" w:lineRule="auto"/>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 VENTURE FUND XIV, SEQUOIA CAPITAL U.S. VENTURE PARTNERS FUND XIV and SEQUOIA CAPITAL U.S. VENTURE PARTNERS FUND XIV (Q), together, own 100% of the outstanding shares of SEQUOIA CAPITAL USV XIV HOLDCO.</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4" w:name="page15"/>
    <w:bookmarkEnd w:id="14"/>
    <w:p>
      <w:pPr>
        <w:ind w:left="87" w:hanging="87"/>
        <w:spacing w:after="0"/>
        <w:tabs>
          <w:tab w:leader="none" w:pos="8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U.S. VENTURE XIV MANAGEMENT, L.P. (“SC U.S. VENTURE XIV MANAGEMENT”)</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7483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748347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rFonts w:ascii="Times New Roman" w:cs="Times New Roman" w:eastAsia="Times New Roman" w:hAnsi="Times New Roman"/>
          <w:sz w:val="16"/>
          <w:szCs w:val="16"/>
          <w:color w:val="auto"/>
        </w:rPr>
      </w:pPr>
    </w:p>
    <w:p>
      <w:pPr>
        <w:ind w:left="1687" w:hanging="89"/>
        <w:spacing w:after="0"/>
        <w:tabs>
          <w:tab w:leader="none" w:pos="1687" w:val="left"/>
        </w:tabs>
        <w:numPr>
          <w:ilvl w:val="3"/>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1247" w:hanging="81"/>
        <w:spacing w:after="0"/>
        <w:tabs>
          <w:tab w:leader="none" w:pos="1247"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Shared Voting Power</w:t>
      </w:r>
    </w:p>
    <w:p>
      <w:pPr>
        <w:spacing w:after="0" w:line="275" w:lineRule="exact"/>
        <w:rPr>
          <w:sz w:val="20"/>
          <w:szCs w:val="20"/>
          <w:color w:val="auto"/>
        </w:rPr>
      </w:pPr>
    </w:p>
    <w:tbl>
      <w:tblPr>
        <w:tblLayout w:type="fixed"/>
        <w:tblInd w:w="47"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w:t>
            </w:r>
          </w:p>
        </w:tc>
        <w:tc>
          <w:tcPr>
            <w:tcW w:w="0" w:type="dxa"/>
            <w:vAlign w:val="bottom"/>
          </w:tcPr>
          <w:p>
            <w:pPr>
              <w:spacing w:after="0"/>
              <w:rPr>
                <w:sz w:val="1"/>
                <w:szCs w:val="1"/>
                <w:color w:val="auto"/>
              </w:rPr>
            </w:pPr>
          </w:p>
        </w:tc>
      </w:tr>
      <w:tr>
        <w:trPr>
          <w:trHeight w:val="21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VENTURE FUND XIV, SEQUOIA CAPITAL U.S. VENTURE PARTNERS FUND XIV and SEQUOIA CAPITAL U.S.</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PARTNERS FUND XIV (Q), together, own 100% of the outstanding shares of SEQUOIA CAPITAL USV XIV</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HOLDCO. The General Partner of each of SEQUOIA CAPITAL U.S. VENTURE FUND XIV, SEQUOIA CAPITAL U.S.</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PARTNERS FUND XIV and SEQUOIA CAPITAL U.S. VENTURE PARTNERS FUND XIV (Q) is SC U.S.</w:t>
            </w:r>
          </w:p>
        </w:tc>
        <w:tc>
          <w:tcPr>
            <w:tcW w:w="0" w:type="dxa"/>
            <w:vAlign w:val="bottom"/>
          </w:tcPr>
          <w:p>
            <w:pPr>
              <w:spacing w:after="0"/>
              <w:rPr>
                <w:sz w:val="1"/>
                <w:szCs w:val="1"/>
                <w:color w:val="auto"/>
              </w:rPr>
            </w:pPr>
          </w:p>
        </w:tc>
      </w:tr>
      <w:tr>
        <w:trPr>
          <w:trHeight w:val="95"/>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VENTURE XIV MANAGEMENT.</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120"/>
        <w:spacing w:after="0" w:line="255" w:lineRule="auto"/>
        <w:rPr>
          <w:sz w:val="20"/>
          <w:szCs w:val="20"/>
          <w:color w:val="auto"/>
        </w:rPr>
      </w:pPr>
      <w:r>
        <w:rPr>
          <w:rFonts w:ascii="Times New Roman" w:cs="Times New Roman" w:eastAsia="Times New Roman" w:hAnsi="Times New Roman"/>
          <w:sz w:val="18"/>
          <w:szCs w:val="18"/>
          <w:color w:val="auto"/>
        </w:rPr>
        <w:t>0 shares, of which 0 shares are directly owned by SEQUOIA CAPITAL USV XIV HOLDCO. SEQUOIA CAPITAL U.S. VENTURE FUND XIV, SEQUOIA CAPITAL U.S. VENTURE PARTNERS FUND XIV and SEQUOIA CAPITAL U.S. VENTURE PARTNERS FUND XIV (Q), together, own 100% of the outstanding shares of SEQUOIA CAPITAL USV XIV HOLDCO. The General Partner of each of SEQUOIA CAPITAL U.S. VENTURE FUND XIV, SEQUOIA CAPITAL U.S. VENTURE PARTNERS FUND XIV and SEQUOIA CAPITAL U.S. VENTURE PARTNERS FUND XIV (Q) is SC U.S. VENTURE XIV MANAGEMENT.</w:t>
      </w:r>
    </w:p>
    <w:p>
      <w:pPr>
        <w:spacing w:after="0" w:line="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5" w:name="page16"/>
    <w:bookmarkEnd w:id="15"/>
    <w:p>
      <w:pPr>
        <w:ind w:left="87" w:hanging="87"/>
        <w:spacing w:after="0"/>
        <w:tabs>
          <w:tab w:leader="none" w:pos="8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U.S. GROWTH VI MANAGEMENT, L.P. (“SC U.S. GROWTH VI MANAGEMENT”)</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934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693483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rFonts w:ascii="Times New Roman" w:cs="Times New Roman" w:eastAsia="Times New Roman" w:hAnsi="Times New Roman"/>
          <w:sz w:val="16"/>
          <w:szCs w:val="16"/>
          <w:color w:val="auto"/>
        </w:rPr>
      </w:pPr>
    </w:p>
    <w:p>
      <w:pPr>
        <w:ind w:left="1687" w:hanging="89"/>
        <w:spacing w:after="0"/>
        <w:tabs>
          <w:tab w:leader="none" w:pos="1687" w:val="left"/>
        </w:tabs>
        <w:numPr>
          <w:ilvl w:val="3"/>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1247" w:hanging="81"/>
        <w:spacing w:after="0"/>
        <w:tabs>
          <w:tab w:leader="none" w:pos="1247" w:val="left"/>
        </w:tabs>
        <w:numPr>
          <w:ilvl w:val="2"/>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Shared Voting Power</w:t>
      </w:r>
    </w:p>
    <w:p>
      <w:pPr>
        <w:spacing w:after="0" w:line="181" w:lineRule="exact"/>
        <w:rPr>
          <w:sz w:val="20"/>
          <w:szCs w:val="20"/>
          <w:color w:val="auto"/>
        </w:rPr>
      </w:pPr>
    </w:p>
    <w:tbl>
      <w:tblPr>
        <w:tblLayout w:type="fixed"/>
        <w:tblInd w:w="47"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 shares, of which 0 shares are directly owned by SEQUOIA CAPITAL U.S. GROWTH FUND VI and 0 shares are directly</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owned by SEQUOIA CAPITAL U.S. GROWTH VI PRINCIPALS FUND. The General Partner of each of SEQUOIA</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CAPITAL U.S. GROWTH FUND VI and SEQUOIA CAPITAL U.S. GROWTH VI PRINCIPALS FUND is SC U.S.</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GROWTH VI MANAGEMENT.</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140"/>
        <w:spacing w:after="0" w:line="258" w:lineRule="auto"/>
        <w:rPr>
          <w:sz w:val="20"/>
          <w:szCs w:val="20"/>
          <w:color w:val="auto"/>
        </w:rPr>
      </w:pPr>
      <w:r>
        <w:rPr>
          <w:rFonts w:ascii="Times New Roman" w:cs="Times New Roman" w:eastAsia="Times New Roman" w:hAnsi="Times New Roman"/>
          <w:sz w:val="18"/>
          <w:szCs w:val="18"/>
          <w:color w:val="auto"/>
        </w:rPr>
        <w:t>0 shares, of which 0 shares are directly owned by SEQUOIA CAPITAL U.S. GROWTH FUND VI and 0 shares are directly owned by SEQUOIA CAPITAL U.S. GROWTH VI PRINCIPALS FUND. The General Partner of each of SEQUOIA CAPITAL U.S. GROWTH FUND VI and SEQUOIA CAPITAL U.S. GROWTH VI PRINCIPALS FUND is SC U.S. GROWTH VI MANAGEMENT.</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6" w:name="page17"/>
    <w:bookmarkEnd w:id="16"/>
    <w:p>
      <w:pPr>
        <w:ind w:left="87" w:hanging="87"/>
        <w:spacing w:after="0"/>
        <w:tabs>
          <w:tab w:leader="none" w:pos="8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GLOBAL GROWTH II MANAGEMENT, L.P. (“SC GLOBAL GROWTH II MANAGEMENT”)</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934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693483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rFonts w:ascii="Times New Roman" w:cs="Times New Roman" w:eastAsia="Times New Roman" w:hAnsi="Times New Roman"/>
          <w:sz w:val="16"/>
          <w:szCs w:val="16"/>
          <w:color w:val="auto"/>
        </w:rPr>
      </w:pPr>
    </w:p>
    <w:p>
      <w:pPr>
        <w:ind w:left="1687" w:hanging="89"/>
        <w:spacing w:after="0"/>
        <w:tabs>
          <w:tab w:leader="none" w:pos="1687" w:val="left"/>
        </w:tabs>
        <w:numPr>
          <w:ilvl w:val="3"/>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1247" w:hanging="81"/>
        <w:spacing w:after="0"/>
        <w:tabs>
          <w:tab w:leader="none" w:pos="1247"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Shared Voting Power</w:t>
      </w:r>
    </w:p>
    <w:p>
      <w:pPr>
        <w:spacing w:after="0" w:line="181" w:lineRule="exact"/>
        <w:rPr>
          <w:sz w:val="20"/>
          <w:szCs w:val="20"/>
          <w:color w:val="auto"/>
        </w:rPr>
      </w:pPr>
    </w:p>
    <w:tbl>
      <w:tblPr>
        <w:tblLayout w:type="fixed"/>
        <w:tblInd w:w="47"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4,473,182 shares, of which 4,405,162 shares are directly owned by SEQUOIA CAPITAL GLOBAL GROWTH FUND II and</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68,020 shares are directly owned by SEQUOIA CAPITAL GLOBAL GROWTH II PRINCIPALS FUND. The General</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Partner of each of SEQUOIA CAPITAL GLOBAL GROWTH FUND II and SEQUOIA CAPITAL GLOBAL GROWTH</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FUND II PRINCIPALS FUND is SC GLOBAL GROWTH II MANAGEMENT.</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180"/>
        <w:spacing w:after="0" w:line="258" w:lineRule="auto"/>
        <w:rPr>
          <w:sz w:val="20"/>
          <w:szCs w:val="20"/>
          <w:color w:val="auto"/>
        </w:rPr>
      </w:pPr>
      <w:r>
        <w:rPr>
          <w:rFonts w:ascii="Times New Roman" w:cs="Times New Roman" w:eastAsia="Times New Roman" w:hAnsi="Times New Roman"/>
          <w:sz w:val="18"/>
          <w:szCs w:val="18"/>
          <w:color w:val="auto"/>
        </w:rPr>
        <w:t>4,473,182 shares, of which 4,405,162 shares are directly owned by SEQUOIA CAPITAL GLOBAL GROWTH FUND II and 68,020 shares are directly owned by SEQUOIA CAPITAL GLOBAL GROWTH II PRINCIPALS FUND. The General Partner of each of SEQUOIA CAPITAL GLOBAL GROWTH FUND II and SEQUOIA CAPITAL GLOBAL GROWTH FUND II PRINCIPALS FUND is SC GLOBAL GROWTH II MANAGEMENT.</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4,473,182</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7" w:name="page18"/>
    <w:bookmarkEnd w:id="17"/>
    <w:p>
      <w:pPr>
        <w:ind w:left="87" w:hanging="87"/>
        <w:spacing w:after="0"/>
        <w:tabs>
          <w:tab w:leader="none" w:pos="8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SCGGF III – U.S./INDIA MANAGEMENT, L.P. (“SCGGF III – U.S./INDIA MANAGEMENT”)</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4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47" w:type="dxa"/>
        <w:tblCellMar>
          <w:top w:w="0" w:type="dxa"/>
          <w:left w:w="0" w:type="dxa"/>
          <w:bottom w:w="0" w:type="dxa"/>
          <w:right w:w="0" w:type="dxa"/>
        </w:tblCellMar>
      </w:tblPr>
      <w:tr>
        <w:trPr>
          <w:trHeight w:val="22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tcBorders>
          </w:tcPr>
          <w:p>
            <w:pPr>
              <w:spacing w:after="0"/>
              <w:rPr>
                <w:sz w:val="5"/>
                <w:szCs w:val="5"/>
                <w:color w:val="auto"/>
              </w:rPr>
            </w:pPr>
          </w:p>
        </w:tc>
        <w:tc>
          <w:tcPr>
            <w:tcW w:w="9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9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1,217,532</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9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07"/>
        <w:spacing w:after="0"/>
        <w:rPr>
          <w:sz w:val="20"/>
          <w:szCs w:val="20"/>
          <w:color w:val="auto"/>
        </w:rPr>
      </w:pPr>
      <w:r>
        <w:rPr>
          <w:rFonts w:ascii="Times New Roman" w:cs="Times New Roman" w:eastAsia="Times New Roman" w:hAnsi="Times New Roman"/>
          <w:sz w:val="18"/>
          <w:szCs w:val="18"/>
          <w:color w:val="auto"/>
        </w:rPr>
        <w:t>  1,217,532</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1,217,532</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4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0.5% </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8" w:name="page19"/>
    <w:bookmarkEnd w:id="18"/>
    <w:p>
      <w:pPr>
        <w:ind w:left="87" w:hanging="87"/>
        <w:spacing w:after="0"/>
        <w:tabs>
          <w:tab w:leader="none" w:pos="8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U.S. GROWTH VII MANAGEMENT, L.P. (“SC U.S. GROWTH VII MANAGEMENT”)</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934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6580" cy="6934835"/>
                    </a:xfrm>
                    <a:prstGeom prst="rect">
                      <a:avLst/>
                    </a:prstGeom>
                    <a:noFill/>
                  </pic:spPr>
                </pic:pic>
              </a:graphicData>
            </a:graphic>
          </wp:anchor>
        </w:drawing>
      </w:r>
    </w:p>
    <w:p>
      <w:pPr>
        <w:spacing w:after="0" w:line="14"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rFonts w:ascii="Times New Roman" w:cs="Times New Roman" w:eastAsia="Times New Roman" w:hAnsi="Times New Roman"/>
          <w:sz w:val="16"/>
          <w:szCs w:val="16"/>
          <w:color w:val="auto"/>
        </w:rPr>
      </w:pPr>
    </w:p>
    <w:p>
      <w:pPr>
        <w:ind w:left="1687" w:hanging="89"/>
        <w:spacing w:after="0"/>
        <w:tabs>
          <w:tab w:leader="none" w:pos="1687" w:val="left"/>
        </w:tabs>
        <w:numPr>
          <w:ilvl w:val="3"/>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w:t>
      </w:r>
    </w:p>
    <w:p>
      <w:pPr>
        <w:spacing w:after="0" w:line="47" w:lineRule="exact"/>
        <w:rPr>
          <w:rFonts w:ascii="Times New Roman" w:cs="Times New Roman" w:eastAsia="Times New Roman" w:hAnsi="Times New Roman"/>
          <w:sz w:val="17"/>
          <w:szCs w:val="17"/>
          <w:color w:val="auto"/>
        </w:rPr>
      </w:pPr>
    </w:p>
    <w:p>
      <w:pPr>
        <w:ind w:left="1247" w:hanging="81"/>
        <w:spacing w:after="0"/>
        <w:tabs>
          <w:tab w:leader="none" w:pos="1247" w:val="left"/>
        </w:tabs>
        <w:numPr>
          <w:ilvl w:val="2"/>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Shared Voting Power</w:t>
      </w:r>
    </w:p>
    <w:p>
      <w:pPr>
        <w:spacing w:after="0" w:line="181" w:lineRule="exact"/>
        <w:rPr>
          <w:sz w:val="20"/>
          <w:szCs w:val="20"/>
          <w:color w:val="auto"/>
        </w:rPr>
      </w:pPr>
    </w:p>
    <w:tbl>
      <w:tblPr>
        <w:tblLayout w:type="fixed"/>
        <w:tblInd w:w="47"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18"/>
                <w:szCs w:val="18"/>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1,939,711 shares, of which 1,774,756 shares are directly owned by SEQUOIA CAPITAL U.S. GROWTH FUND VII and</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164,955 shares are directly owned by SEQUOIA CAPITAL U.S. GROWTH VII PRINCIPALS FUND. The General Partner</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 each of SEQUOIA CAPITAL U.S. GROWTH FUND VII and SEQUOIA CAPITAL U.S. GROWTH VII PRINCIPALS</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FUND is SC U.S. GROWTH VII MANAGEMENT.</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100"/>
        <w:spacing w:after="0" w:line="258" w:lineRule="auto"/>
        <w:rPr>
          <w:sz w:val="20"/>
          <w:szCs w:val="20"/>
          <w:color w:val="auto"/>
        </w:rPr>
      </w:pPr>
      <w:r>
        <w:rPr>
          <w:rFonts w:ascii="Times New Roman" w:cs="Times New Roman" w:eastAsia="Times New Roman" w:hAnsi="Times New Roman"/>
          <w:sz w:val="18"/>
          <w:szCs w:val="18"/>
          <w:color w:val="auto"/>
        </w:rPr>
        <w:t>1,939,711 shares, of which 1,774,756 shares are directly owned by SEQUOIA CAPITAL U.S. GROWTH FUND VII and 164,955 shares are directly owned by SEQUOIA CAPITAL U.S. GROWTH VII PRINCIPALS FUND. The General Partner of each of SEQUOIA CAPITAL U.S. GROWTH FUND VII and SEQUOIA CAPITAL U.S. GROWTH VII PRINCIPALS FUND is SC U.S. GROWTH VII MANAGEMENT.</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1,939,711</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5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0.8% </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19" w:name="page20"/>
    <w:bookmarkEnd w:id="19"/>
    <w:p>
      <w:pPr>
        <w:ind w:left="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638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6386830"/>
                    </a:xfrm>
                    <a:prstGeom prst="rect">
                      <a:avLst/>
                    </a:prstGeom>
                    <a:noFill/>
                  </pic:spPr>
                </pic:pic>
              </a:graphicData>
            </a:graphic>
          </wp:anchor>
        </w:drawing>
      </w:r>
    </w:p>
    <w:p>
      <w:pPr>
        <w:spacing w:after="0" w:line="232"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SEQUOIA CAPITAL GLOBAL GROWTH FUND III – ENDURANCE PARTNERS MANAGEMENT, L.P. (“SC GGF III MGMT”)</w:t>
      </w:r>
    </w:p>
    <w:p>
      <w:pPr>
        <w:spacing w:after="0" w:line="36" w:lineRule="exact"/>
        <w:rPr>
          <w:sz w:val="20"/>
          <w:szCs w:val="20"/>
          <w:color w:val="auto"/>
        </w:rPr>
      </w:pPr>
    </w:p>
    <w:p>
      <w:pPr>
        <w:ind w:left="7"/>
        <w:spacing w:after="0"/>
        <w:tabs>
          <w:tab w:leader="none" w:pos="386" w:val="left"/>
        </w:tabs>
        <w:rPr>
          <w:sz w:val="20"/>
          <w:szCs w:val="20"/>
          <w:color w:val="auto"/>
        </w:rPr>
      </w:pP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  Check the Appropriate Box if a Member of a Group (See Instructions)</w:t>
      </w:r>
    </w:p>
    <w:p>
      <w:pPr>
        <w:spacing w:after="0" w:line="27" w:lineRule="exact"/>
        <w:rPr>
          <w:sz w:val="20"/>
          <w:szCs w:val="20"/>
          <w:color w:val="auto"/>
        </w:rPr>
      </w:pPr>
    </w:p>
    <w:p>
      <w:pPr>
        <w:ind w:left="40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1" w:lineRule="exact"/>
        <w:rPr>
          <w:sz w:val="20"/>
          <w:szCs w:val="20"/>
          <w:color w:val="auto"/>
        </w:rPr>
      </w:pPr>
    </w:p>
    <w:p>
      <w:pPr>
        <w:ind w:left="87" w:hanging="87"/>
        <w:spacing w:after="0"/>
        <w:tabs>
          <w:tab w:leader="none" w:pos="8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507" w:hanging="97"/>
        <w:spacing w:after="0" w:line="207" w:lineRule="exact"/>
        <w:tabs>
          <w:tab w:leader="none" w:pos="507" w:val="left"/>
        </w:tabs>
        <w:numPr>
          <w:ilvl w:val="1"/>
          <w:numId w:val="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507" w:hanging="97"/>
        <w:spacing w:after="0"/>
        <w:tabs>
          <w:tab w:leader="none" w:pos="5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247" w:hanging="81"/>
        <w:spacing w:after="0"/>
        <w:tabs>
          <w:tab w:leader="none" w:pos="1247" w:val="left"/>
        </w:tabs>
        <w:numPr>
          <w:ilvl w:val="2"/>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75" w:lineRule="exact"/>
        <w:rPr>
          <w:sz w:val="20"/>
          <w:szCs w:val="20"/>
          <w:color w:val="auto"/>
        </w:rPr>
      </w:pPr>
    </w:p>
    <w:tbl>
      <w:tblPr>
        <w:tblLayout w:type="fixed"/>
        <w:tblInd w:w="47" w:type="dxa"/>
        <w:tblCellMar>
          <w:top w:w="0" w:type="dxa"/>
          <w:left w:w="0" w:type="dxa"/>
          <w:bottom w:w="0" w:type="dxa"/>
          <w:right w:w="0" w:type="dxa"/>
        </w:tblCellMar>
      </w:tblPr>
      <w:tr>
        <w:trPr>
          <w:trHeight w:val="24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30"/>
        </w:trPr>
        <w:tc>
          <w:tcPr>
            <w:tcW w:w="1020" w:type="dxa"/>
            <w:vAlign w:val="bottom"/>
            <w:vMerge w:val="continue"/>
          </w:tcPr>
          <w:p>
            <w:pPr>
              <w:spacing w:after="0"/>
              <w:rPr>
                <w:sz w:val="11"/>
                <w:szCs w:val="11"/>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vMerge w:val="continue"/>
          </w:tcPr>
          <w:p>
            <w:pPr>
              <w:spacing w:after="0"/>
              <w:rPr>
                <w:sz w:val="9"/>
                <w:szCs w:val="9"/>
                <w:color w:val="auto"/>
              </w:rPr>
            </w:pPr>
          </w:p>
        </w:tc>
        <w:tc>
          <w:tcPr>
            <w:tcW w:w="9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 Beneficially</w:t>
            </w:r>
          </w:p>
        </w:tc>
        <w:tc>
          <w:tcPr>
            <w:tcW w:w="420" w:type="dxa"/>
            <w:vAlign w:val="bottom"/>
          </w:tcPr>
          <w:p>
            <w:pPr>
              <w:spacing w:after="0"/>
              <w:rPr>
                <w:sz w:val="18"/>
                <w:szCs w:val="18"/>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351,374 shares, of which 351,374 shares are directly owned by SC GGF III. The general partner of SC GGF III is SC GGF</w:t>
            </w:r>
          </w:p>
        </w:tc>
        <w:tc>
          <w:tcPr>
            <w:tcW w:w="0" w:type="dxa"/>
            <w:vAlign w:val="bottom"/>
          </w:tcPr>
          <w:p>
            <w:pPr>
              <w:spacing w:after="0"/>
              <w:rPr>
                <w:sz w:val="1"/>
                <w:szCs w:val="1"/>
                <w:color w:val="auto"/>
              </w:rPr>
            </w:pPr>
          </w:p>
        </w:tc>
      </w:tr>
      <w:tr>
        <w:trPr>
          <w:trHeight w:val="9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8"/>
                <w:szCs w:val="8"/>
                <w:color w:val="auto"/>
              </w:rPr>
            </w:pPr>
          </w:p>
        </w:tc>
        <w:tc>
          <w:tcPr>
            <w:tcW w:w="9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III MGMT.</w:t>
            </w:r>
          </w:p>
        </w:tc>
        <w:tc>
          <w:tcPr>
            <w:tcW w:w="0" w:type="dxa"/>
            <w:vAlign w:val="bottom"/>
          </w:tcPr>
          <w:p>
            <w:pPr>
              <w:spacing w:after="0"/>
              <w:rPr>
                <w:sz w:val="1"/>
                <w:szCs w:val="1"/>
                <w:color w:val="auto"/>
              </w:rPr>
            </w:pPr>
          </w:p>
        </w:tc>
      </w:tr>
      <w:tr>
        <w:trPr>
          <w:trHeight w:val="1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2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9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87" w:right="200"/>
        <w:spacing w:after="0" w:line="266" w:lineRule="auto"/>
        <w:rPr>
          <w:sz w:val="20"/>
          <w:szCs w:val="20"/>
          <w:color w:val="auto"/>
        </w:rPr>
      </w:pPr>
      <w:r>
        <w:rPr>
          <w:rFonts w:ascii="Times New Roman" w:cs="Times New Roman" w:eastAsia="Times New Roman" w:hAnsi="Times New Roman"/>
          <w:sz w:val="18"/>
          <w:szCs w:val="18"/>
          <w:color w:val="auto"/>
        </w:rPr>
        <w:t>351,374 shares, of which 351,374 shares are directly owned by SC GGF III. The general partner of SC GGF III is SC GGF III MGMT.</w:t>
      </w:r>
    </w:p>
    <w:p>
      <w:pPr>
        <w:ind w:left="7"/>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507" w:hanging="97"/>
        <w:spacing w:after="0"/>
        <w:tabs>
          <w:tab w:leader="none" w:pos="50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351,374</w:t>
      </w:r>
    </w:p>
    <w:p>
      <w:pPr>
        <w:spacing w:after="0" w:line="3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507" w:hanging="97"/>
        <w:spacing w:after="0" w:line="207" w:lineRule="exact"/>
        <w:tabs>
          <w:tab w:leader="none" w:pos="507" w:val="left"/>
        </w:tabs>
        <w:numPr>
          <w:ilvl w:val="2"/>
          <w:numId w:val="5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507" w:hanging="97"/>
        <w:spacing w:after="0"/>
        <w:tabs>
          <w:tab w:leader="none" w:pos="50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407" w:hanging="407"/>
        <w:spacing w:after="0"/>
        <w:tabs>
          <w:tab w:leader="none" w:pos="40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547" w:hanging="137"/>
        <w:spacing w:after="0"/>
        <w:tabs>
          <w:tab w:leader="none" w:pos="54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14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747"/>
          </w:cols>
          <w:pgMar w:left="593" w:top="283" w:right="559" w:bottom="1440" w:gutter="0" w:footer="0" w:header="0"/>
        </w:sectPr>
      </w:pPr>
    </w:p>
    <w:bookmarkStart w:id="20" w:name="page21"/>
    <w:bookmarkEnd w:id="20"/>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1060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  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  SEQUOIA CAPITAL FUND PARALLEL, LLC (“SCFP”)</w:t>
            </w: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600" w:type="dxa"/>
            <w:vAlign w:val="bottom"/>
            <w:tcBorders>
              <w:right w:val="single" w:sz="8" w:color="auto"/>
            </w:tcBorders>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7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w w:val="97"/>
              </w:rPr>
              <w:t xml:space="preserve">  (a)   </w:t>
            </w: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xml:space="preserve"> </w:t>
            </w:r>
          </w:p>
        </w:tc>
        <w:tc>
          <w:tcPr>
            <w:tcW w:w="660" w:type="dxa"/>
            <w:vAlign w:val="bottom"/>
            <w:gridSpan w:val="3"/>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6"/>
              </w:rPr>
              <w:t>  SEC USE ONLY</w:t>
            </w:r>
          </w:p>
        </w:tc>
        <w:tc>
          <w:tcPr>
            <w:tcW w:w="9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2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6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DELAWARE</w:t>
            </w: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  5</w:t>
            </w:r>
          </w:p>
        </w:tc>
        <w:tc>
          <w:tcPr>
            <w:tcW w:w="92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54"/>
        </w:trPr>
        <w:tc>
          <w:tcPr>
            <w:tcW w:w="150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440" w:type="dxa"/>
            <w:vAlign w:val="bottom"/>
            <w:tcBorders>
              <w:left w:val="single" w:sz="8" w:color="auto"/>
            </w:tcBorders>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  6</w:t>
            </w:r>
          </w:p>
        </w:tc>
        <w:tc>
          <w:tcPr>
            <w:tcW w:w="60" w:type="dxa"/>
            <w:vAlign w:val="bottom"/>
          </w:tcPr>
          <w:p>
            <w:pPr>
              <w:spacing w:after="0"/>
              <w:rPr>
                <w:sz w:val="20"/>
                <w:szCs w:val="20"/>
                <w:color w:val="auto"/>
              </w:rPr>
            </w:pPr>
          </w:p>
        </w:tc>
        <w:tc>
          <w:tcPr>
            <w:tcW w:w="9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w w:val="95"/>
              </w:rPr>
              <w:t>BENEFICIALLY  </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3,108,968</w:t>
            </w: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7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w w:val="88"/>
              </w:rPr>
              <w:t>  7</w:t>
            </w:r>
          </w:p>
        </w:tc>
        <w:tc>
          <w:tcPr>
            <w:tcW w:w="60" w:type="dxa"/>
            <w:vAlign w:val="bottom"/>
          </w:tcPr>
          <w:p>
            <w:pPr>
              <w:spacing w:after="0"/>
              <w:rPr>
                <w:sz w:val="15"/>
                <w:szCs w:val="15"/>
                <w:color w:val="auto"/>
              </w:rPr>
            </w:pPr>
          </w:p>
        </w:tc>
        <w:tc>
          <w:tcPr>
            <w:tcW w:w="91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28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tcBorders>
              <w:left w:val="single" w:sz="8" w:color="auto"/>
            </w:tcBorders>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w w:val="88"/>
              </w:rPr>
              <w:t>  8</w:t>
            </w:r>
          </w:p>
        </w:tc>
        <w:tc>
          <w:tcPr>
            <w:tcW w:w="922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2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3,108,968</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6"/>
              </w:rPr>
              <w:t>  AGGREGATE</w:t>
            </w:r>
          </w:p>
        </w:tc>
        <w:tc>
          <w:tcPr>
            <w:tcW w:w="320" w:type="dxa"/>
            <w:vAlign w:val="bottom"/>
          </w:tcPr>
          <w:p>
            <w:pPr>
              <w:spacing w:after="0"/>
              <w:rPr>
                <w:sz w:val="20"/>
                <w:szCs w:val="20"/>
                <w:color w:val="auto"/>
              </w:rPr>
            </w:pPr>
          </w:p>
        </w:tc>
        <w:tc>
          <w:tcPr>
            <w:tcW w:w="92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3,108,968</w:t>
            </w: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106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  CHECK BOX IF THE AGGREGATE AMOUNT IN ROW (9) EXCLUDES CERTAIN SHARES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06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1.2%</w:t>
            </w:r>
            <w:r>
              <w:rPr>
                <w:rFonts w:ascii="Times New Roman" w:cs="Times New Roman" w:eastAsia="Times New Roman" w:hAnsi="Times New Roman"/>
                <w:sz w:val="26"/>
                <w:szCs w:val="26"/>
                <w:color w:val="auto"/>
                <w:vertAlign w:val="subscript"/>
              </w:rPr>
              <w:t>1</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60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OO</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89" w:lineRule="auto"/>
        <w:tabs>
          <w:tab w:leader="none" w:pos="4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1024"/>
          </w:cols>
          <w:pgMar w:left="436" w:top="268" w:right="439" w:bottom="1440" w:gutter="0" w:footer="0" w:header="0"/>
        </w:sectPr>
      </w:pPr>
    </w:p>
    <w:bookmarkStart w:id="21" w:name="page22"/>
    <w:bookmarkEnd w:id="21"/>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1060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SEQUOIA CAPITAL FUND, L.P. (“SCF”)</w:t>
            </w: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600" w:type="dxa"/>
            <w:vAlign w:val="bottom"/>
            <w:tcBorders>
              <w:right w:val="single" w:sz="8" w:color="auto"/>
            </w:tcBorders>
            <w:gridSpan w:val="4"/>
          </w:tcPr>
          <w:p>
            <w:pPr>
              <w:ind w:left="6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10600" w:type="dxa"/>
            <w:vAlign w:val="bottom"/>
            <w:tcBorders>
              <w:right w:val="single" w:sz="8" w:color="auto"/>
            </w:tcBorders>
            <w:gridSpan w:val="4"/>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spacing w:after="0"/>
              <w:rPr>
                <w:sz w:val="19"/>
                <w:szCs w:val="19"/>
                <w:color w:val="auto"/>
              </w:rPr>
            </w:pPr>
          </w:p>
        </w:tc>
        <w:tc>
          <w:tcPr>
            <w:tcW w:w="9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6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6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CAYMAN ISLANDS</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5</w:t>
            </w:r>
          </w:p>
        </w:tc>
        <w:tc>
          <w:tcPr>
            <w:tcW w:w="9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54"/>
        </w:trPr>
        <w:tc>
          <w:tcPr>
            <w:tcW w:w="15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44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  6</w:t>
            </w:r>
          </w:p>
        </w:tc>
        <w:tc>
          <w:tcPr>
            <w:tcW w:w="9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5"/>
              </w:rPr>
              <w:t>BENEFICIALLY  </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20,211,724</w:t>
            </w: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jc w:val="center"/>
              <w:ind w:right="2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Pr>
          <w:p>
            <w:pPr>
              <w:spacing w:after="0"/>
              <w:rPr>
                <w:sz w:val="15"/>
                <w:szCs w:val="15"/>
                <w:color w:val="auto"/>
              </w:rPr>
            </w:pPr>
          </w:p>
        </w:tc>
        <w:tc>
          <w:tcPr>
            <w:tcW w:w="28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w w:val="88"/>
              </w:rPr>
              <w:t>  7</w:t>
            </w:r>
          </w:p>
        </w:tc>
        <w:tc>
          <w:tcPr>
            <w:tcW w:w="922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tcPr>
          <w:p>
            <w:pPr>
              <w:spacing w:after="0"/>
              <w:rPr>
                <w:sz w:val="19"/>
                <w:szCs w:val="19"/>
                <w:color w:val="auto"/>
              </w:rPr>
            </w:pPr>
          </w:p>
        </w:tc>
        <w:tc>
          <w:tcPr>
            <w:tcW w:w="10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9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WITH</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  8</w:t>
            </w:r>
          </w:p>
        </w:tc>
        <w:tc>
          <w:tcPr>
            <w:tcW w:w="92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20,211,724</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6"/>
              </w:rPr>
              <w:t>  AGGREGATE</w:t>
            </w:r>
          </w:p>
        </w:tc>
        <w:tc>
          <w:tcPr>
            <w:tcW w:w="320" w:type="dxa"/>
            <w:vAlign w:val="bottom"/>
            <w:gridSpan w:val="2"/>
          </w:tcPr>
          <w:p>
            <w:pPr>
              <w:spacing w:after="0"/>
              <w:rPr>
                <w:sz w:val="20"/>
                <w:szCs w:val="20"/>
                <w:color w:val="auto"/>
              </w:rPr>
            </w:pPr>
          </w:p>
        </w:tc>
        <w:tc>
          <w:tcPr>
            <w:tcW w:w="9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20,211,724</w:t>
            </w:r>
          </w:p>
        </w:tc>
        <w:tc>
          <w:tcPr>
            <w:tcW w:w="2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CHECK BOX IF THE AGGREGATE AMOUNT IN ROW (9) EXCLUDES CERTAIN SHARES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7.9%</w:t>
            </w:r>
            <w:r>
              <w:rPr>
                <w:rFonts w:ascii="Times New Roman" w:cs="Times New Roman" w:eastAsia="Times New Roman" w:hAnsi="Times New Roman"/>
                <w:sz w:val="26"/>
                <w:szCs w:val="26"/>
                <w:color w:val="auto"/>
                <w:vertAlign w:val="subscript"/>
              </w:rPr>
              <w:t>1</w:t>
            </w:r>
          </w:p>
        </w:tc>
        <w:tc>
          <w:tcPr>
            <w:tcW w:w="2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PN</w:t>
            </w:r>
          </w:p>
        </w:tc>
        <w:tc>
          <w:tcPr>
            <w:tcW w:w="280" w:type="dxa"/>
            <w:vAlign w:val="bottom"/>
            <w:tcBorders>
              <w:bottom w:val="single" w:sz="8" w:color="auto"/>
            </w:tcBorders>
          </w:tcPr>
          <w:p>
            <w:pPr>
              <w:spacing w:after="0"/>
              <w:rPr>
                <w:sz w:val="24"/>
                <w:szCs w:val="24"/>
                <w:color w:val="auto"/>
              </w:rPr>
            </w:pPr>
          </w:p>
        </w:tc>
        <w:tc>
          <w:tcPr>
            <w:tcW w:w="9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89" w:lineRule="auto"/>
        <w:tabs>
          <w:tab w:leader="none" w:pos="4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1024"/>
          </w:cols>
          <w:pgMar w:left="436" w:top="268" w:right="439" w:bottom="1440" w:gutter="0" w:footer="0" w:header="0"/>
        </w:sectPr>
      </w:pPr>
    </w:p>
    <w:bookmarkStart w:id="22" w:name="page23"/>
    <w:bookmarkEnd w:id="22"/>
    <w:p>
      <w:pPr>
        <w:ind w:left="87" w:hanging="87"/>
        <w:spacing w:after="0"/>
        <w:tabs>
          <w:tab w:leader="none" w:pos="8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 OF REPORTING PERSON</w:t>
      </w:r>
    </w:p>
    <w:p>
      <w:pPr>
        <w:spacing w:after="0" w:line="263" w:lineRule="exact"/>
        <w:rPr>
          <w:rFonts w:ascii="Times New Roman" w:cs="Times New Roman" w:eastAsia="Times New Roman" w:hAnsi="Times New Roman"/>
          <w:sz w:val="17"/>
          <w:szCs w:val="17"/>
          <w:color w:val="auto"/>
        </w:rPr>
      </w:pPr>
    </w:p>
    <w:p>
      <w:pPr>
        <w:ind w:left="447" w:hanging="91"/>
        <w:spacing w:after="0"/>
        <w:tabs>
          <w:tab w:leader="none" w:pos="4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SEQUOIA CAPITAL FUND MANAGEMENT, L.P. (“SEQUOIA CAPITAL FUND MANAGEMENT”)</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38" w:lineRule="exact"/>
        <w:rPr>
          <w:rFonts w:ascii="Times New Roman" w:cs="Times New Roman" w:eastAsia="Times New Roman" w:hAnsi="Times New Roman"/>
          <w:sz w:val="17"/>
          <w:szCs w:val="17"/>
          <w:color w:val="auto"/>
        </w:rPr>
      </w:pPr>
    </w:p>
    <w:p>
      <w:pPr>
        <w:ind w:left="447" w:hanging="91"/>
        <w:spacing w:after="0" w:line="207" w:lineRule="exact"/>
        <w:tabs>
          <w:tab w:leader="none" w:pos="4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447" w:hanging="91"/>
        <w:spacing w:after="0"/>
        <w:tabs>
          <w:tab w:leader="none" w:pos="4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-1619250</wp:posOffset>
            </wp:positionV>
            <wp:extent cx="7003415" cy="5494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3415" cy="5494655"/>
                    </a:xfrm>
                    <a:prstGeom prst="rect">
                      <a:avLst/>
                    </a:prstGeom>
                    <a:noFill/>
                  </pic:spPr>
                </pic:pic>
              </a:graphicData>
            </a:graphic>
          </wp:anchor>
        </w:drawing>
      </w:r>
    </w:p>
    <w:p>
      <w:pPr>
        <w:spacing w:after="0" w:line="16" w:lineRule="exact"/>
        <w:rPr>
          <w:sz w:val="20"/>
          <w:szCs w:val="20"/>
          <w:color w:val="auto"/>
        </w:rPr>
      </w:pPr>
    </w:p>
    <w:p>
      <w:pPr>
        <w:ind w:left="1747" w:hanging="311"/>
        <w:spacing w:after="0"/>
        <w:tabs>
          <w:tab w:leader="none" w:pos="17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7"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8"/>
        </w:trPr>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w:t>
            </w: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8"/>
                <w:szCs w:val="18"/>
                <w:color w:val="auto"/>
              </w:rPr>
            </w:pPr>
          </w:p>
        </w:tc>
        <w:tc>
          <w:tcPr>
            <w:tcW w:w="9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23,320,692 shares, of which 3,108,968 shares are directly owned by SCFP and 20,211,724 shares are directly owned by</w:t>
            </w:r>
          </w:p>
        </w:tc>
        <w:tc>
          <w:tcPr>
            <w:tcW w:w="0" w:type="dxa"/>
            <w:vAlign w:val="bottom"/>
          </w:tcPr>
          <w:p>
            <w:pPr>
              <w:spacing w:after="0"/>
              <w:rPr>
                <w:sz w:val="1"/>
                <w:szCs w:val="1"/>
                <w:color w:val="auto"/>
              </w:rPr>
            </w:pPr>
          </w:p>
        </w:tc>
      </w:tr>
      <w:tr>
        <w:trPr>
          <w:trHeight w:val="203"/>
        </w:trPr>
        <w:tc>
          <w:tcPr>
            <w:tcW w:w="138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color w:val="auto"/>
                <w:w w:val="98"/>
              </w:rPr>
              <w:t>BENEFICIALLY  </w:t>
            </w:r>
          </w:p>
        </w:tc>
        <w:tc>
          <w:tcPr>
            <w:tcW w:w="300" w:type="dxa"/>
            <w:vAlign w:val="bottom"/>
          </w:tcPr>
          <w:p>
            <w:pPr>
              <w:spacing w:after="0"/>
              <w:rPr>
                <w:sz w:val="17"/>
                <w:szCs w:val="17"/>
                <w:color w:val="auto"/>
              </w:rPr>
            </w:pPr>
          </w:p>
        </w:tc>
        <w:tc>
          <w:tcPr>
            <w:tcW w:w="9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Pr>
          <w:p>
            <w:pPr>
              <w:spacing w:after="0"/>
              <w:rPr>
                <w:sz w:val="21"/>
                <w:szCs w:val="21"/>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SCF. SEQUOIA CAPITAL FUND MANAGEMENT is the general partner of SCF and the manager of SCFP.</w:t>
            </w: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  7</w:t>
            </w:r>
          </w:p>
        </w:tc>
        <w:tc>
          <w:tcPr>
            <w:tcW w:w="9180" w:type="dxa"/>
            <w:vAlign w:val="bottom"/>
            <w:tcBorders>
              <w:top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8</w:t>
            </w:r>
          </w:p>
        </w:tc>
        <w:tc>
          <w:tcPr>
            <w:tcW w:w="9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27" w:right="420"/>
        <w:spacing w:after="0" w:line="266" w:lineRule="auto"/>
        <w:rPr>
          <w:sz w:val="20"/>
          <w:szCs w:val="20"/>
          <w:color w:val="auto"/>
        </w:rPr>
      </w:pPr>
      <w:r>
        <w:rPr>
          <w:rFonts w:ascii="Times New Roman" w:cs="Times New Roman" w:eastAsia="Times New Roman" w:hAnsi="Times New Roman"/>
          <w:sz w:val="18"/>
          <w:szCs w:val="18"/>
          <w:color w:val="auto"/>
        </w:rPr>
        <w:t>23,320,692 shares, of which 3,108,968 shares are directly owned by SCFP and 20,211,724 shares are directly owned by SCF. SEQUOIA CAPITAL FUND MANAGEMENT is the general partner of SCF and the manager of SCFP.</w:t>
      </w:r>
    </w:p>
    <w:p>
      <w:pPr>
        <w:ind w:left="7"/>
        <w:spacing w:after="0"/>
        <w:tabs>
          <w:tab w:leader="none" w:pos="346" w:val="left"/>
        </w:tabs>
        <w:rPr>
          <w:sz w:val="20"/>
          <w:szCs w:val="20"/>
          <w:color w:val="auto"/>
        </w:rPr>
      </w:pPr>
      <w:r>
        <w:rPr>
          <w:rFonts w:ascii="Times New Roman" w:cs="Times New Roman" w:eastAsia="Times New Roman" w:hAnsi="Times New Roman"/>
          <w:sz w:val="18"/>
          <w:szCs w:val="18"/>
          <w:color w:val="auto"/>
        </w:rPr>
        <w:t>  9</w:t>
      </w:r>
      <w:r>
        <w:rPr>
          <w:sz w:val="20"/>
          <w:szCs w:val="20"/>
          <w:color w:val="auto"/>
        </w:rPr>
        <w:tab/>
      </w:r>
      <w:r>
        <w:rPr>
          <w:rFonts w:ascii="Times New Roman" w:cs="Times New Roman" w:eastAsia="Times New Roman" w:hAnsi="Times New Roman"/>
          <w:sz w:val="17"/>
          <w:szCs w:val="17"/>
          <w:color w:val="auto"/>
        </w:rPr>
        <w:t>  AGGREGATE AMOUNT BENEFICIALLY OWNED BY EACH REPORTING PERSON</w:t>
      </w:r>
    </w:p>
    <w:p>
      <w:pPr>
        <w:spacing w:after="0" w:line="252"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  23,320,692</w:t>
      </w:r>
    </w:p>
    <w:p>
      <w:pPr>
        <w:spacing w:after="0" w:line="36" w:lineRule="exact"/>
        <w:rPr>
          <w:sz w:val="20"/>
          <w:szCs w:val="20"/>
          <w:color w:val="auto"/>
        </w:rPr>
      </w:pPr>
    </w:p>
    <w:p>
      <w:pPr>
        <w:ind w:left="367" w:hanging="367"/>
        <w:spacing w:after="0"/>
        <w:tabs>
          <w:tab w:leader="none" w:pos="36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2"/>
          <w:numId w:val="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125"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47"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right="26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867"/>
          </w:cols>
          <w:pgMar w:left="593" w:top="283" w:right="439" w:bottom="1440" w:gutter="0" w:footer="0" w:header="0"/>
        </w:sectPr>
      </w:pPr>
    </w:p>
    <w:bookmarkStart w:id="23" w:name="page24"/>
    <w:bookmarkEnd w:id="23"/>
    <w:p>
      <w:pPr>
        <w:ind w:left="87" w:hanging="87"/>
        <w:spacing w:after="0"/>
        <w:tabs>
          <w:tab w:leader="none" w:pos="8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42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SC US (TTGP), LTD. (“SC US (TTGP)”)</w:t>
      </w:r>
    </w:p>
    <w:p>
      <w:pPr>
        <w:spacing w:after="0" w:line="36"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427" w:hanging="98"/>
        <w:spacing w:after="0" w:line="207" w:lineRule="exact"/>
        <w:tabs>
          <w:tab w:leader="none" w:pos="4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427" w:hanging="98"/>
        <w:spacing w:after="0"/>
        <w:tabs>
          <w:tab w:leader="none" w:pos="4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427" w:hanging="98"/>
        <w:spacing w:after="0" w:line="207" w:lineRule="exact"/>
        <w:tabs>
          <w:tab w:leader="none" w:pos="427" w:val="left"/>
        </w:tabs>
        <w:numPr>
          <w:ilvl w:val="1"/>
          <w:numId w:val="6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427" w:hanging="98"/>
        <w:spacing w:after="0"/>
        <w:tabs>
          <w:tab w:leader="none" w:pos="4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-2510790</wp:posOffset>
            </wp:positionV>
            <wp:extent cx="7003415" cy="10363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3415" cy="10363835"/>
                    </a:xfrm>
                    <a:prstGeom prst="rect">
                      <a:avLst/>
                    </a:prstGeom>
                    <a:noFill/>
                  </pic:spPr>
                </pic:pic>
              </a:graphicData>
            </a:graphic>
          </wp:anchor>
        </w:drawing>
      </w:r>
    </w:p>
    <w:p>
      <w:pPr>
        <w:sectPr>
          <w:pgSz w:w="11900" w:h="16838" w:orient="portrait"/>
          <w:cols w:equalWidth="0" w:num="1">
            <w:col w:w="10827"/>
          </w:cols>
          <w:pgMar w:left="593" w:top="283"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ind w:left="187"/>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ind w:left="67"/>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ind w:left="67"/>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ind w:left="187"/>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ind w:left="267"/>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90" w:hanging="90"/>
        <w:spacing w:after="0"/>
        <w:tabs>
          <w:tab w:leader="none" w:pos="9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Sole Voting Power</w:t>
      </w:r>
    </w:p>
    <w:p>
      <w:pPr>
        <w:spacing w:after="0" w:line="263" w:lineRule="exact"/>
        <w:rPr>
          <w:rFonts w:ascii="Times New Roman" w:cs="Times New Roman" w:eastAsia="Times New Roman" w:hAnsi="Times New Roman"/>
          <w:sz w:val="17"/>
          <w:szCs w:val="17"/>
          <w:color w:val="auto"/>
        </w:rPr>
      </w:pPr>
    </w:p>
    <w:p>
      <w:pPr>
        <w:ind w:left="510" w:hanging="92"/>
        <w:spacing w:after="0"/>
        <w:tabs>
          <w:tab w:leader="none" w:pos="51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Shared Voting Power</w:t>
      </w:r>
    </w:p>
    <w:p>
      <w:pPr>
        <w:spacing w:after="0" w:line="264" w:lineRule="exact"/>
        <w:rPr>
          <w:sz w:val="20"/>
          <w:szCs w:val="20"/>
          <w:color w:val="auto"/>
        </w:rPr>
      </w:pPr>
    </w:p>
    <w:p>
      <w:pPr>
        <w:ind w:left="510"/>
        <w:spacing w:after="0" w:line="267" w:lineRule="auto"/>
        <w:rPr>
          <w:sz w:val="20"/>
          <w:szCs w:val="20"/>
          <w:color w:val="auto"/>
        </w:rPr>
      </w:pPr>
      <w:r>
        <w:rPr>
          <w:rFonts w:ascii="Times New Roman" w:cs="Times New Roman" w:eastAsia="Times New Roman" w:hAnsi="Times New Roman"/>
          <w:sz w:val="17"/>
          <w:szCs w:val="17"/>
          <w:color w:val="auto"/>
        </w:rPr>
        <w:t>34,452,822 shares, of which 0 shares are directly owned by SEQUOIA CAPITAL USV XIV HOLDCO, 0 shares are directly owned by SEQUOIA CAPITAL U.S. GROWTH FUND VI, 0 shares are directly owned by SEQUOIA CAPITAL U.S. GROWTH VI PRINCIPALS FUND, 4,405,162 shares are directly owned by SEQUOIA CAPITAL GLOBAL GROWTH FUND II, 68,020 shares are directly owned by SEQUOIA CAPITAL GLOBAL GROWTH II PRINCIPALS FUND, 1,217,532 shares are directly owned by SCGGF III – U.S./INDIA MANAGEMENT, 1,774,756 shares are directly owned by SEQUOIA CAPITAL U.S. GROWTH FUND VII, 164,955 shares are directly owned by SEQUOIA CAPITAL U.S. GROWTH VII PRINCIPALS FUND, 351,374 shares are directly owned by SC GGF III, 1,000,000 shares are directly owned by SC US/E EXPANSION FUND I, 2,150,331 shares are directly owned by SC US/E EXPANSION FUND I MGMT, 3,108,968 shares are directly owned by SCFP and 20,211,724 shares are directly owned by SCF. SEQUOIA CAPITAL U.S. VENTURE FUND XIV, SEQUOIA CAPITAL U.S. VENTURE PARTNERS FUND XIV and SEQUOIA CAPITAL U.S. VENTURE PARTNERS FUND XIV (Q), together, own 100% of the outstanding shares of SEQUOIA CAPITAL USV XIV HOLDCO. The General Partner of each of SEQUOIA CAPITAL U.S. VENTURE FUND XIV, SEQUOIA CAPITAL U.S. VENTURE PARTNERS FUND XIV and SEQUOIA CAPITAL U.S. VENTURE PARTNERS FUND XIV (Q) is SC U.S. VENTURE XIV MANAGEMENT. The General Partner of each of SEQUOIA CAPITAL U.S. GROWTH FUND VI and SEQUOIA CAPITAL U.S. GROWTH VI PRINCIPALS FUND is SC U.S. GROWTH VI MANAGEMENT. The General Partner of each of SEQUOIA CAPITAL GLOBAL GROWTH FUND II and SEQUOIA CAPITAL GLOBAL GROWTH II PRINCIPALS FUND is SC GLOBAL GROWTH II MANAGEMENT. The General Partner of each of SEQUOIA CAPITAL U.S. GROWTH FUND VII and SEQUOIA CAPITAL U.S. GROWTH VII PIRNCIPALS FUND is SC U.S. GROWTH VII MANAGEMENT. The general partner of SC GGF III is SC GGF III MGMT. The general partner of SC US/E EXPANSION FUND I is SC US/E EXPANSION FUND I MGMT. The General Partner of SCF and the manager of SCFP is SEQUOIA CAPITAL FUND MANAGEMENT. SC US TTGP is the General Partner of SC U.S. VENTURE XIV MANAGEMENT, SC U.S. GROWTH VI MANAGEMENT, SC GLOBAL GROWTH II MANAGEMENT, SCGGF III- U.S./INDIA MANAGEMENT, SC U.S. GROWTH VII MANAGEMENT, SC GGF III MGMT, SC US/E EXPANSION FUND I MGMT and SEQUOIA CAPITAL FUND MANAGEMENT.</w:t>
      </w:r>
    </w:p>
    <w:p>
      <w:pPr>
        <w:spacing w:after="0" w:line="211" w:lineRule="exact"/>
        <w:rPr>
          <w:sz w:val="20"/>
          <w:szCs w:val="20"/>
          <w:color w:val="auto"/>
        </w:rPr>
      </w:pPr>
    </w:p>
    <w:p>
      <w:pPr>
        <w:ind w:left="10"/>
        <w:spacing w:after="0"/>
        <w:tabs>
          <w:tab w:leader="none" w:pos="390" w:val="left"/>
        </w:tabs>
        <w:rPr>
          <w:sz w:val="20"/>
          <w:szCs w:val="20"/>
          <w:color w:val="auto"/>
        </w:rPr>
      </w:pPr>
      <w:r>
        <w:rPr>
          <w:rFonts w:ascii="Times New Roman" w:cs="Times New Roman" w:eastAsia="Times New Roman" w:hAnsi="Times New Roman"/>
          <w:sz w:val="18"/>
          <w:szCs w:val="18"/>
          <w:color w:val="auto"/>
        </w:rPr>
        <w:t>  9.</w:t>
      </w:r>
      <w:r>
        <w:rPr>
          <w:sz w:val="20"/>
          <w:szCs w:val="20"/>
          <w:color w:val="auto"/>
        </w:rPr>
        <w:tab/>
      </w:r>
      <w:r>
        <w:rPr>
          <w:rFonts w:ascii="Times New Roman" w:cs="Times New Roman" w:eastAsia="Times New Roman" w:hAnsi="Times New Roman"/>
          <w:sz w:val="17"/>
          <w:szCs w:val="17"/>
          <w:color w:val="auto"/>
        </w:rPr>
        <w:t>  Sole Dispositive Power</w:t>
      </w:r>
    </w:p>
    <w:p>
      <w:pPr>
        <w:spacing w:after="0" w:line="252"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410" w:hanging="410"/>
        <w:spacing w:after="0"/>
        <w:tabs>
          <w:tab w:leader="none" w:pos="4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Shared Dispositive Power</w:t>
      </w:r>
    </w:p>
    <w:p>
      <w:pPr>
        <w:spacing w:after="0" w:line="252" w:lineRule="exact"/>
        <w:rPr>
          <w:sz w:val="20"/>
          <w:szCs w:val="20"/>
          <w:color w:val="auto"/>
        </w:rPr>
      </w:pPr>
    </w:p>
    <w:p>
      <w:pPr>
        <w:ind w:left="510"/>
        <w:spacing w:after="0" w:line="267" w:lineRule="auto"/>
        <w:rPr>
          <w:sz w:val="20"/>
          <w:szCs w:val="20"/>
          <w:color w:val="auto"/>
        </w:rPr>
      </w:pPr>
      <w:r>
        <w:rPr>
          <w:rFonts w:ascii="Times New Roman" w:cs="Times New Roman" w:eastAsia="Times New Roman" w:hAnsi="Times New Roman"/>
          <w:sz w:val="17"/>
          <w:szCs w:val="17"/>
          <w:color w:val="auto"/>
        </w:rPr>
        <w:t>34,452,822 shares, of which 0 shares are directly owned by SEQUOIA CAPITAL USV XIV HOLDCO, 0 shares are directly owned by SEQUOIA CAPITAL U.S. GROWTH FUND VI, 0 shares are directly owned by SEQUOIA CAPITAL U.S. GROWTH VI PRINCIPALS FUND, 4,405,162 shares are directly owned by SEQUOIA CAPITAL GLOBAL GROWTH FUND II, 68,020 shares are directly owned by SEQUOIA CAPITAL GLOBAL GROWTH II PRINCIPALS FUND, 1,217,532 shares are directly owned by SCGGF III – U.S./INDIA MANAGEMENT, 1,774,756 shares are directly owned by SEQUOIA CAPITAL U.S. GROWTH FUND VII, 164,955 shares are directly owned by SEQUOIA CAPITAL U.S. GROWTH VII PRINCIPALS FUND, 351,374 shares are directly owned by SC GGF III, 1,000,000 shares are directly owned by SC US/E EXPANSION FUND I, 2,150,331 shares are directly owned by SC US/E EXPANSION FUND I MGMT, 3,108,968 shares are directly owned by SCFP and 20,211,724 shares are directly owned by SCF. SEQUOIA CAPITAL U.S. VENTURE FUND XIV, SEQUOIA CAPITAL U.S. VENTURE PARTNERS FUND XIV and SEQUOIA CAPITAL U.S. VENTURE PARTNERS FUND XIV (Q), together, own 100% of the outstanding shares of SEQUOIA CAPITAL USV XIV HOLDCO. The General Partner of each of SEQUOIA CAPITAL U.S. VENTURE FUND XIV, SEQUOIA CAPITAL U.S. VENTURE PARTNERS FUND XIV and SEQUOIA CAPITAL U.S. VENTURE PARTNERS FUND XIV (Q) is SC U.S. VENTURE XIV MANAGEMENT. The General Partner of each of SEQUOIA CAPITAL U.S. GROWTH FUND VI and SEQUOIA CAPITAL U.S. GROWTH VI PRINCIPALS FUND is SC U.S. GROWTH VI MANAGEMENT. The General Partner of each of SEQUOIA CAPITAL GLOBAL GROWTH FUND II and SEQUOIA CAPITAL GLOBAL GROWTH II PRINCIPALS FUND is SC GLOBAL GROWTH II MANAGEMENT. The General Partner of each of SEQUOIA CAPITAL U.S. GROWTH FUND VII and SEQUOIA CAPITAL U.S. GROWTH VII PIRNCIPALS FUND is SC U.S. GROWTH VII MANAGEMENT. The general partner of SC GGF III is SC GGF III MGMT. The general partner of SC US/E EXPANSION FUND I is SC US/E EXPANSION FUND I MGMT. The General Partner of SCF and the manager of SCFP is SEQUOIA CAPITAL FUND MANAGEMENT. SC US TTGP is the General Partner of SC U.S. VENTURE XIV MANAGEMENT, SC U.S. GROWTH VI MANAGEMENT, SC GLOBAL GROWTH II MANAGEMENT, SCGGF III- U.S./INDIA MANAGEMENT, SC U.S. GROWTH VII MANAGEMENT, SC GGF III MGMT, SC US/E EXPANSION FUND I MGMT and SEQUOIA CAPITAL FUND MANAGEMENT.</w:t>
      </w:r>
    </w:p>
    <w:p>
      <w:pPr>
        <w:sectPr>
          <w:pgSz w:w="11900" w:h="16838" w:orient="portrait"/>
          <w:cols w:equalWidth="0" w:num="2">
            <w:col w:w="887" w:space="90"/>
            <w:col w:w="9850"/>
          </w:cols>
          <w:pgMar w:left="593" w:top="283" w:right="479" w:bottom="0" w:gutter="0" w:footer="0" w:header="0"/>
          <w:type w:val="continuous"/>
        </w:sectPr>
      </w:pPr>
    </w:p>
    <w:bookmarkStart w:id="24" w:name="page25"/>
    <w:bookmarkEnd w:id="24"/>
    <w:p>
      <w:pPr>
        <w:ind w:left="327" w:hanging="327"/>
        <w:spacing w:after="0"/>
        <w:tabs>
          <w:tab w:leader="none" w:pos="3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34,452,822</w:t>
      </w:r>
    </w:p>
    <w:p>
      <w:pPr>
        <w:spacing w:after="0" w:line="3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427" w:hanging="98"/>
        <w:spacing w:after="0" w:line="207" w:lineRule="exact"/>
        <w:tabs>
          <w:tab w:leader="none" w:pos="427" w:val="left"/>
        </w:tabs>
        <w:numPr>
          <w:ilvl w:val="2"/>
          <w:numId w:val="6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267"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-2381885</wp:posOffset>
            </wp:positionV>
            <wp:extent cx="7003415" cy="1791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1791335"/>
                    </a:xfrm>
                    <a:prstGeom prst="rect">
                      <a:avLst/>
                    </a:prstGeom>
                    <a:noFill/>
                  </pic:spPr>
                </pic:pic>
              </a:graphicData>
            </a:graphic>
          </wp:anchor>
        </w:drawing>
      </w:r>
    </w:p>
    <w:p>
      <w:pPr>
        <w:sectPr>
          <w:pgSz w:w="11900" w:h="16838" w:orient="portrait"/>
          <w:cols w:equalWidth="0" w:num="1">
            <w:col w:w="10607"/>
          </w:cols>
          <w:pgMar w:left="593" w:top="135" w:right="699" w:bottom="1440" w:gutter="0" w:footer="0" w:header="0"/>
        </w:sectPr>
      </w:pPr>
    </w:p>
    <w:bookmarkStart w:id="25" w:name="page26"/>
    <w:bookmarkEnd w:id="25"/>
    <w:p>
      <w:pPr>
        <w:jc w:val="right"/>
        <w:ind w:left="427" w:right="8300" w:hanging="427"/>
        <w:spacing w:after="0" w:line="430" w:lineRule="auto"/>
        <w:tabs>
          <w:tab w:leader="none" w:pos="9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   DOUGLAS LEONE (“DL”)</w:t>
      </w:r>
    </w:p>
    <w:p>
      <w:pPr>
        <w:spacing w:after="0" w:line="1"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427" w:hanging="98"/>
        <w:spacing w:after="0" w:line="207" w:lineRule="exact"/>
        <w:tabs>
          <w:tab w:leader="none" w:pos="42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427" w:hanging="98"/>
        <w:spacing w:after="0"/>
        <w:tabs>
          <w:tab w:leader="none" w:pos="42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-1766570</wp:posOffset>
            </wp:positionV>
            <wp:extent cx="7003415" cy="8307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8307070"/>
                    </a:xfrm>
                    <a:prstGeom prst="rect">
                      <a:avLst/>
                    </a:prstGeom>
                    <a:noFill/>
                  </pic:spPr>
                </pic:pic>
              </a:graphicData>
            </a:graphic>
          </wp:anchor>
        </w:drawing>
      </w:r>
    </w:p>
    <w:p>
      <w:pPr>
        <w:spacing w:after="0" w:line="203" w:lineRule="exact"/>
        <w:rPr>
          <w:sz w:val="20"/>
          <w:szCs w:val="20"/>
          <w:color w:val="auto"/>
        </w:rPr>
      </w:pPr>
    </w:p>
    <w:p>
      <w:pPr>
        <w:ind w:left="327"/>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87" w:hanging="87"/>
        <w:spacing w:after="0"/>
        <w:tabs>
          <w:tab w:leader="none" w:pos="8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427" w:hanging="98"/>
        <w:spacing w:after="0"/>
        <w:tabs>
          <w:tab w:leader="none" w:pos="42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36" w:lineRule="exact"/>
        <w:rPr>
          <w:rFonts w:ascii="Times New Roman" w:cs="Times New Roman" w:eastAsia="Times New Roman" w:hAnsi="Times New Roman"/>
          <w:sz w:val="18"/>
          <w:szCs w:val="18"/>
          <w:color w:val="auto"/>
        </w:rPr>
      </w:pPr>
    </w:p>
    <w:p>
      <w:pPr>
        <w:ind w:left="1067" w:hanging="90"/>
        <w:spacing w:after="0"/>
        <w:tabs>
          <w:tab w:leader="none" w:pos="1067"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Sole Voting Power</w:t>
      </w:r>
    </w:p>
    <w:p>
      <w:pPr>
        <w:spacing w:after="0" w:line="263" w:lineRule="exact"/>
        <w:rPr>
          <w:rFonts w:ascii="Times New Roman" w:cs="Times New Roman" w:eastAsia="Times New Roman" w:hAnsi="Times New Roman"/>
          <w:sz w:val="17"/>
          <w:szCs w:val="17"/>
          <w:color w:val="auto"/>
        </w:rPr>
      </w:pPr>
    </w:p>
    <w:p>
      <w:pPr>
        <w:ind w:left="1487" w:hanging="92"/>
        <w:spacing w:after="0"/>
        <w:tabs>
          <w:tab w:leader="none" w:pos="1487"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1,988,869</w:t>
      </w:r>
    </w:p>
    <w:p>
      <w:pPr>
        <w:spacing w:after="0" w:line="36" w:lineRule="exact"/>
        <w:rPr>
          <w:rFonts w:ascii="Times New Roman" w:cs="Times New Roman" w:eastAsia="Times New Roman" w:hAnsi="Times New Roman"/>
          <w:sz w:val="18"/>
          <w:szCs w:val="18"/>
          <w:color w:val="auto"/>
        </w:rPr>
      </w:pPr>
    </w:p>
    <w:p>
      <w:pPr>
        <w:ind w:left="1067" w:hanging="90"/>
        <w:spacing w:after="0"/>
        <w:tabs>
          <w:tab w:leader="none" w:pos="1067"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Shared Voting Power</w:t>
      </w:r>
    </w:p>
    <w:p>
      <w:pPr>
        <w:spacing w:after="0" w:line="264"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6,042,088, of which 4,405,162 shares are directly owned by SEQUOIA CAPITAL GLOBAL GROWTH FUND II, 68,020 shares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directly owned by SEQUOIA CAPITAL GLOBAL GROWTH II PRINCIPALS FUND, 1,217,532 shares are directly owned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SCGGF III – U.S./INDIA MANAGEMENT and 351,374 shares are directly owned by SCGGF III. The General Partner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of SEQUOIA CAPITAL GLOBAL GROWTH FUND II and SEQUOIA CAPITAL GLOBAL II PRINCIPALS FUND is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 GLOBAL GROWTH II MANAGEMENT. The General Partner of SC GGF III is SC GGF III MGMT. The General Partner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each of SC GLOBAL GROWTH II MANAGEMENT, SCGGF III – U.S./INDIA MANAGEMENT and SC GGF III MGMT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 SC US (TTGP). The directors and stockholders of SC US (TTGP) who exercise voting and investment discretion with respect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shares held by SEQUOIA CAPITAL GLOBAL GROWTH FUND II, SEQUOIA CAPITAL GLOBAL GROWTH II</w:t>
            </w:r>
          </w:p>
        </w:tc>
        <w:tc>
          <w:tcPr>
            <w:tcW w:w="0" w:type="dxa"/>
            <w:vAlign w:val="bottom"/>
          </w:tcPr>
          <w:p>
            <w:pPr>
              <w:spacing w:after="0"/>
              <w:rPr>
                <w:sz w:val="1"/>
                <w:szCs w:val="1"/>
                <w:color w:val="auto"/>
              </w:rPr>
            </w:pPr>
          </w:p>
        </w:tc>
      </w:tr>
      <w:tr>
        <w:trPr>
          <w:trHeight w:val="248"/>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Pr>
          <w:p>
            <w:pPr>
              <w:spacing w:after="0"/>
              <w:rPr>
                <w:sz w:val="21"/>
                <w:szCs w:val="21"/>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PRINCIPALS FUND, SCGGF III – U.S./INDIA MANAGEMENT and SC GGF III MGMT are Messrs. DL and RB.</w:t>
            </w:r>
          </w:p>
        </w:tc>
        <w:tc>
          <w:tcPr>
            <w:tcW w:w="0" w:type="dxa"/>
            <w:vAlign w:val="bottom"/>
          </w:tcPr>
          <w:p>
            <w:pPr>
              <w:spacing w:after="0"/>
              <w:rPr>
                <w:sz w:val="1"/>
                <w:szCs w:val="1"/>
                <w:color w:val="auto"/>
              </w:rPr>
            </w:pPr>
          </w:p>
        </w:tc>
      </w:tr>
      <w:tr>
        <w:trPr>
          <w:trHeight w:val="178"/>
        </w:trPr>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top w:val="single" w:sz="8" w:color="auto"/>
            </w:tcBorders>
            <w:gridSpan w:val="2"/>
          </w:tcPr>
          <w:p>
            <w:pPr>
              <w:ind w:left="12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5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1,988,869</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9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487" w:right="60"/>
        <w:spacing w:after="0" w:line="268" w:lineRule="auto"/>
        <w:rPr>
          <w:sz w:val="20"/>
          <w:szCs w:val="20"/>
          <w:color w:val="auto"/>
        </w:rPr>
      </w:pPr>
      <w:r>
        <w:rPr>
          <w:rFonts w:ascii="Times New Roman" w:cs="Times New Roman" w:eastAsia="Times New Roman" w:hAnsi="Times New Roman"/>
          <w:sz w:val="17"/>
          <w:szCs w:val="17"/>
          <w:color w:val="auto"/>
        </w:rPr>
        <w:t>6,042,088, of which 4,405,162 shares are directly owned by SEQUOIA CAPITAL GLOBAL GROWTH FUND II, 68,020 shares are directly owned by SEQUOIA CAPITAL GLOBAL GROWTH II PRINCIPALS FUND, 1,217,532 shares are directly owned by SCGGF III – U.S./INDIA MANAGEMENT and 351,374 shares are directly owned by SCGGF III. The General Partner of each of SEQUOIA CAPITAL GLOBAL GROWTH FUND II and SEQUOIA CAPITAL GLOBAL II PRINCIPALS FUND is SC GLOBAL GROWTH II MANAGEMENT. The General Partner of SC GGF III is SC GGF III MGMT. The General Partner of each of SC GLOBAL GROWTH II MANAGEMENT, SCGGF III – U.S./INDIA MANAGEMENT and SC GGF III MGMT is SC US (TTGP). The directors and stockholders of SC US (TTGP) who exercise voting and investment discretion with respect to the shares held by SEQUOIA CAPITAL GLOBAL GROWTH FUND II, SEQUOIA CAPITAL GLOBAL GROWTH II PRINCIPALS FUND, SCGGF III – U.S./INDIA MANAGEMENT and SC GGF III MGMT are Messrs. DL and RB.</w:t>
      </w:r>
    </w:p>
    <w:p>
      <w:pPr>
        <w:spacing w:after="0" w:line="6" w:lineRule="exact"/>
        <w:rPr>
          <w:sz w:val="20"/>
          <w:szCs w:val="20"/>
          <w:color w:val="auto"/>
        </w:rPr>
      </w:pPr>
    </w:p>
    <w:p>
      <w:pPr>
        <w:ind w:left="327" w:hanging="327"/>
        <w:spacing w:after="0"/>
        <w:tabs>
          <w:tab w:leader="none" w:pos="32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8,030,957</w:t>
      </w:r>
    </w:p>
    <w:p>
      <w:pPr>
        <w:spacing w:after="0" w:line="3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427" w:hanging="98"/>
        <w:spacing w:after="0" w:line="207" w:lineRule="exact"/>
        <w:tabs>
          <w:tab w:leader="none" w:pos="427" w:val="left"/>
        </w:tabs>
        <w:numPr>
          <w:ilvl w:val="2"/>
          <w:numId w:val="6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267" w:right="26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867"/>
          </w:cols>
          <w:pgMar w:left="593" w:top="283" w:right="439" w:bottom="1440" w:gutter="0" w:footer="0" w:header="0"/>
        </w:sectPr>
      </w:pPr>
    </w:p>
    <w:bookmarkStart w:id="26" w:name="page27"/>
    <w:bookmarkEnd w:id="26"/>
    <w:p>
      <w:pPr>
        <w:ind w:left="87" w:hanging="87"/>
        <w:spacing w:after="0"/>
        <w:tabs>
          <w:tab w:leader="none" w:pos="8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Names of Reporting Persons.</w:t>
      </w:r>
    </w:p>
    <w:p>
      <w:pPr>
        <w:spacing w:after="0" w:line="263" w:lineRule="exact"/>
        <w:rPr>
          <w:rFonts w:ascii="Times New Roman" w:cs="Times New Roman" w:eastAsia="Times New Roman" w:hAnsi="Times New Roman"/>
          <w:sz w:val="17"/>
          <w:szCs w:val="17"/>
          <w:color w:val="auto"/>
        </w:rPr>
      </w:pPr>
    </w:p>
    <w:p>
      <w:pPr>
        <w:ind w:left="507" w:hanging="88"/>
        <w:spacing w:after="0"/>
        <w:tabs>
          <w:tab w:leader="none" w:pos="507"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ROELOF BOTHA (“RB”)</w:t>
      </w:r>
    </w:p>
    <w:p>
      <w:pPr>
        <w:spacing w:after="0" w:line="47"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427" w:hanging="98"/>
        <w:spacing w:after="0" w:line="207" w:lineRule="exact"/>
        <w:tabs>
          <w:tab w:leader="none" w:pos="42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427" w:hanging="98"/>
        <w:spacing w:after="0"/>
        <w:tabs>
          <w:tab w:leader="none" w:pos="42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427" w:hanging="98"/>
        <w:spacing w:after="0" w:line="207" w:lineRule="exact"/>
        <w:tabs>
          <w:tab w:leader="none" w:pos="427" w:val="left"/>
        </w:tabs>
        <w:numPr>
          <w:ilvl w:val="1"/>
          <w:numId w:val="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427" w:hanging="98"/>
        <w:spacing w:after="0"/>
        <w:tabs>
          <w:tab w:leader="none" w:pos="42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36" w:lineRule="exact"/>
        <w:rPr>
          <w:rFonts w:ascii="Times New Roman" w:cs="Times New Roman" w:eastAsia="Times New Roman" w:hAnsi="Times New Roman"/>
          <w:sz w:val="18"/>
          <w:szCs w:val="18"/>
          <w:color w:val="auto"/>
        </w:rPr>
      </w:pPr>
    </w:p>
    <w:p>
      <w:pPr>
        <w:ind w:left="1067" w:hanging="90"/>
        <w:spacing w:after="0"/>
        <w:tabs>
          <w:tab w:leader="none" w:pos="1067" w:val="left"/>
        </w:tabs>
        <w:numPr>
          <w:ilvl w:val="3"/>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Sole Voting Power</w:t>
      </w:r>
    </w:p>
    <w:p>
      <w:pPr>
        <w:spacing w:after="0" w:line="263" w:lineRule="exact"/>
        <w:rPr>
          <w:rFonts w:ascii="Times New Roman" w:cs="Times New Roman" w:eastAsia="Times New Roman" w:hAnsi="Times New Roman"/>
          <w:sz w:val="17"/>
          <w:szCs w:val="17"/>
          <w:color w:val="auto"/>
        </w:rPr>
      </w:pPr>
    </w:p>
    <w:p>
      <w:pPr>
        <w:ind w:left="1487" w:hanging="92"/>
        <w:spacing w:after="0"/>
        <w:tabs>
          <w:tab w:leader="none" w:pos="1487" w:val="left"/>
        </w:tabs>
        <w:numPr>
          <w:ilvl w:val="4"/>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643,015</w:t>
      </w:r>
    </w:p>
    <w:p>
      <w:pPr>
        <w:spacing w:after="0" w:line="36" w:lineRule="exact"/>
        <w:rPr>
          <w:rFonts w:ascii="Times New Roman" w:cs="Times New Roman" w:eastAsia="Times New Roman" w:hAnsi="Times New Roman"/>
          <w:sz w:val="18"/>
          <w:szCs w:val="18"/>
          <w:color w:val="auto"/>
        </w:rPr>
      </w:pPr>
    </w:p>
    <w:p>
      <w:pPr>
        <w:ind w:left="1067" w:hanging="90"/>
        <w:spacing w:after="0"/>
        <w:tabs>
          <w:tab w:leader="none" w:pos="1067" w:val="left"/>
        </w:tabs>
        <w:numPr>
          <w:ilvl w:val="3"/>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-3103880</wp:posOffset>
            </wp:positionV>
            <wp:extent cx="7003415" cy="8306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3415" cy="8306435"/>
                    </a:xfrm>
                    <a:prstGeom prst="rect">
                      <a:avLst/>
                    </a:prstGeom>
                    <a:noFill/>
                  </pic:spPr>
                </pic:pic>
              </a:graphicData>
            </a:graphic>
          </wp:anchor>
        </w:drawing>
      </w:r>
    </w:p>
    <w:p>
      <w:pPr>
        <w:spacing w:after="0" w:line="244"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6,042,088, of which 4,405,162 shares are directly owned by SEQUOIA CAPITAL GLOBAL GROWTH FUND II, 68,020 shares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directly owned by SEQUOIA CAPITAL GLOBAL GROWTH II PRINCIPALS FUND, 1,217,532 shares are directly owned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SCGGF III – U.S./INDIA MANAGEMENT and 351,374 shares are directly owned by SCGGF III. The General Partner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of SEQUOIA CAPITAL GLOBAL GROWTH FUND II and SEQUOIA CAPITAL GLOBAL II PRINCIPALS FUND is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 GLOBAL GROWTH II MANAGEMENT. The General Partner of SC GGF III is SC GGF III MGMT. The General Partner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each of SC GLOBAL GROWTH II MANAGEMENT, SCGGF III – U.S./INDIA MANAGEMENT and SC GGF III MGMT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 SC US (TTGP). The directors and stockholders of SC US (TTGP) who exercise voting and investment discretion with respect</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shares held by SEQUOIA CAPITAL GLOBAL GROWTH FUND II, SEQUOIA CAPITAL GLOBAL GROWTH II</w:t>
            </w:r>
          </w:p>
        </w:tc>
        <w:tc>
          <w:tcPr>
            <w:tcW w:w="0" w:type="dxa"/>
            <w:vAlign w:val="bottom"/>
          </w:tcPr>
          <w:p>
            <w:pPr>
              <w:spacing w:after="0"/>
              <w:rPr>
                <w:sz w:val="1"/>
                <w:szCs w:val="1"/>
                <w:color w:val="auto"/>
              </w:rPr>
            </w:pPr>
          </w:p>
        </w:tc>
      </w:tr>
      <w:tr>
        <w:trPr>
          <w:trHeight w:val="248"/>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Pr>
          <w:p>
            <w:pPr>
              <w:spacing w:after="0"/>
              <w:rPr>
                <w:sz w:val="21"/>
                <w:szCs w:val="21"/>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PRINCIPALS FUND, SCGGF III – U.S./INDIA MANAGEMENT and SC GGF III MGMT are Messrs. DL and RB.</w:t>
            </w:r>
          </w:p>
        </w:tc>
        <w:tc>
          <w:tcPr>
            <w:tcW w:w="0" w:type="dxa"/>
            <w:vAlign w:val="bottom"/>
          </w:tcPr>
          <w:p>
            <w:pPr>
              <w:spacing w:after="0"/>
              <w:rPr>
                <w:sz w:val="1"/>
                <w:szCs w:val="1"/>
                <w:color w:val="auto"/>
              </w:rPr>
            </w:pPr>
          </w:p>
        </w:tc>
      </w:tr>
      <w:tr>
        <w:trPr>
          <w:trHeight w:val="178"/>
        </w:trPr>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top w:val="single" w:sz="8" w:color="auto"/>
            </w:tcBorders>
            <w:gridSpan w:val="2"/>
          </w:tcPr>
          <w:p>
            <w:pPr>
              <w:ind w:left="120"/>
              <w:spacing w:after="0" w:line="177" w:lineRule="exact"/>
              <w:rPr>
                <w:sz w:val="20"/>
                <w:szCs w:val="20"/>
                <w:color w:val="auto"/>
              </w:rPr>
            </w:pPr>
            <w:r>
              <w:rPr>
                <w:rFonts w:ascii="Times New Roman" w:cs="Times New Roman" w:eastAsia="Times New Roman" w:hAnsi="Times New Roman"/>
                <w:sz w:val="18"/>
                <w:szCs w:val="18"/>
                <w:color w:val="auto"/>
              </w:rPr>
              <w:t>  9.</w:t>
            </w:r>
          </w:p>
        </w:tc>
        <w:tc>
          <w:tcPr>
            <w:tcW w:w="95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Pr>
          <w:p>
            <w:pPr>
              <w:spacing w:after="0"/>
              <w:rPr>
                <w:sz w:val="19"/>
                <w:szCs w:val="19"/>
                <w:color w:val="auto"/>
              </w:rPr>
            </w:pPr>
          </w:p>
        </w:tc>
        <w:tc>
          <w:tcPr>
            <w:tcW w:w="9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643,015</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9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487" w:right="60"/>
        <w:spacing w:after="0" w:line="268" w:lineRule="auto"/>
        <w:rPr>
          <w:sz w:val="20"/>
          <w:szCs w:val="20"/>
          <w:color w:val="auto"/>
        </w:rPr>
      </w:pPr>
      <w:r>
        <w:rPr>
          <w:rFonts w:ascii="Times New Roman" w:cs="Times New Roman" w:eastAsia="Times New Roman" w:hAnsi="Times New Roman"/>
          <w:sz w:val="17"/>
          <w:szCs w:val="17"/>
          <w:color w:val="auto"/>
        </w:rPr>
        <w:t>6,042,088, of which 4,405,162 shares are directly owned by SEQUOIA CAPITAL GLOBAL GROWTH FUND II, 68,020 shares are directly owned by SEQUOIA CAPITAL GLOBAL GROWTH II PRINCIPALS FUND, 1,217,532 shares are directly owned by SCGGF III – U.S./INDIA MANAGEMENT and 351,374 shares are directly owned by SCGGF III. The General Partner of each of SEQUOIA CAPITAL GLOBAL GROWTH FUND II and SEQUOIA CAPITAL GLOBAL II PRINCIPALS FUND is SC GLOBAL GROWTH II MANAGEMENT. The General Partner of SC GGF III is SC GGF III MGMT. The General Partner of each of SC GLOBAL GROWTH II MANAGEMENT, SCGGF III – U.S./INDIA MANAGEMENT and SC GGF III MGMT is SC US (TTGP). The directors and stockholders of SC US (TTGP) who exercise voting and investment discretion with respect to the shares held by SEQUOIA CAPITAL GLOBAL GROWTH FUND II, SEQUOIA CAPITAL GLOBAL GROWTH II PRINCIPALS FUND, SCGGF III – U.S./INDIA MANAGEMENT and SC GGF III MGMT are Messrs. DL and RB.</w:t>
      </w:r>
    </w:p>
    <w:p>
      <w:pPr>
        <w:spacing w:after="0" w:line="6" w:lineRule="exact"/>
        <w:rPr>
          <w:sz w:val="20"/>
          <w:szCs w:val="20"/>
          <w:color w:val="auto"/>
        </w:rPr>
      </w:pPr>
    </w:p>
    <w:p>
      <w:pPr>
        <w:ind w:left="327" w:hanging="327"/>
        <w:spacing w:after="0"/>
        <w:tabs>
          <w:tab w:leader="none" w:pos="3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6,685,103</w:t>
      </w:r>
    </w:p>
    <w:p>
      <w:pPr>
        <w:spacing w:after="0" w:line="3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427" w:hanging="98"/>
        <w:spacing w:after="0" w:line="207" w:lineRule="exact"/>
        <w:tabs>
          <w:tab w:leader="none" w:pos="427" w:val="left"/>
        </w:tabs>
        <w:numPr>
          <w:ilvl w:val="2"/>
          <w:numId w:val="6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125" w:lineRule="exact"/>
        <w:rPr>
          <w:rFonts w:ascii="Times New Roman" w:cs="Times New Roman" w:eastAsia="Times New Roman" w:hAnsi="Times New Roman"/>
          <w:sz w:val="18"/>
          <w:szCs w:val="18"/>
          <w:color w:val="auto"/>
        </w:rPr>
      </w:pPr>
    </w:p>
    <w:p>
      <w:pPr>
        <w:ind w:left="3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26"/>
          <w:szCs w:val="26"/>
          <w:color w:val="auto"/>
          <w:vertAlign w:val="subscript"/>
        </w:rPr>
        <w:t>1</w:t>
      </w:r>
    </w:p>
    <w:p>
      <w:pPr>
        <w:spacing w:after="0" w:line="5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7" w:lineRule="exact"/>
        <w:rPr>
          <w:rFonts w:ascii="Times New Roman" w:cs="Times New Roman" w:eastAsia="Times New Roman" w:hAnsi="Times New Roman"/>
          <w:sz w:val="18"/>
          <w:szCs w:val="18"/>
          <w:color w:val="auto"/>
        </w:rPr>
      </w:pPr>
    </w:p>
    <w:p>
      <w:pPr>
        <w:ind w:left="427" w:hanging="98"/>
        <w:spacing w:after="0"/>
        <w:tabs>
          <w:tab w:leader="none" w:pos="427"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267" w:right="260" w:hanging="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Based on a total of 257,104,661 shares of Class A common stock as of August 14, 2024, as reported in the Issuer’s Quarterly Report on Form 10-Q filed with the Securities and Exchange Commission on August 9, 2024, and reflecting the repurchase of 3,700,000 shares of Class A common stock as reported in the Issuer’s Current Report on Form 8-K filed with the Securities and Exchange Commission on August 14, 2024.</w:t>
      </w:r>
    </w:p>
    <w:p>
      <w:pPr>
        <w:sectPr>
          <w:pgSz w:w="11900" w:h="16838" w:orient="portrait"/>
          <w:cols w:equalWidth="0" w:num="1">
            <w:col w:w="10867"/>
          </w:cols>
          <w:pgMar w:left="593" w:top="283" w:right="439" w:bottom="1440" w:gutter="0" w:footer="0" w:header="0"/>
        </w:sectPr>
      </w:pPr>
    </w:p>
    <w:bookmarkStart w:id="27" w:name="page28"/>
    <w:bookmarkEnd w:id="27"/>
    <w:p>
      <w:pPr>
        <w:ind w:left="4"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this Amendment No. 4 (this “Amendment”), the initial Schedule 13D that was filed on February 27, 2024, as amended by Amendment No. 1 thereto on August 13, 2024 (“Amendment No. 1”), Amendment No. 2 thereto on August 28, 2024 (“Amendment No. 2”) and Amendment No. 3 thereto on September 4, 2024 (“Amendment No. 3” and collectively, with the initial Schedule 13D, Amendment No. 1 and Amendment No. 2, the “Original 13D”) remains in effect, and capitalized terms used herein but not defined herein have such respective meanings, as defined in such Original 13D. The information set forth in response to the Item below shall be deemed to be a response to all Items where such information is relevant. The information set forth in the Exhibits to the Original 13D is expressly incorporated herein by reference and the response to each Item of this Statement is qualified in its entirety by the provisions of such Exhibits.</w:t>
      </w:r>
    </w:p>
    <w:p>
      <w:pPr>
        <w:spacing w:after="0" w:line="18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Reporting Persons are filing this Amendment to reflect a distribution pro rata in-kind shares of Class A Common Stock of the Company to partners or members for no consideration by Sequoia Capital USV XIV Holdco, Sequoia Capital U.S. Growth Fund VI and Sequoia Capital U.S. Growth VI Principals Fund and subsequent distributions by general partners or managing members to their respective partners or members and, in certain cases, the contribution by such partners or members to the applicable recipient fund. This amendment also reflects the addition of SCFP, SCF and Sequoia Capital Fund Management as Reporting Persons.</w:t>
      </w:r>
    </w:p>
    <w:p>
      <w:pPr>
        <w:spacing w:after="0" w:line="328"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Paragraphs (a), (b), (c) and (e) of Item 5 are hereby amended and restated in their entirety as follows:</w:t>
      </w:r>
    </w:p>
    <w:p>
      <w:pPr>
        <w:spacing w:after="0" w:line="117" w:lineRule="exact"/>
        <w:rPr>
          <w:sz w:val="20"/>
          <w:szCs w:val="20"/>
          <w:color w:val="auto"/>
        </w:rPr>
      </w:pPr>
    </w:p>
    <w:p>
      <w:pPr>
        <w:ind w:left="4" w:hanging="4"/>
        <w:spacing w:after="0" w:line="254"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Class A Common Stock and the percentage of total outstanding Class A Common Stock beneficially owned by the Reporting Persons is set forth below. References to percentage ownerships of Class A Common Stock in this Statement are based upon the 257,104,661 shares of Class A common stock stated to be outstanding as of July 31, 2024, as reported in the Company’s Quarterly Report on Form 10-Q filed with the Securities and Exchange Commission on August 9, 2024, and reflecting the repurchase of 3,700,000 shares of Class A common stock as reported in the Company’s Current Report on Form 8-K filed with the Securities and Exchange Commission on August 14, 2024. The Reporting Persons may be deemed to beneficially own an aggregate of 34,452,822 shares of Class A Common Stock, which constitutes approximately 13.4 % of the Company’s Class A Common Stock, calculated in accordance with Rule 13d-3 under the Act. The filing of this Statement shall not be construed as an admission that a Reporting Person beneficially owns those shares held by any other Reporting Person.</w:t>
      </w:r>
    </w:p>
    <w:p>
      <w:pPr>
        <w:spacing w:after="0" w:line="192"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Sequoia Capital USV XIV Holdco beneficially owns 0 shares of Class A Common Stock, which represents approximately 0% of the outstanding Class A Common Stock calculated in accordance with the requirements of Rule 13d-3 under the Act.</w:t>
      </w:r>
    </w:p>
    <w:p>
      <w:pPr>
        <w:spacing w:after="0" w:line="162"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Sequoia Capital U.S. Growth Fund VI beneficially owns 0 shares of Class A Common Stock, which represents approximately 0% of the outstanding Class A Common Stock calculated in accordance with the requirements of Rule 13d-3 under the Act.</w:t>
      </w:r>
    </w:p>
    <w:p>
      <w:pPr>
        <w:spacing w:after="0" w:line="162"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Sequoia Capital U.S. Growth VI Principals Fund beneficially owns 0 shares of Class A Common Stock, which represents 0% of the outstanding Class A Common Stock calculated in accordance with the requirements of Rule 13d-3 under the Act.</w:t>
      </w:r>
    </w:p>
    <w:p>
      <w:pPr>
        <w:spacing w:after="0" w:line="162"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Sequoia Capital Global Growth Fund II beneficially owns 4,405,162 shares of Class A Common Stock, which represents approximately 1.7% of the outstanding Class A Common Stock calculated in accordance with the requirements of Rule 13d-3 under the Act.</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Sequoia Capital Global Growth II Principals Fund beneficially owns 68,020 shares of Class A Common Stock, which represents approximately less than 0.1% of the outstanding Class A Common Stock calculated in accordance with the requirements of Rule 13d-3 under the Act.</w:t>
      </w:r>
    </w:p>
    <w:p>
      <w:pPr>
        <w:spacing w:after="0" w:line="162"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Sequoia Capital U.S. Growth Fund VII beneficially owns 1,774,756 shares of Class A Common Stock, which represents approximately 0.7% of the outstanding Class A Common Stock calculated in accordance with the requirements of Rule 13d-3 under the Act.</w:t>
      </w:r>
    </w:p>
    <w:p>
      <w:pPr>
        <w:sectPr>
          <w:pgSz w:w="11900" w:h="16838" w:orient="portrait"/>
          <w:cols w:equalWidth="0" w:num="1">
            <w:col w:w="11004"/>
          </w:cols>
          <w:pgMar w:left="436" w:top="270" w:right="459" w:bottom="1440" w:gutter="0" w:footer="0" w:header="0"/>
        </w:sectPr>
      </w:pPr>
    </w:p>
    <w:bookmarkStart w:id="28" w:name="page29"/>
    <w:bookmarkEnd w:id="28"/>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Sequoia Capital U.S. Growth VII Principals Fund beneficially owns 164,955 shares of Class A Common Stock, which represents approximately less than 0.1% of the outstanding Class A Common Stock calculated in accordance with the requirements of Rule 13d-3 under the Act.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SC GGF III beneficially owns 351,374 shares of Class A Common Stock, which represents approximately 0.1% of the outstanding Class A Common Stock calculated in accordance with the requirements of Rule 13d-3 under the Act.</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SC US/E Expansion Fund I beneficially owns 1,000,000 shares of Class A Common Stock, which represents approximately 0.4% of the outstanding Class A Common Stock calculated in accordance with the requirements of Rule 13d-3 under the Act.</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Sequoia Capital Fund Parallel, LLC beneficially owns 3,108,968 shares of Class A Common Stock, which represents approximately 1.2% of the outstanding Class A Common Stock calculated in accordance with the requirements of Rule 13d-3 under the Act.</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Sequoia Capital Fund, L.P. beneficially owns 20,211,724 shares of Class A Common Stock, which represents approximately 7.9% of the outstanding Class A Common Stock calculated in accordance with the requirements of Rule 13d-3 under the Act.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SC US/E Expansion Fund I MGMT, as the general partner of SC US/E Expansion Fund I, may be deemed to beneficially own an aggregate of 3,150,331 shares of Class A Common Stock, which represents approximately 1.2% of the outstanding Class A Common Stock calculated in accordance with the requirements of Rule 13d-3 under the Act.</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SC U.S. Venture Fund XIV may be deemed to beneficially own an aggregate of 0 shares of Class A Common Stock directly owned by Sequoia Capital USV XIV Holdco, SC U.S. Venture Fund XIV, SC U.S. Venture Partners Fund XIV and SC U.S. Venture Fund XIV (Q), which together own 100% of the outstanding shares of Sequoia Capital USV XIV Holdco, and which represents approximately 0% of the outstanding Class A Common Stock calculated in accordance with the requirements of Rule 13d-3 under the Act.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SC U.S. Venture Partners Fund XIV may be deemed to beneficially own an aggregate of 0 shares of Class A Common Stock directly owned by Sequoia Capital USV XIV Holdco, SC U.S. Venture Fund XIV, SC U.S. Venture Partners Fund XIV and SC U.S. Venture Fund XIV (Q), which together own 100% of the outstanding shares of Sequoia Capital USV XIV Holdco, and which represents approximately 0% of the outstanding Class A Common Stock calculated in accordance with the requirements of Rule 13d-3 under the Act.</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SC U.S. Venture Fund XIV (Q) may be deemed to beneficially own an aggregate of 0 shares of Class A Common Stock directly owned by Sequoia Capital USV XIV Holdco, SC U.S. Venture Fund XIV, SC U.S. Venture Partners Fund XIV and SC U.S. Venture Fund XIV (Q), which together own 100% of the outstanding shares of Sequoia Capital USV XIV Holdco, and which represents approximately 0% of the outstanding Class A Common Stock calculated in accordance with the requirements of Rule 13d-3 under the Act.</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Sequoia Capital Fund Management, L.P., as the general partner of Sequoia Capital Fund, L.P. and manager of Sequoia Capital Fund Parallel, LLC, may be deemed to beneficially own an aggregate of 23,320,692 shares of Class A Common Stock, which represents approximately 9.1% of the outstanding Class A Common Stock calculated in accordance with the requirements of Rule 13d-3 under the Act.</w:t>
      </w:r>
    </w:p>
    <w:p>
      <w:pPr>
        <w:spacing w:after="0" w:line="176"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SC U.S. XIV Management, as the general partner of Sequoia Capital USV XIV Holdco, SC U.S. Venture Fund XIV, SC U.S. Venture Partners Fund XIV and SC U.S. Venture Fund XIV (Q), may be deemed to beneficially own an aggregate of 0 shares of Class A Common Stock, which represents approximately 0% of the outstanding Class A Common Stock calculated in accordance with the requirements of Rule 13d-3 under the Act.</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SC U.S. Growth VI Management, as the general partner of Sequoia Capital U.S. Growth Fund VI and Sequoia Capital U.S. Growth VI Principals Fund, may be deemed to beneficially own an aggregate of 0 shares of Class A</w:t>
      </w:r>
    </w:p>
    <w:p>
      <w:pPr>
        <w:sectPr>
          <w:pgSz w:w="11900" w:h="16838" w:orient="portrait"/>
          <w:cols w:equalWidth="0" w:num="1">
            <w:col w:w="11000"/>
          </w:cols>
          <w:pgMar w:left="440" w:top="270" w:right="459" w:bottom="1440" w:gutter="0" w:footer="0" w:header="0"/>
        </w:sectPr>
      </w:pPr>
    </w:p>
    <w:bookmarkStart w:id="29" w:name="page30"/>
    <w:bookmarkEnd w:id="29"/>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which represents approximately 0% of the outstanding Class A Common Stock calculated in accordance with the requirements of Rule 13d-3 under the Act.</w:t>
      </w:r>
    </w:p>
    <w:p>
      <w:pPr>
        <w:spacing w:after="0" w:line="162"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SC Global Growth II Management, as the general partner of Sequoia Capital U.S. Growth Fund II and Sequoia Capital U.S. Growth II Principals Fund, may be deemed to beneficially own an aggregate of 4,473,182 shares of Class A Common Stock, which represents approximately 1.7% of the outstanding Class A Common Stock calculated in accordance with the requirements of Rule 13d-3 under the Act.</w:t>
      </w:r>
    </w:p>
    <w:p>
      <w:pPr>
        <w:spacing w:after="0" w:line="176"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SCGGF III – U.S./India Management beneficially owns 1,217,532 shares of Class A Common Stock, which represents approximately 0.5% of the outstanding Class A Common Stock calculated in accordance with the requirements of Rule 13d-3 under the Act.</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SC U.S. Growth VII Management, as the general partner of Sequoia Capital U.S. Growth Fund VII and Sequoia Capital U.S. Growth Fund VII, may be deemed to beneficially own an aggregate of 1,939,711 shares of Class A Common Stock, which represents approximately 0.8% of the outstanding Class A Common Stock calculated in accordance with the requirements of Rule 13d-3 under the Act.</w:t>
      </w:r>
    </w:p>
    <w:p>
      <w:pPr>
        <w:spacing w:after="0" w:line="176"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SC GGF III MGMT, as the general partner of SC GGF III, may be deemed to beneficially own an aggregate of 351,374 shares of Class A Common Stock, which represents approximately 0.1% of the outstanding Class A Common Stock calculated in accordance with the requirements of Rule 13d-3 under the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 US (TTGP), as the general partner of SC U.S. XIV Management, SC U.S. Growth VI Management, SC Global Growth II Management, SCGGF III</w:t>
      </w:r>
    </w:p>
    <w:p>
      <w:pPr>
        <w:spacing w:after="0" w:line="27" w:lineRule="exact"/>
        <w:rPr>
          <w:sz w:val="20"/>
          <w:szCs w:val="20"/>
          <w:color w:val="auto"/>
        </w:rPr>
      </w:pPr>
    </w:p>
    <w:p>
      <w:pPr>
        <w:ind w:left="4" w:right="160"/>
        <w:spacing w:after="0" w:line="255" w:lineRule="auto"/>
        <w:rPr>
          <w:sz w:val="20"/>
          <w:szCs w:val="20"/>
          <w:color w:val="auto"/>
        </w:rPr>
      </w:pPr>
      <w:r>
        <w:rPr>
          <w:rFonts w:ascii="Times New Roman" w:cs="Times New Roman" w:eastAsia="Times New Roman" w:hAnsi="Times New Roman"/>
          <w:sz w:val="18"/>
          <w:szCs w:val="18"/>
          <w:color w:val="auto"/>
        </w:rPr>
        <w:t>– U.S./India Management, SC U.S. Growth VII Management, SC GGF III MGMT, SC US/E Expansion Fund I MGMT and Sequoia Capital Fund Management, L.P., may be deemed to beneficially own an aggregate of 34,452,822 shares of Class A Common Stock, which represents approximately 13.4% of the outstanding Class A Common Stock calculated in accordance with the requirements of Rule 13d-3 under the Act.</w:t>
      </w:r>
    </w:p>
    <w:p>
      <w:pPr>
        <w:spacing w:after="0" w:line="18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DL and RB are the directors and stockholders of SC US TTGP who exercise voting and investment discretion with respect to the shares held by SC GGF III. SC US TTGP is the general partner of SC U.S. XIV Management, SC U.S. Growth VI Management, SC Global Growth II Management, SCGGF III – U.S./India Management, SC U.S. Growth VII Management, SC GGF III MGMT and SC US/E Expansion Fund I MGMT. As such, DL and RB may be deemed to beneficially own an aggregate of 8,030,957 and 6,685,103 shares of Class A Common Stock, which represents approximately 3.1% and 2.6% of the outstanding Class A Common Stock calculated in accordance with the requirements of Rule 13d-3 under the Act.</w:t>
      </w:r>
    </w:p>
    <w:p>
      <w:pPr>
        <w:spacing w:after="0" w:line="183"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By virtue of the relationship described herein, the Reporting Persons may be deemed to constitute a “group” for purposes of Rule 13(d)(3) of the Act. Each Reporting Person expressly disclaims beneficial ownership of any securities reported herein except to the extent such Reporting Person actually exercises voting or dispositive power with respect to such securities.</w:t>
      </w:r>
    </w:p>
    <w:p>
      <w:pPr>
        <w:spacing w:after="0" w:line="176" w:lineRule="exact"/>
        <w:rPr>
          <w:sz w:val="20"/>
          <w:szCs w:val="20"/>
          <w:color w:val="auto"/>
        </w:rPr>
      </w:pPr>
    </w:p>
    <w:p>
      <w:pPr>
        <w:ind w:left="4" w:right="60" w:hanging="4"/>
        <w:spacing w:after="0" w:line="266"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Common Stock as to which each of the Reporting Persons has sole or shared power to vote, direct the vote, dispose or direct the disposition are as set forth in rows seven through ten of the cover pages hereof. The information set forth in Item 2 is hereby incorporated by reference into this Item 5(b).</w:t>
      </w:r>
    </w:p>
    <w:p>
      <w:pPr>
        <w:spacing w:after="0" w:line="175" w:lineRule="exact"/>
        <w:rPr>
          <w:rFonts w:ascii="Times New Roman" w:cs="Times New Roman" w:eastAsia="Times New Roman" w:hAnsi="Times New Roman"/>
          <w:sz w:val="18"/>
          <w:szCs w:val="18"/>
          <w:color w:val="auto"/>
        </w:rPr>
      </w:pPr>
    </w:p>
    <w:p>
      <w:pPr>
        <w:ind w:left="4" w:right="80" w:hanging="4"/>
        <w:spacing w:after="0" w:line="253" w:lineRule="auto"/>
        <w:tabs>
          <w:tab w:leader="none" w:pos="2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Amendment No. 2, Amendment No. 3 and in this Item 5(c), the Reporting Persons have not effected any transactions in the Class A Common Stock during the past 60 days. On September 5, 2024, Sequoia Capital USV XIV Holdco, Sequoia Capital U.S. Growth Fund VI and Sequoia Capital U.S. Growth VI Principals Fund distributed pro rata in-kind shares of Class A Common Stock of the Company to partners or members for no consideration. Sequoia Capital USV XIV Holdco distributed 5,145,305 shares of Class A Common Stock, Sequoia Capital U.S. Growth Fund VI distributed 948,842 shares of Class A Common Stock and Sequoia Capital U.S. Growth VI Principals Fund distributed 61,603 shares of Class A Common Stock. As a result of those distributions, including subsequent distributions by general partners or managing members to their respective partners or members and, in certain cases, the contribution by such partners or members to the applicable recipient fund, SCF acquired beneficial ownership of 20,211,724 shares of Class A Common Stock, SCFP acquired beneficial ownership of 3,108,968 shares of Class A Common Stock, RB acquired sole beneficial ownership of 643,015 shares of Class A Common Stock and DL acquired sole beneficial ownership of 1,988,869 shares of Class A Common Stock.</w:t>
      </w:r>
    </w:p>
    <w:p>
      <w:pPr>
        <w:sectPr>
          <w:pgSz w:w="11900" w:h="16838" w:orient="portrait"/>
          <w:cols w:equalWidth="0" w:num="1">
            <w:col w:w="10984"/>
          </w:cols>
          <w:pgMar w:left="436" w:top="270" w:right="479" w:bottom="1440" w:gutter="0" w:footer="0" w:header="0"/>
        </w:sectPr>
      </w:pPr>
    </w:p>
    <w:bookmarkStart w:id="30" w:name="page31"/>
    <w:bookmarkEnd w:id="30"/>
    <w:p>
      <w:pPr>
        <w:ind w:left="4" w:hanging="4"/>
        <w:spacing w:after="0" w:line="266"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September 5, 2024, Sequoia Capital USV XIV Holdco, Sequoia Capital U.S. Growth Fund VI, Sequoia Capital U.S. Growth VI Principals Fund, SC U.S. Venture Fund XIV, SC U.S. Venture Partners Fund XIV, SC U.S. Venture Fund XIV (Q), SC U.S. XIV Management and SC U.S. Growth VI Management no longer hold any shares of Class A Common Stock.</w:t>
      </w:r>
    </w:p>
    <w:p>
      <w:pPr>
        <w:sectPr>
          <w:pgSz w:w="11900" w:h="16838" w:orient="portrait"/>
          <w:cols w:equalWidth="0" w:num="1">
            <w:col w:w="10984"/>
          </w:cols>
          <w:pgMar w:left="436" w:top="270" w:right="479" w:bottom="1440" w:gutter="0" w:footer="0" w:header="0"/>
        </w:sectPr>
      </w:pPr>
    </w:p>
    <w:bookmarkStart w:id="31" w:name="page32"/>
    <w:bookmarkEnd w:id="3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9,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USV XIV Holdco, Ltd.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Sequoia Capital U.S. Venture Fund XIV, L.P.</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Sequoia Capital U.S. Venture Partners Fund XIV, L.P.</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Sequoia Capital U.S. Venture Partners Fund XIV (Q),</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Members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Venture XIV Management, L.P.</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the General Partner of each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U.S. Growth Fund VI,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Growth VI Management, L.P.</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U.S. Growth VI Principals Fund,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Growth VI Management, L.P.</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Roelof Botha, Authorized Signatory</w:t>
      </w:r>
    </w:p>
    <w:p>
      <w:pPr>
        <w:sectPr>
          <w:pgSz w:w="11900" w:h="16838" w:orient="portrait"/>
          <w:cols w:equalWidth="0" w:num="1">
            <w:col w:w="10860"/>
          </w:cols>
          <w:pgMar w:left="440" w:top="266" w:right="599" w:bottom="1440" w:gutter="0" w:footer="0" w:header="0"/>
        </w:sectPr>
      </w:pPr>
    </w:p>
    <w:bookmarkStart w:id="32" w:name="page33"/>
    <w:bookmarkEnd w:id="3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Sequoia Capital Global Growth Fund II,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Global Growth II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Sequoia Capital Global Growth II Principals Fund,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Global Growth II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Sequoia Capital U.S. Growth Fund VII,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Growth VII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Sequoia Capital U.S. Growth VII Principals Fund,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Growth VII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ectPr>
          <w:pgSz w:w="11900" w:h="16838" w:orient="portrait"/>
          <w:cols w:equalWidth="0" w:num="1">
            <w:col w:w="9600"/>
          </w:cols>
          <w:pgMar w:left="1440" w:top="270" w:right="859" w:bottom="1440" w:gutter="0" w:footer="0" w:header="0"/>
        </w:sectPr>
      </w:pPr>
    </w:p>
    <w:bookmarkStart w:id="33" w:name="page34"/>
    <w:bookmarkEnd w:id="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Sequoia Capital Global Growth Fund III - Endurance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Sequoia Capital Global Growth Fund III – Endurance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Partners Management, L.P.</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Manager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Sequoia Capital US/E Expansion Fund 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Sequoia Capital US/E Expansion Fund I,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Management, L.P.</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Sequoia Capital US/E Expansion Fund I, L.P. Management,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Sequoia Capital U.S. Venture Fund XIV,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Venture XIV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ectPr>
          <w:pgSz w:w="11900" w:h="16838" w:orient="portrait"/>
          <w:cols w:equalWidth="0" w:num="1">
            <w:col w:w="9920"/>
          </w:cols>
          <w:pgMar w:left="1440" w:top="270" w:right="539"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Sequoia Capital U.S. Venture Partners Fund XIV,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Venture XIV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Sequoia Capital U.S. Venture Partners Fund XIV (Q),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Venture XIV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 U.S. Venture XIV Management,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 U.S. Growth VI Management,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 Global Growth II Management,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ectPr>
          <w:pgSz w:w="11900" w:h="16838" w:orient="portrait"/>
          <w:cols w:equalWidth="0" w:num="1">
            <w:col w:w="9800"/>
          </w:cols>
          <w:pgMar w:left="1440" w:top="270" w:right="659" w:bottom="1440" w:gutter="0" w:footer="0" w:header="0"/>
        </w:sectPr>
      </w:pPr>
    </w:p>
    <w:bookmarkStart w:id="35" w:name="page36"/>
    <w:bookmarkEnd w:id="3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SCGGF III – U.S./India Management,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 U.S. Growth VII Management,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Sequoia Capital Global Growth Fund III – Endurance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 Management,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Sequoia Capital Global Growth Fund III – Endurance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Partners Management, L.P.</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Sequoia Capital Fund Parallel, LLC</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Sequoia Capital Fund Management,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Sequoia Capital Fund, 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Sequoia Capital Fund Management,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ectPr>
          <w:pgSz w:w="11900" w:h="16838" w:orient="portrait"/>
          <w:cols w:equalWidth="0" w:num="1">
            <w:col w:w="9840"/>
          </w:cols>
          <w:pgMar w:left="1440" w:top="270" w:right="619" w:bottom="1440" w:gutter="0" w:footer="0" w:header="0"/>
        </w:sectPr>
      </w:pPr>
    </w:p>
    <w:bookmarkStart w:id="36" w:name="page37"/>
    <w:bookmarkEnd w:id="3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Sequoia Capital Fund Management,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Sequoia Capital Fund Management,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 US (TTGP),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Roelof Botha, Authorized Signatory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Douglas Leone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Douglas Leone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Roelof Botha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
      <w:numFmt w:val="bullet"/>
      <w:start w:val="1"/>
    </w:lvl>
    <w:lvl w:ilvl="1">
      <w:lvlJc w:val="left"/>
      <w:lvlText w:val=" "/>
      <w:numFmt w:val="bullet"/>
      <w:start w:val="1"/>
    </w:lvl>
  </w:abstractNum>
  <w:abstractNum w:abstractNumId="3">
    <w:nsid w:val="5C482A9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
    <w:nsid w:val="2463B9EA"/>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5">
    <w:nsid w:val="5E884ADC"/>
    <w:multiLevelType w:val="hybridMultilevel"/>
    <w:lvl w:ilvl="0">
      <w:lvlJc w:val="left"/>
      <w:lvlText w:val=" "/>
      <w:numFmt w:val="bullet"/>
      <w:start w:val="1"/>
    </w:lvl>
    <w:lvl w:ilvl="1">
      <w:lvlJc w:val="left"/>
      <w:lvlText w:val=" "/>
      <w:numFmt w:val="bullet"/>
      <w:start w:val="1"/>
    </w:lvl>
  </w:abstractNum>
  <w:abstractNum w:abstractNumId="6">
    <w:nsid w:val="51EAD36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2D517796"/>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580BD78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153EA438"/>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0">
    <w:nsid w:val="3855585C"/>
    <w:multiLevelType w:val="hybridMultilevel"/>
    <w:lvl w:ilvl="0">
      <w:lvlJc w:val="left"/>
      <w:lvlText w:val=" "/>
      <w:numFmt w:val="bullet"/>
      <w:start w:val="1"/>
    </w:lvl>
    <w:lvl w:ilvl="1">
      <w:lvlJc w:val="left"/>
      <w:lvlText w:val=" "/>
      <w:numFmt w:val="bullet"/>
      <w:start w:val="1"/>
    </w:lvl>
  </w:abstractNum>
  <w:abstractNum w:abstractNumId="11">
    <w:nsid w:val="70A64E2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6A2342EC"/>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3">
    <w:nsid w:val="2A487CB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
    <w:nsid w:val="1D4ED43B"/>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5">
    <w:nsid w:val="725A06F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6">
    <w:nsid w:val="2CD89A3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7">
    <w:nsid w:val="57E4CCA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8">
    <w:nsid w:val="7A6D8D3C"/>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9">
    <w:nsid w:val="4B588F54"/>
    <w:multiLevelType w:val="hybridMultilevel"/>
    <w:lvl w:ilvl="0">
      <w:lvlJc w:val="left"/>
      <w:lvlText w:val=" "/>
      <w:numFmt w:val="bullet"/>
      <w:start w:val="1"/>
    </w:lvl>
    <w:lvl w:ilvl="1">
      <w:lvlJc w:val="left"/>
      <w:lvlText w:val=" "/>
      <w:numFmt w:val="bullet"/>
      <w:start w:val="1"/>
    </w:lvl>
  </w:abstractNum>
  <w:abstractNum w:abstractNumId="20">
    <w:nsid w:val="542289E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1">
    <w:nsid w:val="6DE91B18"/>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2">
    <w:nsid w:val="38437FDB"/>
    <w:multiLevelType w:val="hybridMultilevel"/>
    <w:lvl w:ilvl="0">
      <w:lvlJc w:val="left"/>
      <w:lvlText w:val=" "/>
      <w:numFmt w:val="bullet"/>
      <w:start w:val="1"/>
    </w:lvl>
    <w:lvl w:ilvl="1">
      <w:lvlJc w:val="left"/>
      <w:lvlText w:val=" "/>
      <w:numFmt w:val="bullet"/>
      <w:start w:val="1"/>
    </w:lvl>
  </w:abstractNum>
  <w:abstractNum w:abstractNumId="23">
    <w:nsid w:val="7644A45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4">
    <w:nsid w:val="32FFF90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5">
    <w:nsid w:val="684A481A"/>
    <w:multiLevelType w:val="hybridMultilevel"/>
    <w:lvl w:ilvl="0">
      <w:lvlJc w:val="left"/>
      <w:lvlText w:val=" "/>
      <w:numFmt w:val="bullet"/>
      <w:start w:val="1"/>
    </w:lvl>
    <w:lvl w:ilvl="1">
      <w:lvlJc w:val="left"/>
      <w:lvlText w:val=" "/>
      <w:numFmt w:val="bullet"/>
      <w:start w:val="1"/>
    </w:lvl>
  </w:abstractNum>
  <w:abstractNum w:abstractNumId="26">
    <w:nsid w:val="579478F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749ABB4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3DC240FB"/>
    <w:multiLevelType w:val="hybridMultilevel"/>
    <w:lvl w:ilvl="0">
      <w:lvlJc w:val="left"/>
      <w:lvlText w:val=" "/>
      <w:numFmt w:val="bullet"/>
      <w:start w:val="1"/>
    </w:lvl>
    <w:lvl w:ilvl="1">
      <w:lvlJc w:val="left"/>
      <w:lvlText w:val=" "/>
      <w:numFmt w:val="bullet"/>
      <w:start w:val="1"/>
    </w:lvl>
  </w:abstractNum>
  <w:abstractNum w:abstractNumId="29">
    <w:nsid w:val="1BA026F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30">
    <w:nsid w:val="79A1DEAA"/>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1">
    <w:nsid w:val="75C6C33A"/>
    <w:multiLevelType w:val="hybridMultilevel"/>
    <w:lvl w:ilvl="0">
      <w:lvlJc w:val="left"/>
      <w:lvlText w:val=" "/>
      <w:numFmt w:val="bullet"/>
      <w:start w:val="1"/>
    </w:lvl>
    <w:lvl w:ilvl="1">
      <w:lvlJc w:val="left"/>
      <w:lvlText w:val=" "/>
      <w:numFmt w:val="bullet"/>
      <w:start w:val="1"/>
    </w:lvl>
  </w:abstractNum>
  <w:abstractNum w:abstractNumId="32">
    <w:nsid w:val="12E685F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33">
    <w:nsid w:val="70C6A529"/>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4">
    <w:nsid w:val="520EEDD1"/>
    <w:multiLevelType w:val="hybridMultilevel"/>
    <w:lvl w:ilvl="0">
      <w:lvlJc w:val="left"/>
      <w:lvlText w:val=" "/>
      <w:numFmt w:val="bullet"/>
      <w:start w:val="1"/>
    </w:lvl>
    <w:lvl w:ilvl="1">
      <w:lvlJc w:val="left"/>
      <w:lvlText w:val=" "/>
      <w:numFmt w:val="bullet"/>
      <w:start w:val="1"/>
    </w:lvl>
  </w:abstractNum>
  <w:abstractNum w:abstractNumId="35">
    <w:nsid w:val="374A3FE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36">
    <w:nsid w:val="4F4EF00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7">
    <w:nsid w:val="23F9C13C"/>
    <w:multiLevelType w:val="hybridMultilevel"/>
    <w:lvl w:ilvl="0">
      <w:lvlJc w:val="left"/>
      <w:lvlText w:val=" "/>
      <w:numFmt w:val="bullet"/>
      <w:start w:val="1"/>
    </w:lvl>
    <w:lvl w:ilvl="1">
      <w:lvlJc w:val="left"/>
      <w:lvlText w:val=" "/>
      <w:numFmt w:val="bullet"/>
      <w:start w:val="1"/>
    </w:lvl>
  </w:abstractNum>
  <w:abstractNum w:abstractNumId="38">
    <w:nsid w:val="649BB77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39">
    <w:nsid w:val="275AC79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0">
    <w:nsid w:val="39386575"/>
    <w:multiLevelType w:val="hybridMultilevel"/>
    <w:lvl w:ilvl="0">
      <w:lvlJc w:val="left"/>
      <w:lvlText w:val=" "/>
      <w:numFmt w:val="bullet"/>
      <w:start w:val="1"/>
    </w:lvl>
    <w:lvl w:ilvl="1">
      <w:lvlJc w:val="left"/>
      <w:lvlText w:val=" "/>
      <w:numFmt w:val="bullet"/>
      <w:start w:val="1"/>
    </w:lvl>
  </w:abstractNum>
  <w:abstractNum w:abstractNumId="41">
    <w:nsid w:val="1CF10FD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42">
    <w:nsid w:val="180115BE"/>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3">
    <w:nsid w:val="235BA861"/>
    <w:multiLevelType w:val="hybridMultilevel"/>
    <w:lvl w:ilvl="0">
      <w:lvlJc w:val="left"/>
      <w:lvlText w:val=" "/>
      <w:numFmt w:val="bullet"/>
      <w:start w:val="1"/>
    </w:lvl>
    <w:lvl w:ilvl="1">
      <w:lvlJc w:val="left"/>
      <w:lvlText w:val=" "/>
      <w:numFmt w:val="bullet"/>
      <w:start w:val="1"/>
    </w:lvl>
  </w:abstractNum>
  <w:abstractNum w:abstractNumId="44">
    <w:nsid w:val="47398C8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45">
    <w:nsid w:val="354FE9F9"/>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6">
    <w:nsid w:val="15B5AF5C"/>
    <w:multiLevelType w:val="hybridMultilevel"/>
    <w:lvl w:ilvl="0">
      <w:lvlJc w:val="left"/>
      <w:lvlText w:val=" "/>
      <w:numFmt w:val="bullet"/>
      <w:start w:val="1"/>
    </w:lvl>
    <w:lvl w:ilvl="1">
      <w:lvlJc w:val="left"/>
      <w:lvlText w:val=" "/>
      <w:numFmt w:val="bullet"/>
      <w:start w:val="1"/>
    </w:lvl>
  </w:abstractNum>
  <w:abstractNum w:abstractNumId="47">
    <w:nsid w:val="741226B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8">
    <w:nsid w:val="D34B6A8"/>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9">
    <w:nsid w:val="10233C99"/>
    <w:multiLevelType w:val="hybridMultilevel"/>
    <w:lvl w:ilvl="0">
      <w:lvlJc w:val="left"/>
      <w:lvlText w:val=" "/>
      <w:numFmt w:val="bullet"/>
      <w:start w:val="1"/>
    </w:lvl>
    <w:lvl w:ilvl="1">
      <w:lvlJc w:val="left"/>
      <w:lvlText w:val=" "/>
      <w:numFmt w:val="bullet"/>
      <w:start w:val="1"/>
    </w:lvl>
  </w:abstractNum>
  <w:abstractNum w:abstractNumId="50">
    <w:nsid w:val="3F6AB60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51">
    <w:nsid w:val="6157409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52">
    <w:nsid w:val="7E0C57B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3">
    <w:nsid w:val="77AE35EB"/>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54">
    <w:nsid w:val="579BE4F1"/>
    <w:multiLevelType w:val="hybridMultilevel"/>
    <w:lvl w:ilvl="0">
      <w:lvlJc w:val="left"/>
      <w:lvlText w:val="1"/>
      <w:numFmt w:val="bullet"/>
      <w:start w:val="1"/>
    </w:lvl>
  </w:abstractNum>
  <w:abstractNum w:abstractNumId="55">
    <w:nsid w:val="310C50B3"/>
    <w:multiLevelType w:val="hybridMultilevel"/>
    <w:lvl w:ilvl="0">
      <w:lvlJc w:val="left"/>
      <w:lvlText w:val="1"/>
      <w:numFmt w:val="bullet"/>
      <w:start w:val="1"/>
    </w:lvl>
  </w:abstractNum>
  <w:abstractNum w:abstractNumId="56">
    <w:nsid w:val="5FF87E05"/>
    <w:multiLevelType w:val="hybridMultilevel"/>
    <w:lvl w:ilvl="0">
      <w:lvlJc w:val="left"/>
      <w:lvlText w:val=" "/>
      <w:numFmt w:val="bullet"/>
      <w:start w:val="1"/>
    </w:lvl>
    <w:lvl w:ilvl="1">
      <w:lvlJc w:val="left"/>
      <w:lvlText w:val=" "/>
      <w:numFmt w:val="bullet"/>
      <w:start w:val="1"/>
    </w:lvl>
  </w:abstractNum>
  <w:abstractNum w:abstractNumId="57">
    <w:nsid w:val="2F305DEF"/>
    <w:multiLevelType w:val="hybridMultilevel"/>
    <w:lvl w:ilvl="0">
      <w:lvlJc w:val="left"/>
      <w:lvlText w:val="5"/>
      <w:numFmt w:val="bullet"/>
      <w:start w:val="1"/>
    </w:lvl>
  </w:abstractNum>
  <w:abstractNum w:abstractNumId="58">
    <w:nsid w:val="25A70BF7"/>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59">
    <w:nsid w:val="1DBABF00"/>
    <w:multiLevelType w:val="hybridMultilevel"/>
    <w:lvl w:ilvl="0">
      <w:lvlJc w:val="left"/>
      <w:lvlText w:val=" "/>
      <w:numFmt w:val="bullet"/>
      <w:start w:val="1"/>
    </w:lvl>
    <w:lvl w:ilvl="1">
      <w:lvlJc w:val="left"/>
      <w:lvlText w:val=" "/>
      <w:numFmt w:val="bullet"/>
      <w:start w:val="1"/>
    </w:lvl>
  </w:abstractNum>
  <w:abstractNum w:abstractNumId="60">
    <w:nsid w:val="4AD084E9"/>
    <w:multiLevelType w:val="hybridMultilevel"/>
    <w:lvl w:ilvl="0">
      <w:lvlJc w:val="left"/>
      <w:lvlText w:val=" "/>
      <w:numFmt w:val="bullet"/>
      <w:start w:val="1"/>
    </w:lvl>
    <w:lvl w:ilvl="1">
      <w:lvlJc w:val="left"/>
      <w:lvlText w:val=" "/>
      <w:numFmt w:val="bullet"/>
      <w:start w:val="1"/>
    </w:lvl>
  </w:abstractNum>
  <w:abstractNum w:abstractNumId="61">
    <w:nsid w:val="1F48EAA1"/>
    <w:multiLevelType w:val="hybridMultilevel"/>
    <w:lvl w:ilvl="0">
      <w:lvlJc w:val="left"/>
      <w:lvlText w:val="%1."/>
      <w:numFmt w:val="decimal"/>
      <w:start w:val="10"/>
    </w:lvl>
  </w:abstractNum>
  <w:abstractNum w:abstractNumId="62">
    <w:nsid w:val="1381823A"/>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63">
    <w:nsid w:val="5DB70AE5"/>
    <w:multiLevelType w:val="hybridMultilevel"/>
    <w:lvl w:ilvl="0">
      <w:lvlJc w:val="left"/>
      <w:lvlText w:val=" "/>
      <w:numFmt w:val="bullet"/>
      <w:start w:val="1"/>
    </w:lvl>
    <w:lvl w:ilvl="1">
      <w:lvlJc w:val="left"/>
      <w:lvlText w:val=" "/>
      <w:numFmt w:val="bullet"/>
      <w:start w:val="1"/>
    </w:lvl>
  </w:abstractNum>
  <w:abstractNum w:abstractNumId="64">
    <w:nsid w:val="100F8FC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abstractNum>
  <w:abstractNum w:abstractNumId="65">
    <w:nsid w:val="6590700B"/>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66">
    <w:nsid w:val="15014AC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lvl w:ilvl="3">
      <w:lvlJc w:val="left"/>
      <w:lvlText w:val=" "/>
      <w:numFmt w:val="bullet"/>
      <w:start w:val="1"/>
    </w:lvl>
    <w:lvl w:ilvl="4">
      <w:lvlJc w:val="left"/>
      <w:lvlText w:val=" "/>
      <w:numFmt w:val="bullet"/>
      <w:start w:val="1"/>
    </w:lvl>
  </w:abstractNum>
  <w:abstractNum w:abstractNumId="67">
    <w:nsid w:val="5F5E7FD0"/>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endash "/>
      <w:numFmt w:val="bullet"/>
      <w:start w:val="1"/>
    </w:lvl>
  </w:abstractNum>
  <w:abstractNum w:abstractNumId="70">
    <w:nsid w:val="6B94764"/>
    <w:multiLevelType w:val="hybridMultilevel"/>
    <w:lvl w:ilvl="0">
      <w:lvlJc w:val="left"/>
      <w:lvlText w:val="(%1)"/>
      <w:numFmt w:val="lowerLetter"/>
      <w:start w:val="2"/>
    </w:lvl>
  </w:abstractNum>
  <w:abstractNum w:abstractNumId="71">
    <w:nsid w:val="42C296B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2024-09-09T19:47:09Z</dcterms:created>
  <dcterms:modified xsi:type="dcterms:W3CDTF">2024-09-09T19:47:09Z</dcterms:modified>
</cp:coreProperties>
</file>