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55880</wp:posOffset>
            </wp:positionV>
            <wp:extent cx="3343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75565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64770</wp:posOffset>
            </wp:positionV>
            <wp:extent cx="334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159385</wp:posOffset>
            </wp:positionV>
            <wp:extent cx="208280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MAPLEBEAR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78105</wp:posOffset>
            </wp:positionV>
            <wp:extent cx="3343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70"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80" w:type="dxa"/>
            <w:vAlign w:val="bottom"/>
          </w:tcPr>
          <w:p>
            <w:pPr>
              <w:jc w:val="right"/>
              <w:ind w:right="2117"/>
              <w:spacing w:after="0"/>
              <w:rPr>
                <w:sz w:val="20"/>
                <w:szCs w:val="20"/>
                <w:color w:val="auto"/>
              </w:rPr>
            </w:pPr>
            <w:r>
              <w:rPr>
                <w:rFonts w:ascii="Times New Roman" w:cs="Times New Roman" w:eastAsia="Times New Roman" w:hAnsi="Times New Roman"/>
                <w:sz w:val="18"/>
                <w:szCs w:val="18"/>
                <w:b w:val="1"/>
                <w:bCs w:val="1"/>
                <w:color w:val="auto"/>
              </w:rPr>
              <w:t>001-41805</w:t>
            </w:r>
          </w:p>
        </w:tc>
        <w:tc>
          <w:tcPr>
            <w:tcW w:w="160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46-0723335</w:t>
            </w:r>
          </w:p>
        </w:tc>
        <w:tc>
          <w:tcPr>
            <w:tcW w:w="0" w:type="dxa"/>
            <w:vAlign w:val="bottom"/>
          </w:tcPr>
          <w:p>
            <w:pPr>
              <w:spacing w:after="0"/>
              <w:rPr>
                <w:sz w:val="1"/>
                <w:szCs w:val="1"/>
                <w:color w:val="auto"/>
              </w:rPr>
            </w:pPr>
          </w:p>
        </w:tc>
      </w:tr>
      <w:tr>
        <w:trPr>
          <w:trHeight w:val="144"/>
        </w:trPr>
        <w:tc>
          <w:tcPr>
            <w:tcW w:w="2060" w:type="dxa"/>
            <w:vAlign w:val="bottom"/>
          </w:tcPr>
          <w:p>
            <w:pPr>
              <w:jc w:val="center"/>
              <w:ind w:right="32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1600" w:type="dxa"/>
            <w:vAlign w:val="bottom"/>
          </w:tcPr>
          <w:p>
            <w:pPr>
              <w:jc w:val="center"/>
              <w:ind w:left="422"/>
              <w:spacing w:after="0" w:line="145"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060" w:type="dxa"/>
            <w:vAlign w:val="bottom"/>
          </w:tcPr>
          <w:p>
            <w:pPr>
              <w:jc w:val="center"/>
              <w:ind w:right="322"/>
              <w:spacing w:after="0"/>
              <w:rPr>
                <w:sz w:val="20"/>
                <w:szCs w:val="20"/>
                <w:color w:val="auto"/>
              </w:rPr>
            </w:pPr>
            <w:r>
              <w:rPr>
                <w:rFonts w:ascii="Times New Roman" w:cs="Times New Roman" w:eastAsia="Times New Roman" w:hAnsi="Times New Roman"/>
                <w:sz w:val="14"/>
                <w:szCs w:val="14"/>
                <w:color w:val="auto"/>
              </w:rPr>
              <w:t>incorporation)</w:t>
            </w:r>
          </w:p>
        </w:tc>
        <w:tc>
          <w:tcPr>
            <w:tcW w:w="4980" w:type="dxa"/>
            <w:vAlign w:val="bottom"/>
            <w:vMerge w:val="continue"/>
          </w:tcPr>
          <w:p>
            <w:pPr>
              <w:spacing w:after="0"/>
              <w:rPr>
                <w:sz w:val="16"/>
                <w:szCs w:val="16"/>
                <w:color w:val="auto"/>
              </w:rPr>
            </w:pPr>
          </w:p>
        </w:tc>
        <w:tc>
          <w:tcPr>
            <w:tcW w:w="1600" w:type="dxa"/>
            <w:vAlign w:val="bottom"/>
          </w:tcPr>
          <w:p>
            <w:pPr>
              <w:jc w:val="center"/>
              <w:ind w:left="462"/>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464"/>
        </w:trPr>
        <w:tc>
          <w:tcPr>
            <w:tcW w:w="2060" w:type="dxa"/>
            <w:vAlign w:val="bottom"/>
          </w:tcPr>
          <w:p>
            <w:pPr>
              <w:spacing w:after="0"/>
              <w:rPr>
                <w:sz w:val="24"/>
                <w:szCs w:val="24"/>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50 Beale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600</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4980" w:type="dxa"/>
            <w:vAlign w:val="bottom"/>
          </w:tcPr>
          <w:p>
            <w:pPr>
              <w:jc w:val="center"/>
              <w:ind w:right="37"/>
              <w:spacing w:after="0" w:line="201" w:lineRule="exact"/>
              <w:rPr>
                <w:sz w:val="20"/>
                <w:szCs w:val="20"/>
                <w:color w:val="auto"/>
              </w:rPr>
            </w:pPr>
            <w:r>
              <w:rPr>
                <w:rFonts w:ascii="Times New Roman" w:cs="Times New Roman" w:eastAsia="Times New Roman" w:hAnsi="Times New Roman"/>
                <w:sz w:val="18"/>
                <w:szCs w:val="18"/>
                <w:b w:val="1"/>
                <w:bCs w:val="1"/>
                <w:color w:val="auto"/>
                <w:w w:val="99"/>
              </w:rPr>
              <w:t>San Francisco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California 94105</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(888) 246-7822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4"/>
                <w:szCs w:val="24"/>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53"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3"/>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Pr>
          <w:p>
            <w:pPr>
              <w:spacing w:after="0"/>
              <w:rPr>
                <w:sz w:val="17"/>
                <w:szCs w:val="17"/>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CART</w:t>
            </w:r>
          </w:p>
        </w:tc>
        <w:tc>
          <w:tcPr>
            <w:tcW w:w="100" w:type="dxa"/>
            <w:vAlign w:val="bottom"/>
          </w:tcPr>
          <w:p>
            <w:pPr>
              <w:spacing w:after="0"/>
              <w:rPr>
                <w:sz w:val="17"/>
                <w:szCs w:val="17"/>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5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 2026, Maplebear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revolving credit agreement, among the Company, the lenders party thereto, the issuing banks party thereto, and Morgan Stanley Senior Funding, Inc., as administrative agent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The Credit Agreement provides a revolving credit facility in an aggregate principal amount of $500 million, with an uncommitted incremental facility to increase the principal amount of the revolving credit facility by (i) up to the greater of (x) $1 billion and (y) 100% of consolidated adjusted EBITDA, plus (ii) an unlimited amount provided that the total gross leverage ratio of the Company would not exceed 4.00 to 1.00, subject to certain terms and conditions as set forth therein. Proceeds from any borrowings under the Credit Agreement may be used for working capital and general corporate purposes. At closing, no amounts were drawn under the Credit Agreement. The Credit Agreement is unsecured and is guaranteed by material domestic subsidiaries of the Company.</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Loans under the Credit Agreement may be borrowed, repaid, and reborrowed from time to time until April 30, 2031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at which time all amounts borrowed must be repaid. The Company may request, no more than two times during the term of the Credit Agreement, an extension of the Maturity Date for up to one year per extension. The Company may obtain loans denominated in U.S. Dollars, British Pounds, Canadian Dollars, Euros, or other currencies approved in accordance with the Credit Agreement.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Loans under the Credit Agreement will bear interest, at the Company’s election, at a rate equal to (i) for U.S. Dollar loans, Term SOFR plus an applicable margin, or the alternate base rate (determined in accordance with the Credit Agreement) plus an applicable margin; (ii) for Euro loans, the Adjusted EURIBO Rate plus an applicable margin; (iii) for Canadian Dollar loans, Term CORRA plus an applicable margin; or (iv) for British Pounds loans, the Adjusted Daily Simple RFR (SONIA) plus an applicable margin, and in each case, subject to a 0.00% floor. The applicable margin for Term SOFR loans ranges from 1.00% to 1.50% per annum, and for ABR loans ranges from 0.00% to 0.50% per annum, in each case depending on the Company’s total net leverage ratio of consolidated debt less unrestricted cash of up to $500 million to consolidated adjusted EBITDA, as measured on a quarterly basis. Upon the occurrence and during the continuance of certain events of default, overdue amounts may bear interest at the otherwise applicable rate plus 2.00% per annum.</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will pay the lenders a commitment fee of 0.10% per annum on the average daily unused amount of the revolving commitments, payable quarterly. The Credit Agreement also allows the Company to issue letters of credit up to an aggregate amount of $150 million, which reduce the amount the Company can borrow. The Company will also pay each issuing bank a fronting fee of 0.125% per annum on the average daily undrawn amount of letters of credit issued by such issuing bank, plus a letter of credit participation fee equal to the applicable Term SOFR margin on the average daily undrawn amount of all outstanding letters of credit.</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affirmative and negative covenants, and events of default. Negative covenants include, among others, certain limitations on the incurrence of indebtedness, the creation of liens, fundamental changes, restricted payments, investments, and transactions with affiliates, in each case, subject to customary exceptions. In addition, the Credit Agreement requires that the Company maintain a total net leverage ratio no greater than 4.50 to 1.00, tested quarterly, subject to an increase to 5.50 to 1.00 for four consecutive fiscal quarters following a material acquisition, at the Company’s election, which may be exercised no more than three times during the term of the Credit Agreement. Events of default include, among others, failure to pay principal or interest when due, failure to comply with covenants, cross-default and cross-acceleration with respect to other indebtedness in excess of $150 million, certain bankruptcy and insolvency events, unsatisfied final judgments in excess of $150 million, change of control, and certain ERISA events. The occurrence of an event of default could result in the acceleration of the Company’s obligations under the Credit Agreement and the termination of the revolving commitments. Bankruptcy and insolvency-related events of default would result in automatic acceleration and termination.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Credit Agreement does not purport to be complete and is subject to, and qualified in its entirety by, the full text of the Credit Agreement, which is attached hereto as Exhibit 10.1 and is incorporated herein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6, 2026, the Company issued a press release announcing its financial results for the first quarter ended March 31, 2026. A copy of the press release is furnished as Exhibit 99.1 to this Current Report on Form 8-K and is incorporated herein by reference.</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furnished pursuant to Item 2.02 of this Current Report on Form 8-K, including Exhibit 99.1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into any other filing under the Securities Act of 1933, as amended, or the Exchange Act, regardless of any general incorporation language in such filing,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27, 2026,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approved an increase to the Company’s previously announced share repurchase program, authorizing the purchase of up to an aggregate of $3.5 billion of the Company’s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such program, the “</w:t>
      </w: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 up from the total of $2.5 billion previously authorized by the Board (the “</w:t>
      </w:r>
      <w:r>
        <w:rPr>
          <w:rFonts w:ascii="Times New Roman" w:cs="Times New Roman" w:eastAsia="Times New Roman" w:hAnsi="Times New Roman"/>
          <w:sz w:val="18"/>
          <w:szCs w:val="18"/>
          <w:b w:val="1"/>
          <w:bCs w:val="1"/>
          <w:i w:val="1"/>
          <w:iCs w:val="1"/>
          <w:color w:val="auto"/>
        </w:rPr>
        <w:t>Existing Share Repurchase Program</w:t>
      </w:r>
      <w:r>
        <w:rPr>
          <w:rFonts w:ascii="Times New Roman" w:cs="Times New Roman" w:eastAsia="Times New Roman" w:hAnsi="Times New Roman"/>
          <w:sz w:val="18"/>
          <w:szCs w:val="18"/>
          <w:color w:val="auto"/>
        </w:rPr>
        <w:t>”). Approximately $323 million of capacity was remaining under the Existing Share Repurchase Program as of March 31, 2026. The Share Repurchase Program has no expiration date. Repurchases under the Share Repurchase Program may be made from time to time through open market repurchases, accelerated share repurchase programs, privately negotiated transactions, or any other transactions in accordance with applicable federal securities laws, subject to market conditions, applicable legal requirements, and other relevant factors. Open market repurchases may be structured to occur in accordance with the requirements of Rule 10b-18 under the Exchange Act. The Company may also, from time to time, enter into Rule 10b5-1 plans to facilitate repurchases of shares of Common Stock under this authorization. The Company is not obligated under the Share Repurchase Program to acquire any particular amount of Common Stock, and the Company may terminate or suspend the Share Repurchase Program at any time. The timing and actual number of shares repurchased may depend on a variety of factors, including price, general business and market conditions, and alternative investment opportunities.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All statements other than statements of historical fact could be deemed forward-looking, including without limitation statements regarding potential repurchases under the Share Repurchase Program.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are subject to known and unknown risks, uncertainties, assumptions, and other factors that may cause actual results or outcomes to be materially different from any future results or outcomes expressed or implied by the forward-looking statements. These risks, uncertainties, assumptions, and other factors include the risks described from time to time in the Company’s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including in the Company’s Annual Report on Form 10-K for the year ended December 31, 2025 filed with the SEC on February 26, 2026. You should not rely on forward-looking statements as predictions of future events. The Company has based these forward-looking statements on information available to it as of the date hereof, and the Company undertakes no obligation to update any forward-looking statements, except as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0"/>
                <w:szCs w:val="20"/>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Revolving Credit Agreement among the Company, the lenders party thereto, the issuing banks party thereto, and Morgan Stanley</w:t>
            </w: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8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Senior Funding, Inc., dated May 1, 2026.</w:t>
            </w:r>
          </w:p>
        </w:tc>
        <w:tc>
          <w:tcPr>
            <w:tcW w:w="460" w:type="dxa"/>
            <w:vAlign w:val="bottom"/>
          </w:tcPr>
          <w:p>
            <w:pPr>
              <w:spacing w:after="0"/>
              <w:rPr>
                <w:sz w:val="15"/>
                <w:szCs w:val="15"/>
                <w:color w:val="auto"/>
              </w:rPr>
            </w:pPr>
          </w:p>
        </w:tc>
      </w:tr>
      <w:tr>
        <w:trPr>
          <w:trHeight w:val="23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0"/>
                <w:szCs w:val="20"/>
                <w:color w:val="auto"/>
              </w:rPr>
            </w:pPr>
          </w:p>
        </w:tc>
        <w:tc>
          <w:tcPr>
            <w:tcW w:w="29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6, 2026.</w:t>
            </w:r>
          </w:p>
        </w:tc>
        <w:tc>
          <w:tcPr>
            <w:tcW w:w="6780" w:type="dxa"/>
            <w:vAlign w:val="bottom"/>
            <w:gridSpan w:val="2"/>
          </w:tcPr>
          <w:p>
            <w:pPr>
              <w:spacing w:after="0"/>
              <w:rPr>
                <w:sz w:val="20"/>
                <w:szCs w:val="20"/>
                <w:color w:val="auto"/>
              </w:rPr>
            </w:pPr>
          </w:p>
        </w:tc>
      </w:tr>
      <w:tr>
        <w:trPr>
          <w:trHeight w:val="20"/>
        </w:trPr>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r>
      <w:tr>
        <w:trPr>
          <w:trHeight w:val="27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60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76"/>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Maplebear Inc.</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Emily 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Emily Reuter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92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865505</wp:posOffset>
            </wp:positionV>
            <wp:extent cx="70808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REVOLVING CREDIT AGREEMENT</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May 1, 2026</w:t>
      </w:r>
    </w:p>
    <w:p>
      <w:pPr>
        <w:spacing w:after="0" w:line="2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MAPLEBEAR INC. (D/B/A INSTACART),</w:t>
      </w:r>
    </w:p>
    <w:p>
      <w:pPr>
        <w:spacing w:after="0" w:line="2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Issuing Banks party hereto,</w:t>
      </w:r>
    </w:p>
    <w:p>
      <w:pPr>
        <w:spacing w:after="0" w:line="2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MORGAN STANLEY SENIOR FUNDING, INC.,</w:t>
      </w:r>
    </w:p>
    <w:p>
      <w:pPr>
        <w:spacing w:after="0" w:line="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356870</wp:posOffset>
            </wp:positionV>
            <wp:extent cx="7080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MORGAN STANLEY SENIOR FUNDING, INC.,</w:t>
      </w:r>
    </w:p>
    <w:p>
      <w:pPr>
        <w:spacing w:after="0" w:line="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CITIBANK, N.A.</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GOLDMAN SACHS BANK USA, and</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Joint Bookrunners</w:t>
      </w:r>
    </w:p>
    <w:p>
      <w:pPr>
        <w:sectPr>
          <w:pgSz w:w="11900" w:h="16838" w:orient="portrait"/>
          <w:cols w:equalWidth="0" w:num="1">
            <w:col w:w="10120"/>
          </w:cols>
          <w:pgMar w:left="1440" w:top="140" w:right="339" w:bottom="1440" w:gutter="0" w:footer="0" w:header="0"/>
        </w:sectPr>
      </w:pPr>
    </w:p>
    <w:bookmarkStart w:id="5" w:name="page6"/>
    <w:bookmarkEnd w:id="5"/>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DEFINITIONS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Defined Terms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Terms Generally</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Accounting Terms; GAAP</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Permitted Holdco Transaction</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Limited Conditionality Acquisitions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Basket Amounts and Application of Multiple Relevant Provisions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Interest Rates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Divisions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1.10</w:t>
            </w:r>
          </w:p>
        </w:tc>
        <w:tc>
          <w:tcPr>
            <w:tcW w:w="7780" w:type="dxa"/>
            <w:vAlign w:val="bottom"/>
            <w:vMerge w:val="continue"/>
          </w:tcPr>
          <w:p>
            <w:pPr>
              <w:spacing w:after="0"/>
              <w:rPr>
                <w:sz w:val="22"/>
                <w:szCs w:val="22"/>
                <w:color w:val="auto"/>
              </w:rPr>
            </w:pPr>
          </w:p>
        </w:tc>
        <w:tc>
          <w:tcPr>
            <w:tcW w:w="2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THE CREDITS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Revolving Commitments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Revolving Loans and Borrowings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2.02</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Requests for Borrowings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2.03</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Funding of Borrowings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2.04</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Interest Elections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2.05</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Termination and Reduction of Revolving Commitments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2.06</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Repayment of Revolving Loans; Evidence of Debt</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2.07</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Prepayment of Loans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2.08</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Fees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2.09</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Interest</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2.10</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Alternate Rate of Interest; Illegality</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Increased Costs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2.12</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Break Funding Payments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2.13</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2.14</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Payments Generally; Pro Rata Treatment; Sharing of Set-Off</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2.15</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2.16</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Defaulting Lenders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2.17</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Incremental Facility</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2.18</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Extension of the Maturity Date</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2.19</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Letters of Credit.</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2.20</w:t>
            </w:r>
          </w:p>
        </w:tc>
        <w:tc>
          <w:tcPr>
            <w:tcW w:w="778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Effect of Benchmark Transition Event</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7780" w:type="dxa"/>
            <w:vAlign w:val="bottom"/>
            <w:vMerge w:val="continue"/>
          </w:tcPr>
          <w:p>
            <w:pPr>
              <w:spacing w:after="0"/>
              <w:rPr>
                <w:sz w:val="22"/>
                <w:szCs w:val="22"/>
                <w:color w:val="auto"/>
              </w:rPr>
            </w:pPr>
          </w:p>
        </w:tc>
        <w:tc>
          <w:tcPr>
            <w:tcW w:w="2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8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REPRESENTATIONS AND WARRANTIES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35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7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64" w:orient="portrait"/>
          <w:cols w:equalWidth="0" w:num="1">
            <w:col w:w="11140"/>
          </w:cols>
          <w:pgMar w:left="340" w:top="1440" w:right="419" w:bottom="0" w:gutter="0" w:footer="0" w:header="0"/>
        </w:sectPr>
      </w:pPr>
    </w:p>
    <w:bookmarkStart w:id="6" w:name="page7"/>
    <w:bookmarkEnd w:id="6"/>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3.01</w:t>
      </w:r>
    </w:p>
    <w:p>
      <w:pPr>
        <w:spacing w:after="0" w:line="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Section 3.02</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Section 3.03</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Section 3.04</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Section 3.05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Organization; Powers</w:t>
            </w:r>
          </w:p>
        </w:tc>
        <w:tc>
          <w:tcPr>
            <w:tcW w:w="3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46"/>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3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44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3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446"/>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3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44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Properties</w:t>
            </w:r>
          </w:p>
        </w:tc>
        <w:tc>
          <w:tcPr>
            <w:tcW w:w="3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ectPr>
          <w:pgSz w:w="11900" w:h="16838" w:orient="portrait"/>
          <w:cols w:equalWidth="0" w:num="2">
            <w:col w:w="600" w:space="100"/>
            <w:col w:w="10440"/>
          </w:cols>
          <w:pgMar w:left="340" w:top="118" w:right="4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Litigation and Environmental Matters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3.06</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Compliance with Laws; No Default</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3.07</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3.08</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Margin Stock</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3.09</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3.10</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ERISA</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Subsidiaries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3.13</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Solvency</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3.14</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Anti-Terrorism Law</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3.15</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FCPA; Sanctions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3.16</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3.17</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Beneficial Ownership Certification</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3.18</w:t>
            </w:r>
          </w:p>
        </w:tc>
        <w:tc>
          <w:tcPr>
            <w:tcW w:w="7380" w:type="dxa"/>
            <w:vAlign w:val="bottom"/>
            <w:vMerge w:val="continue"/>
          </w:tcPr>
          <w:p>
            <w:pPr>
              <w:spacing w:after="0"/>
              <w:rPr>
                <w:sz w:val="22"/>
                <w:szCs w:val="22"/>
                <w:color w:val="auto"/>
              </w:rPr>
            </w:pPr>
          </w:p>
        </w:tc>
        <w:tc>
          <w:tcPr>
            <w:tcW w:w="3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CONDITIONS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Effective Date</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4.01</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Each Credit Event</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4.02</w:t>
            </w:r>
          </w:p>
        </w:tc>
        <w:tc>
          <w:tcPr>
            <w:tcW w:w="7380" w:type="dxa"/>
            <w:vAlign w:val="bottom"/>
            <w:vMerge w:val="continue"/>
          </w:tcPr>
          <w:p>
            <w:pPr>
              <w:spacing w:after="0"/>
              <w:rPr>
                <w:sz w:val="22"/>
                <w:szCs w:val="22"/>
                <w:color w:val="auto"/>
              </w:rPr>
            </w:pPr>
          </w:p>
        </w:tc>
        <w:tc>
          <w:tcPr>
            <w:tcW w:w="3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AFFIRMATIVE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Financial Statements; Other Information</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5.01</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5.02</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Existence; Conduct of Business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5.03</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Payment of Taxes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5.04</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Maintenance of Properties; Insurance</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5.05</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Books and Records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5.06</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ERISA-Related Information</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5.07</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Compliance with Laws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5.08</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5.09</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Additional Guarantors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5.10</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Holdings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5.11</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Post-Closing</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5.12</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Beneficial Ownership Regulations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5.13</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5.14</w:t>
            </w:r>
          </w:p>
        </w:tc>
        <w:tc>
          <w:tcPr>
            <w:tcW w:w="738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Designation of Restricted and Unrestricted Subsidiaries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5.15</w:t>
            </w:r>
          </w:p>
        </w:tc>
        <w:tc>
          <w:tcPr>
            <w:tcW w:w="7380" w:type="dxa"/>
            <w:vAlign w:val="bottom"/>
            <w:vMerge w:val="continue"/>
          </w:tcPr>
          <w:p>
            <w:pPr>
              <w:spacing w:after="0"/>
              <w:rPr>
                <w:sz w:val="22"/>
                <w:szCs w:val="22"/>
                <w:color w:val="auto"/>
              </w:rPr>
            </w:pPr>
          </w:p>
        </w:tc>
        <w:tc>
          <w:tcPr>
            <w:tcW w:w="3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NEGATIVE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Indebtedness</w:t>
            </w:r>
          </w:p>
        </w:tc>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6.01</w:t>
            </w:r>
          </w:p>
        </w:tc>
        <w:tc>
          <w:tcPr>
            <w:tcW w:w="7380" w:type="dxa"/>
            <w:vAlign w:val="bottom"/>
            <w:vMerge w:val="continue"/>
          </w:tcPr>
          <w:p>
            <w:pPr>
              <w:spacing w:after="0"/>
              <w:rPr>
                <w:sz w:val="22"/>
                <w:szCs w:val="22"/>
                <w:color w:val="auto"/>
              </w:rPr>
            </w:pPr>
          </w:p>
        </w:tc>
        <w:tc>
          <w:tcPr>
            <w:tcW w:w="3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40" w:top="1426" w:right="4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6.02</w:t>
            </w:r>
          </w:p>
        </w:tc>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4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6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Fundamental Changes</w:t>
            </w:r>
          </w:p>
        </w:tc>
        <w:tc>
          <w:tcPr>
            <w:tcW w:w="4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6.03</w:t>
            </w:r>
          </w:p>
        </w:tc>
        <w:tc>
          <w:tcPr>
            <w:tcW w:w="6060" w:type="dxa"/>
            <w:vAlign w:val="bottom"/>
            <w:vMerge w:val="continue"/>
          </w:tcPr>
          <w:p>
            <w:pPr>
              <w:spacing w:after="0"/>
              <w:rPr>
                <w:sz w:val="21"/>
                <w:szCs w:val="21"/>
                <w:color w:val="auto"/>
              </w:rPr>
            </w:pPr>
          </w:p>
        </w:tc>
        <w:tc>
          <w:tcPr>
            <w:tcW w:w="4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6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4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6.04</w:t>
            </w:r>
          </w:p>
        </w:tc>
        <w:tc>
          <w:tcPr>
            <w:tcW w:w="6060" w:type="dxa"/>
            <w:vAlign w:val="bottom"/>
            <w:vMerge w:val="continue"/>
          </w:tcPr>
          <w:p>
            <w:pPr>
              <w:spacing w:after="0"/>
              <w:rPr>
                <w:sz w:val="21"/>
                <w:szCs w:val="21"/>
                <w:color w:val="auto"/>
              </w:rPr>
            </w:pPr>
          </w:p>
        </w:tc>
        <w:tc>
          <w:tcPr>
            <w:tcW w:w="4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6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Financial Covenant</w:t>
            </w:r>
          </w:p>
        </w:tc>
        <w:tc>
          <w:tcPr>
            <w:tcW w:w="4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6.05</w:t>
            </w:r>
          </w:p>
        </w:tc>
        <w:tc>
          <w:tcPr>
            <w:tcW w:w="6060" w:type="dxa"/>
            <w:vAlign w:val="bottom"/>
            <w:vMerge w:val="continue"/>
          </w:tcPr>
          <w:p>
            <w:pPr>
              <w:spacing w:after="0"/>
              <w:rPr>
                <w:sz w:val="21"/>
                <w:szCs w:val="21"/>
                <w:color w:val="auto"/>
              </w:rPr>
            </w:pPr>
          </w:p>
        </w:tc>
        <w:tc>
          <w:tcPr>
            <w:tcW w:w="4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6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Restricted Payments</w:t>
            </w:r>
          </w:p>
        </w:tc>
        <w:tc>
          <w:tcPr>
            <w:tcW w:w="4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6.06</w:t>
            </w:r>
          </w:p>
        </w:tc>
        <w:tc>
          <w:tcPr>
            <w:tcW w:w="6060" w:type="dxa"/>
            <w:vAlign w:val="bottom"/>
            <w:vMerge w:val="continue"/>
          </w:tcPr>
          <w:p>
            <w:pPr>
              <w:spacing w:after="0"/>
              <w:rPr>
                <w:sz w:val="22"/>
                <w:szCs w:val="22"/>
                <w:color w:val="auto"/>
              </w:rPr>
            </w:pPr>
          </w:p>
        </w:tc>
        <w:tc>
          <w:tcPr>
            <w:tcW w:w="4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40" w:top="211" w:right="4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6.07</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6.08</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6.09</w:t>
            </w:r>
          </w:p>
        </w:tc>
        <w:tc>
          <w:tcPr>
            <w:tcW w:w="828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EVENTS OF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7.01</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Application of Funds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7.02</w:t>
            </w:r>
          </w:p>
        </w:tc>
        <w:tc>
          <w:tcPr>
            <w:tcW w:w="828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THE AGENTS</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Appointment of the Administrative Agent</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8.01</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Powers and Duties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8.02</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General Immunity</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8.03</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Administrative Agent Entitled to Act as Lender</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8.04</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Lenders’ Representations, Warranties and Acknowledgment</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8.05</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Right to Indemnity</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8.06</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8.07</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Guaranty</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8.08</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Erroneous Payments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8.09</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Withholding Taxes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8.10</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Administrative Agent May File Bankruptcy Disclosure and Proofs of Claim</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8.11</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Exculpatory Provisions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8.12</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Section Guaranteed Cash Management Agreements and Guaranteed Hedge Agreements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8.13</w:t>
            </w:r>
          </w:p>
        </w:tc>
        <w:tc>
          <w:tcPr>
            <w:tcW w:w="8280" w:type="dxa"/>
            <w:vAlign w:val="bottom"/>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Certain ERISA Matters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8.14</w:t>
            </w:r>
          </w:p>
        </w:tc>
        <w:tc>
          <w:tcPr>
            <w:tcW w:w="828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MISCELLANEOUS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9.01</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Waivers; Amendments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9.02</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9.03</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Successors and Assigns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9.04</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Survival</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9.05</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9.06</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9.07</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Right of Setoff</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9.08</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9.09</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Waiver Of Jury Trial</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9.10</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Headings</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9.11</w:t>
            </w:r>
          </w:p>
        </w:tc>
        <w:tc>
          <w:tcPr>
            <w:tcW w:w="828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9.12</w:t>
            </w:r>
          </w:p>
        </w:tc>
        <w:tc>
          <w:tcPr>
            <w:tcW w:w="828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40" w:top="1426" w:right="4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9.13</w:t>
            </w: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Rate Limitation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9.14</w:t>
            </w:r>
          </w:p>
        </w:tc>
        <w:tc>
          <w:tcPr>
            <w:tcW w:w="782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Electronic Execution of Assignments and Certain Other Documents</w:t>
            </w: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9.15</w:t>
            </w:r>
          </w:p>
        </w:tc>
        <w:tc>
          <w:tcPr>
            <w:tcW w:w="782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USA PATRIOT Act</w:t>
            </w: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9.16</w:t>
            </w:r>
          </w:p>
        </w:tc>
        <w:tc>
          <w:tcPr>
            <w:tcW w:w="782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Release of Guarantors</w:t>
            </w: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9.17</w:t>
            </w:r>
          </w:p>
        </w:tc>
        <w:tc>
          <w:tcPr>
            <w:tcW w:w="782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40" w:top="211" w:right="4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7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Acknowledgement and Consent to Bail-In of EEA Financial Institutions</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9.18</w:t>
            </w:r>
          </w:p>
        </w:tc>
        <w:tc>
          <w:tcPr>
            <w:tcW w:w="798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9.19</w:t>
            </w:r>
          </w:p>
        </w:tc>
        <w:tc>
          <w:tcPr>
            <w:tcW w:w="798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w:t>
            </w:r>
          </w:p>
        </w:tc>
        <w:tc>
          <w:tcPr>
            <w:tcW w:w="7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Judgment Currency</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9.20</w:t>
            </w:r>
          </w:p>
        </w:tc>
        <w:tc>
          <w:tcPr>
            <w:tcW w:w="7980" w:type="dxa"/>
            <w:vAlign w:val="bottom"/>
            <w:vMerge w:val="continue"/>
          </w:tcPr>
          <w:p>
            <w:pPr>
              <w:spacing w:after="0"/>
              <w:rPr>
                <w:sz w:val="22"/>
                <w:szCs w:val="22"/>
                <w:color w:val="auto"/>
              </w:rPr>
            </w:pPr>
          </w:p>
        </w:tc>
        <w:tc>
          <w:tcPr>
            <w:tcW w:w="2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40" w:top="1426" w:right="419" w:bottom="1440" w:gutter="0" w:footer="0" w:header="0"/>
        </w:sectPr>
      </w:pPr>
    </w:p>
    <w:bookmarkStart w:id="12" w:name="page13"/>
    <w:bookmarkEnd w:id="1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1.01</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5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2.01</w:t>
      </w:r>
      <w:r>
        <w:rPr>
          <w:sz w:val="20"/>
          <w:szCs w:val="20"/>
          <w:color w:val="auto"/>
        </w:rPr>
        <w:tab/>
      </w:r>
      <w:r>
        <w:rPr>
          <w:rFonts w:ascii="Times New Roman" w:cs="Times New Roman" w:eastAsia="Times New Roman" w:hAnsi="Times New Roman"/>
          <w:sz w:val="19"/>
          <w:szCs w:val="19"/>
          <w:color w:val="auto"/>
        </w:rPr>
        <w:t>Lenders, Revolving Commitments and Letter of Credit Issuer Sublimit</w:t>
      </w:r>
    </w:p>
    <w:p>
      <w:pPr>
        <w:spacing w:after="0" w:line="4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3.11</w:t>
      </w:r>
      <w:r>
        <w:rPr>
          <w:sz w:val="20"/>
          <w:szCs w:val="20"/>
          <w:color w:val="auto"/>
        </w:rPr>
        <w:tab/>
      </w:r>
      <w:r>
        <w:rPr>
          <w:rFonts w:ascii="Times New Roman" w:cs="Times New Roman" w:eastAsia="Times New Roman" w:hAnsi="Times New Roman"/>
          <w:sz w:val="19"/>
          <w:szCs w:val="19"/>
          <w:color w:val="auto"/>
        </w:rPr>
        <w:t>Plans</w:t>
      </w:r>
    </w:p>
    <w:p>
      <w:pPr>
        <w:spacing w:after="0" w:line="5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3.13</w:t>
      </w:r>
      <w:r>
        <w:rPr>
          <w:sz w:val="20"/>
          <w:szCs w:val="20"/>
          <w:color w:val="auto"/>
        </w:rPr>
        <w:tab/>
      </w:r>
      <w:r>
        <w:rPr>
          <w:rFonts w:ascii="Times New Roman" w:cs="Times New Roman" w:eastAsia="Times New Roman" w:hAnsi="Times New Roman"/>
          <w:sz w:val="19"/>
          <w:szCs w:val="19"/>
          <w:color w:val="auto"/>
        </w:rPr>
        <w:t>Capitalization</w:t>
      </w:r>
    </w:p>
    <w:p>
      <w:pPr>
        <w:spacing w:after="0" w:line="4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5.12</w:t>
      </w:r>
      <w:r>
        <w:rPr>
          <w:sz w:val="20"/>
          <w:szCs w:val="20"/>
          <w:color w:val="auto"/>
        </w:rPr>
        <w:tab/>
      </w:r>
      <w:r>
        <w:rPr>
          <w:rFonts w:ascii="Times New Roman" w:cs="Times New Roman" w:eastAsia="Times New Roman" w:hAnsi="Times New Roman"/>
          <w:sz w:val="19"/>
          <w:szCs w:val="19"/>
          <w:color w:val="auto"/>
        </w:rPr>
        <w:t>Post-Closing Obligations</w:t>
      </w:r>
    </w:p>
    <w:p>
      <w:pPr>
        <w:spacing w:after="0" w:line="4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6.01</w:t>
      </w:r>
      <w:r>
        <w:rPr>
          <w:sz w:val="20"/>
          <w:szCs w:val="20"/>
          <w:color w:val="auto"/>
        </w:rPr>
        <w:tab/>
      </w:r>
      <w:r>
        <w:rPr>
          <w:rFonts w:ascii="Times New Roman" w:cs="Times New Roman" w:eastAsia="Times New Roman" w:hAnsi="Times New Roman"/>
          <w:sz w:val="19"/>
          <w:szCs w:val="19"/>
          <w:color w:val="auto"/>
        </w:rPr>
        <w:t>Existing Indebtedness</w:t>
      </w:r>
    </w:p>
    <w:p>
      <w:pPr>
        <w:spacing w:after="0" w:line="5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6.02</w:t>
      </w:r>
      <w:r>
        <w:rPr>
          <w:sz w:val="20"/>
          <w:szCs w:val="20"/>
          <w:color w:val="auto"/>
        </w:rPr>
        <w:tab/>
      </w:r>
      <w:r>
        <w:rPr>
          <w:rFonts w:ascii="Times New Roman" w:cs="Times New Roman" w:eastAsia="Times New Roman" w:hAnsi="Times New Roman"/>
          <w:sz w:val="19"/>
          <w:szCs w:val="19"/>
          <w:color w:val="auto"/>
        </w:rPr>
        <w:t>Existing Liens</w:t>
      </w:r>
    </w:p>
    <w:p>
      <w:pPr>
        <w:spacing w:after="0" w:line="4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6.08</w:t>
      </w:r>
      <w:r>
        <w:rPr>
          <w:sz w:val="20"/>
          <w:szCs w:val="20"/>
          <w:color w:val="auto"/>
        </w:rPr>
        <w:tab/>
      </w:r>
      <w:r>
        <w:rPr>
          <w:rFonts w:ascii="Times New Roman" w:cs="Times New Roman" w:eastAsia="Times New Roman" w:hAnsi="Times New Roman"/>
          <w:sz w:val="19"/>
          <w:szCs w:val="19"/>
          <w:color w:val="auto"/>
        </w:rPr>
        <w:t>Existing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2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4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Borrowing Request</w:t>
      </w:r>
    </w:p>
    <w:p>
      <w:pPr>
        <w:spacing w:after="0" w:line="5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Interest Election Request</w:t>
      </w:r>
    </w:p>
    <w:p>
      <w:pPr>
        <w:spacing w:after="0" w:line="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Revolving Note</w:t>
      </w:r>
    </w:p>
    <w:p>
      <w:pPr>
        <w:spacing w:after="0" w:line="4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Exhibit E-1</w:t>
      </w:r>
      <w:r>
        <w:rPr>
          <w:sz w:val="20"/>
          <w:szCs w:val="20"/>
          <w:color w:val="auto"/>
        </w:rPr>
        <w:tab/>
      </w:r>
      <w:r>
        <w:rPr>
          <w:rFonts w:ascii="Times New Roman" w:cs="Times New Roman" w:eastAsia="Times New Roman" w:hAnsi="Times New Roman"/>
          <w:sz w:val="19"/>
          <w:szCs w:val="19"/>
          <w:color w:val="auto"/>
        </w:rPr>
        <w:t>Form of Guaranty</w:t>
      </w:r>
    </w:p>
    <w:p>
      <w:pPr>
        <w:spacing w:after="0" w:line="5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Exhibit E-2</w:t>
      </w:r>
      <w:r>
        <w:rPr>
          <w:sz w:val="20"/>
          <w:szCs w:val="20"/>
          <w:color w:val="auto"/>
        </w:rPr>
        <w:tab/>
      </w:r>
      <w:r>
        <w:rPr>
          <w:rFonts w:ascii="Times New Roman" w:cs="Times New Roman" w:eastAsia="Times New Roman" w:hAnsi="Times New Roman"/>
          <w:sz w:val="19"/>
          <w:szCs w:val="19"/>
          <w:color w:val="auto"/>
        </w:rPr>
        <w:t>Form of Holdings Guaranty</w:t>
      </w:r>
    </w:p>
    <w:p>
      <w:pPr>
        <w:spacing w:after="0" w:line="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[Reserved]</w:t>
      </w:r>
    </w:p>
    <w:p>
      <w:pPr>
        <w:spacing w:after="0" w:line="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H-1</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H-2</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H-3</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H-4</w:t>
      </w:r>
      <w:r>
        <w:rPr>
          <w:sz w:val="20"/>
          <w:szCs w:val="20"/>
          <w:color w:val="auto"/>
        </w:rPr>
        <w:tab/>
      </w:r>
      <w:r>
        <w:rPr>
          <w:rFonts w:ascii="Times New Roman" w:cs="Times New Roman" w:eastAsia="Times New Roman" w:hAnsi="Times New Roman"/>
          <w:sz w:val="19"/>
          <w:szCs w:val="19"/>
          <w:color w:val="auto"/>
        </w:rPr>
        <w:t>Form of U.S. Tax Compliance Certificate</w:t>
      </w:r>
    </w:p>
    <w:p>
      <w:pPr>
        <w:sectPr>
          <w:pgSz w:w="11900" w:h="16838" w:orient="portrait"/>
          <w:cols w:equalWidth="0" w:num="1">
            <w:col w:w="10139"/>
          </w:cols>
          <w:pgMar w:left="320" w:top="1440" w:right="1440" w:bottom="1440" w:gutter="0" w:footer="0" w:header="0"/>
        </w:sectPr>
      </w:pPr>
    </w:p>
    <w:bookmarkStart w:id="13" w:name="page14"/>
    <w:bookmarkEnd w:id="13"/>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REVOLVING CREDIT AGREEMENT dated as of May 1, 2026 among MAPLEBEAR INC. (D/B/A INSTACART), as the Borrower, the LENDERS party hereto and MORGAN STANLEY SENIOR FUNDING, INC., as the Administrative Agent.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Borrower (such term and each other capitalized term used and not otherwise defined in these recitals having the meaning assigned to it in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has requested the Lenders to make Loans to the Borrower on a revolving credit basis on and after the date hereof and at any time and from time to time prior to the Maturity Date.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proceeds of borrowings hereunder, together with the issuance of any letter of credit, are to be used for the purposes described in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The Lenders are willing to establish the credit facility referred to in the preceding paragraph upon the terms and subject to the conditions set forth herein. Accordingly, for valuable consideration of the mutual covenants and agreements herein contained, the parties hereto covenant and agree as follows:</w:t>
      </w:r>
    </w:p>
    <w:p>
      <w:pPr>
        <w:spacing w:after="0" w:line="1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1</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ABR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transaction or series of related transactions resulting in the acquisition by the Borrower, whether by purchase, merger or otherwise, of all or substantially all of the assets of (or all or substantially all the assets constituting a business unit, division, product line or line of business of), any Equity Interests of, or a business line or unit or a division of, any Person.</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Daily Simple RFR</w:t>
      </w:r>
      <w:r>
        <w:rPr>
          <w:rFonts w:ascii="Times New Roman" w:cs="Times New Roman" w:eastAsia="Times New Roman" w:hAnsi="Times New Roman"/>
          <w:sz w:val="20"/>
          <w:szCs w:val="20"/>
          <w:color w:val="auto"/>
        </w:rPr>
        <w:t xml:space="preserve">” means with respect to any RFR Borrowing, an interest rate per annum equal to the Daily Simple RFR;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the Adjusted Daily Simple RFR be less than 0.00%.</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EURIBO Rate</w:t>
      </w:r>
      <w:r>
        <w:rPr>
          <w:rFonts w:ascii="Times New Roman" w:cs="Times New Roman" w:eastAsia="Times New Roman" w:hAnsi="Times New Roman"/>
          <w:sz w:val="20"/>
          <w:szCs w:val="20"/>
          <w:color w:val="auto"/>
        </w:rPr>
        <w:t xml:space="preserve">” means, for any Interest Rate Determination Date with respect to an Interest Period for a EURIBOR Borrowing,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EURIBO Rate for such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the Adjusted EURIBO Rate be less than 0.00%.</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Term SOFR”</w:t>
      </w:r>
      <w:r>
        <w:rPr>
          <w:rFonts w:ascii="Times New Roman" w:cs="Times New Roman" w:eastAsia="Times New Roman" w:hAnsi="Times New Roman"/>
          <w:sz w:val="20"/>
          <w:szCs w:val="20"/>
          <w:color w:val="auto"/>
        </w:rPr>
        <w:t xml:space="preserve"> means, for purposes of any calculation, the rate per annum equal to Term SOFR for such calculation;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no event shall Adjusted Term SOFR be less than 0.00%.</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means MSSF, in its capacity as administrative agent for the Lenders hereunder, or any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 from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time.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Fee Letter</w:t>
      </w:r>
      <w:r>
        <w:rPr>
          <w:rFonts w:ascii="Times New Roman" w:cs="Times New Roman" w:eastAsia="Times New Roman" w:hAnsi="Times New Roman"/>
          <w:sz w:val="20"/>
          <w:szCs w:val="20"/>
          <w:color w:val="auto"/>
        </w:rPr>
        <w:t>” means that certain Agent Fee Letter, dated as of April 9, 2026 by and among the Borrower and the Administrative Agent.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 means, collectively, the Administrative Agent and the Arrangers.</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Total Exposure</w:t>
      </w:r>
      <w:r>
        <w:rPr>
          <w:rFonts w:ascii="Times New Roman" w:cs="Times New Roman" w:eastAsia="Times New Roman" w:hAnsi="Times New Roman"/>
          <w:sz w:val="20"/>
          <w:szCs w:val="20"/>
          <w:color w:val="auto"/>
        </w:rPr>
        <w:t>” means, as at any date of determination, the sum of (i) the Dollar Equivalent of the aggregate principal amount of all outstanding Loans (excluding Loans made for the purpose of reimbursing the Issuing Banks for any amount drawn under any Letter of Credit, but not yet so applied) and (ii) the Letter of Credit Usage.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Agreed L/C Cash Collateral Amount</w:t>
      </w:r>
      <w:r>
        <w:rPr>
          <w:rFonts w:ascii="Times New Roman" w:cs="Times New Roman" w:eastAsia="Times New Roman" w:hAnsi="Times New Roman"/>
          <w:sz w:val="20"/>
          <w:szCs w:val="20"/>
          <w:color w:val="auto"/>
        </w:rPr>
        <w:t>” means 102 % of the total outstanding Letter of Credit Usage.</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Revolving Credit Agreement, as the same may hereafter be modified, supplemented, extended, amended, restated or amended and restated from time to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Alternate Base Rate</w:t>
      </w:r>
      <w:r>
        <w:rPr>
          <w:rFonts w:ascii="Times New Roman" w:cs="Times New Roman" w:eastAsia="Times New Roman" w:hAnsi="Times New Roman"/>
          <w:sz w:val="20"/>
          <w:szCs w:val="20"/>
          <w:color w:val="auto"/>
        </w:rPr>
        <w:t xml:space="preserve">” means, for any day,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greatest of (i) the Prime Rate in effect on such day, (ii) the Federal Funds Effective Rate in effect on such day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½ of 1% and (iii) the sum of (a) Adjusted Term SOFR for a one-month tenor in effect on such day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1.00%.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(ii) of the preceding sentence until the circumstances giving rise to such inability no longer exist. Any change in the Alternate Base Rate due to a change in the Prime Rate, the Federal Funds Effective Rate or Adjusted Term SOFR shall be effective on the effective day of such change in the Prime Rate, the Federal Funds Effective Rate or Adjusted Term SOFR, respectively.</w:t>
      </w:r>
    </w:p>
    <w:p>
      <w:pPr>
        <w:spacing w:after="0" w:line="1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the FCPA, the U.K. Bribery Act 2010 to the extent applicable, all other applicable anti-corruption laws, the Bank Secrecy Act to the extent applicable, the USA PATRIOT Act, and the applicable anti-money laundering statutes of jurisdictions where the Borrower and its Subsidiaries conduct business, and the rules and regulations (if any) thereunder enforced by any governmental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Account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Percentage</w:t>
      </w:r>
      <w:r>
        <w:rPr>
          <w:rFonts w:ascii="Times New Roman" w:cs="Times New Roman" w:eastAsia="Times New Roman" w:hAnsi="Times New Roman"/>
          <w:sz w:val="20"/>
          <w:szCs w:val="20"/>
          <w:color w:val="auto"/>
        </w:rPr>
        <w:t>” means, with respect to any Lender, the percentage of the total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spacing w:after="0" w:line="175"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Rate</w:t>
      </w:r>
      <w:r>
        <w:rPr>
          <w:rFonts w:ascii="Times New Roman" w:cs="Times New Roman" w:eastAsia="Times New Roman" w:hAnsi="Times New Roman"/>
          <w:sz w:val="20"/>
          <w:szCs w:val="20"/>
          <w:color w:val="auto"/>
        </w:rPr>
        <w:t xml:space="preserve">” means, for any day, (i) with respect to any Loan that is not an ABR Loan (x) until delivery of the financial statements for the fiscal quarter ending June 30, 2026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1.00% per annum and (y) at any time upon or after the delivery of the financial statements for the fiscal quarter ending June 30, 2026, the applicable percentage per annum as set forth below, as determined by reference to the Total Net Leverage Ratio with respect to such Measurement Period, (ii) with respect to any ABR Loan, (x) until delivery of the financial statements for the fiscal quarter ending June 30, 2026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0.00% per annum and (y) at any time upon or after the delivery of the financial statements for the fiscal quarter ending June 30, 2026, the applicable percentage per annum as set forth below, as determined by reference to the Total Net Leverage Ratio with respect to such Measurement Period, and (iii) 0.10% per annum with respect to the Commitment Fee.</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Net Leverage Ratio</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 (other than ABR Loans)</w:t>
            </w:r>
          </w:p>
        </w:tc>
        <w:tc>
          <w:tcPr>
            <w:tcW w:w="3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ABR Loans</w:t>
            </w:r>
          </w:p>
        </w:tc>
      </w:tr>
      <w:tr>
        <w:trPr>
          <w:trHeight w:val="48"/>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r>
      <w:tr>
        <w:trPr>
          <w:trHeight w:val="296"/>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1.00 to 1.00</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 per annum</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0.00% per annum</w:t>
            </w:r>
          </w:p>
        </w:tc>
      </w:tr>
      <w:tr>
        <w:trPr>
          <w:trHeight w:val="48"/>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r>
      <w:tr>
        <w:trPr>
          <w:trHeight w:val="29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or less than 2.00 to 1.00</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1.25% per annum</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0.25% per annum</w:t>
            </w:r>
          </w:p>
        </w:tc>
      </w:tr>
      <w:tr>
        <w:trPr>
          <w:trHeight w:val="48"/>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r>
      <w:tr>
        <w:trPr>
          <w:trHeight w:val="29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Greater than 2.00 to 1.00</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1.50% per annum</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0.50% per annum</w:t>
            </w:r>
          </w:p>
        </w:tc>
      </w:tr>
      <w:tr>
        <w:trPr>
          <w:trHeight w:val="48"/>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13"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Application</w:t>
      </w:r>
      <w:r>
        <w:rPr>
          <w:rFonts w:ascii="Times New Roman" w:cs="Times New Roman" w:eastAsia="Times New Roman" w:hAnsi="Times New Roman"/>
          <w:sz w:val="20"/>
          <w:szCs w:val="20"/>
          <w:color w:val="auto"/>
        </w:rPr>
        <w:t>” means a Letter of Credit application or agreement in the form approved by the applicable Issuing Bank, executed and delivered by the Borrower to the Administrative Agent and the applicable Issuing Bank requesting such Issuing Bank to issue a Letter of Credit.</w:t>
      </w:r>
    </w:p>
    <w:p>
      <w:pPr>
        <w:spacing w:after="0" w:line="155"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activities and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w:t>
      </w:r>
      <w:r>
        <w:rPr>
          <w:rFonts w:ascii="Times New Roman" w:cs="Times New Roman" w:eastAsia="Times New Roman" w:hAnsi="Times New Roman"/>
          <w:sz w:val="20"/>
          <w:szCs w:val="20"/>
          <w:color w:val="auto"/>
        </w:rPr>
        <w:t>” means each of MSSF, BofA, Citibank, Goldman Sachs and JPMorgan in its capacity as a joint lead arranger and a joint bookrunner.</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Maturity Date and the date of termination of the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09" w:right="31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as of any date of determination and with respect to the then-current Benchmark (x) if the then-current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Benchmark is a term rate, any tenor for such Benchmark or (y) otherwise, any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(d)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Chapter 11 of Title 11 of the United States Code, as amended from time to time and any successor statute and all rules and regulations promulgated thereunder.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Event</w:t>
      </w:r>
      <w:r>
        <w:rPr>
          <w:rFonts w:ascii="Times New Roman" w:cs="Times New Roman" w:eastAsia="Times New Roman" w:hAnsi="Times New Roman"/>
          <w:sz w:val="20"/>
          <w:szCs w:val="20"/>
          <w:color w:val="auto"/>
        </w:rPr>
        <w:t xml:space="preserve">” means an Event of Default of the type described in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(i)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w:t>
      </w:r>
      <w:r>
        <w:rPr>
          <w:rFonts w:ascii="Times New Roman" w:cs="Times New Roman" w:eastAsia="Times New Roman" w:hAnsi="Times New Roman"/>
          <w:sz w:val="19"/>
          <w:szCs w:val="19"/>
          <w:color w:val="auto"/>
        </w:rPr>
        <w:t>” means, with respect to any Benchmark Transition Event for any then-current Benchmark, the first alternative set forth in the order below that can be determined by the Administrative Agent for the applicable Benchmark Replacement Date:</w:t>
      </w:r>
    </w:p>
    <w:p>
      <w:pPr>
        <w:spacing w:after="0" w:line="119" w:lineRule="exact"/>
        <w:rPr>
          <w:sz w:val="20"/>
          <w:szCs w:val="20"/>
          <w:color w:val="auto"/>
        </w:rPr>
      </w:pPr>
    </w:p>
    <w:p>
      <w:pPr>
        <w:ind w:left="1120" w:hanging="357"/>
        <w:spacing w:after="0"/>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Simple SOFR; and</w:t>
      </w:r>
    </w:p>
    <w:p>
      <w:pPr>
        <w:spacing w:after="0" w:line="229" w:lineRule="exact"/>
        <w:rPr>
          <w:rFonts w:ascii="Times New Roman" w:cs="Times New Roman" w:eastAsia="Times New Roman" w:hAnsi="Times New Roman"/>
          <w:sz w:val="20"/>
          <w:szCs w:val="20"/>
          <w:color w:val="auto"/>
        </w:rPr>
      </w:pPr>
    </w:p>
    <w:p>
      <w:pPr>
        <w:jc w:val="both"/>
        <w:ind w:left="1120" w:hanging="357"/>
        <w:spacing w:after="0" w:line="253" w:lineRule="auto"/>
        <w:tabs>
          <w:tab w:leader="none" w:pos="111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If at any time the Benchmark Replacement as determined pursuant to clause (1) or (2) of this definition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17" w:name="page18"/>
    <w:bookmarkEnd w:id="17"/>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8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a date and time determined by the Administrative Agent, which date shall be no later than the earliest to occur of the following events with respect to the then-current Benchmark:</w:t>
      </w:r>
    </w:p>
    <w:p>
      <w:pPr>
        <w:spacing w:after="0" w:line="169" w:lineRule="exact"/>
        <w:rPr>
          <w:sz w:val="20"/>
          <w:szCs w:val="20"/>
          <w:color w:val="auto"/>
        </w:rPr>
      </w:pPr>
    </w:p>
    <w:p>
      <w:pPr>
        <w:jc w:val="both"/>
        <w:ind w:firstLine="656"/>
        <w:spacing w:after="0" w:line="258" w:lineRule="auto"/>
        <w:tabs>
          <w:tab w:leader="none" w:pos="119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12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date of the public statement or publication of information referenced therein.</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200" w:lineRule="exact"/>
        <w:rPr>
          <w:sz w:val="20"/>
          <w:szCs w:val="20"/>
          <w:color w:val="auto"/>
        </w:rPr>
      </w:pPr>
    </w:p>
    <w:p>
      <w:pPr>
        <w:jc w:val="both"/>
        <w:ind w:firstLine="656"/>
        <w:spacing w:after="0" w:line="258" w:lineRule="auto"/>
        <w:tabs>
          <w:tab w:leader="none" w:pos="116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20"/>
          <w:szCs w:val="20"/>
          <w:color w:val="auto"/>
        </w:rPr>
        <w:t>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1" w:lineRule="exact"/>
        <w:rPr>
          <w:sz w:val="20"/>
          <w:szCs w:val="20"/>
          <w:color w:val="auto"/>
        </w:rPr>
      </w:pPr>
    </w:p>
    <w:p>
      <w:pPr>
        <w:jc w:val="both"/>
        <w:ind w:firstLine="656"/>
        <w:spacing w:after="0" w:line="261" w:lineRule="auto"/>
        <w:tabs>
          <w:tab w:leader="none" w:pos="112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representative.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xml:space="preserve">” means, with respect to any then-current Benchmark,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Governors of the Federal Reserve System of the United States of America (or any successor).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BofA</w:t>
      </w:r>
      <w:r>
        <w:rPr>
          <w:rFonts w:ascii="Times New Roman" w:cs="Times New Roman" w:eastAsia="Times New Roman" w:hAnsi="Times New Roman"/>
          <w:sz w:val="20"/>
          <w:szCs w:val="20"/>
          <w:color w:val="auto"/>
        </w:rPr>
        <w:t>” means Bank of America, N.A.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means Maplebear Inc., a Delaware corporation.</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means Revolving Loans of the same Type, made, converted or continued on the same date and, in the case of Term SOFR Loans, EURIBOR Loans and Term CORRA Loans, as to which a single Interest Period is in effect.</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Minimum</w:t>
      </w:r>
      <w:r>
        <w:rPr>
          <w:rFonts w:ascii="Times New Roman" w:cs="Times New Roman" w:eastAsia="Times New Roman" w:hAnsi="Times New Roman"/>
          <w:sz w:val="20"/>
          <w:szCs w:val="20"/>
          <w:color w:val="auto"/>
        </w:rPr>
        <w:t>” means (a) in the case of a Term SOFR Borrowing, $1,000,000, (b) in the case of a EURIBOR Borrowing, a Term CORRA Borrowing or an RFR Borrowing, the smallest amount of such Permitted Foreign Currency that is an integral multiple of 100,000 units of such currency and that has a Dollar Equivalent in excess of $1,000,000 and (c) in the case of an ABR Borrowing,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9" w:name="page20"/>
    <w:bookmarkEnd w:id="19"/>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Multiple</w:t>
      </w:r>
      <w:r>
        <w:rPr>
          <w:rFonts w:ascii="Times New Roman" w:cs="Times New Roman" w:eastAsia="Times New Roman" w:hAnsi="Times New Roman"/>
          <w:sz w:val="20"/>
          <w:szCs w:val="20"/>
          <w:color w:val="auto"/>
        </w:rPr>
        <w:t>” means (a) in the case of Term SOFR Borrowing, $100,000, (b) in the case of a EURIBOR Borrowing, a Term CORRA Borrowing or an RFR Borrowing, the smallest amount of such Permitted Foreign Currency that is an integral multiple of 100,000 units of such currency and that has a Dollar Equivalent in excess of $100,000 and (c) in the case of an ABR Borrowing, $100,000.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British Pounds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 the lawful currency of the United Kingdom.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when used in connection with any Term SOFR Loan, the term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Day</w:t>
      </w:r>
      <w:r>
        <w:rPr>
          <w:rFonts w:ascii="Times New Roman" w:cs="Times New Roman" w:eastAsia="Times New Roman" w:hAnsi="Times New Roman"/>
          <w:sz w:val="20"/>
          <w:szCs w:val="20"/>
          <w:color w:val="auto"/>
        </w:rPr>
        <w:t>” shall also exclude any day on which the Securities Industry and Financial Markets Association recommends that the fixed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departments of its members be closed for the entire day for purposes of trading in United States government securities, (b) when used in connection with any EURIBOR Loan, the term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shall also exclude any day which is not a TARGET Day or any day on which banks in London are not open for general business, (c) when used in connection with any Term CORRA Loan, the term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shall also exclude a day on which banks in Toronto, Ontario, Canada are not open for general business and (d) when used in connection with any RFR Loan and any interest rate settings, fundings, disbursements, settlements or payments of any such RFR Loan, the term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shall also exclude a day that is not an RFR Business Day.</w:t>
      </w:r>
    </w:p>
    <w:p>
      <w:pPr>
        <w:spacing w:after="0" w:line="1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Calculation Date</w:t>
      </w:r>
      <w:r>
        <w:rPr>
          <w:rFonts w:ascii="Times New Roman" w:cs="Times New Roman" w:eastAsia="Times New Roman" w:hAnsi="Times New Roman"/>
          <w:sz w:val="20"/>
          <w:szCs w:val="20"/>
          <w:color w:val="auto"/>
        </w:rPr>
        <w:t>” means (a) the last Business Day of each calendar quarter, (b) each date (with such date to be reasonably determined by the Administrative Agent) that is on or about the date of (i) a Borrowing Request or an Interest Election Request with respect to any Revolving Loan or (ii) the issuance, amendment or extension of a Letter of Credit and (c) if an Event of Default has occurred and is continuing, any Business Day as determined by the Administrative Agent in its sole discretion.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Canadian Dollars</w:t>
      </w:r>
      <w:r>
        <w:rPr>
          <w:rFonts w:ascii="Times New Roman" w:cs="Times New Roman" w:eastAsia="Times New Roman" w:hAnsi="Times New Roman"/>
          <w:sz w:val="20"/>
          <w:szCs w:val="20"/>
          <w:color w:val="auto"/>
        </w:rPr>
        <w:t>” means the lawful currency of Canada.</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Collateralize</w:t>
      </w:r>
      <w:r>
        <w:rPr>
          <w:rFonts w:ascii="Times New Roman" w:cs="Times New Roman" w:eastAsia="Times New Roman" w:hAnsi="Times New Roman"/>
          <w:sz w:val="20"/>
          <w:szCs w:val="20"/>
          <w:color w:val="auto"/>
        </w:rPr>
        <w:t>” means, in respect of an Obligation, to provide and pledge (as a first priority perfected security interest) cash collateral in the applicable currency in an amount not to exceed 102% of such Obligations, at a location and pursuant to documentation in form and substance satisfactory to the Administrative Agent and the applicable Issuing Bank (and “</w:t>
      </w:r>
      <w:r>
        <w:rPr>
          <w:rFonts w:ascii="Times New Roman" w:cs="Times New Roman" w:eastAsia="Times New Roman" w:hAnsi="Times New Roman"/>
          <w:sz w:val="20"/>
          <w:szCs w:val="20"/>
          <w:b w:val="1"/>
          <w:bCs w:val="1"/>
          <w:color w:val="auto"/>
        </w:rPr>
        <w:t>Cash Collateralization</w:t>
      </w:r>
      <w:r>
        <w:rPr>
          <w:rFonts w:ascii="Times New Roman" w:cs="Times New Roman" w:eastAsia="Times New Roman" w:hAnsi="Times New Roman"/>
          <w:sz w:val="20"/>
          <w:szCs w:val="20"/>
          <w:color w:val="auto"/>
        </w:rPr>
        <w:t>” has a corresponding meaning). “</w:t>
      </w:r>
      <w:r>
        <w:rPr>
          <w:rFonts w:ascii="Times New Roman" w:cs="Times New Roman" w:eastAsia="Times New Roman" w:hAnsi="Times New Roman"/>
          <w:sz w:val="20"/>
          <w:szCs w:val="20"/>
          <w:b w:val="1"/>
          <w:b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20" w:name="page21"/>
    <w:bookmarkEnd w:id="20"/>
    <w:p>
      <w:pPr>
        <w:jc w:val="both"/>
        <w:ind w:left="660" w:firstLine="644"/>
        <w:spacing w:after="0" w:line="261" w:lineRule="auto"/>
        <w:tabs>
          <w:tab w:leader="none" w:pos="173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7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270 days from the date of issuance thereof and having, at such date of acquisition, a rating of at least “Prime 1” (or the then equivalent grade) by Moody’s or “A-1” (or the then equivalent grade) by S&amp;P;</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one year from the date of acquisition thereof issued or guaranteed by or placed with, and money market deposit accounts issued or offered by, the Administrative Agent or any domestic office of any commercial bank organized under the laws of the United States of America or any State thereof that issues (or the parent of which issues) commercial paper rated at least “Prime 1” (or the then equivalent grade) by Moody’s or “A-1” (or the then equivalent grade) by S&amp;P;</w:t>
      </w:r>
    </w:p>
    <w:p>
      <w:pPr>
        <w:spacing w:after="0" w:line="191" w:lineRule="exact"/>
        <w:rPr>
          <w:rFonts w:ascii="Times New Roman" w:cs="Times New Roman" w:eastAsia="Times New Roman" w:hAnsi="Times New Roman"/>
          <w:sz w:val="20"/>
          <w:szCs w:val="20"/>
          <w:color w:val="auto"/>
        </w:rPr>
      </w:pPr>
    </w:p>
    <w:p>
      <w:pPr>
        <w:ind w:left="660" w:firstLine="644"/>
        <w:spacing w:after="0" w:line="269" w:lineRule="auto"/>
        <w:tabs>
          <w:tab w:leader="none" w:pos="178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(a) above and entered into with a financial institution satisfying the criteria of clause (c) above;</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3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“money market funds” substantially all of whose assets are invested in investments of the type described in clauses (a) through (d) above;</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Foreign Subsidiary, other short term investments that are analogous to the foregoing, are of comparable credit quality and are customarily used by companies in the jurisdiction of such Foreign Subsidiary for cash management purposes; and</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permitted pursuant to Borrower’s (or Holding’s) investment policy as approved by the Board of Directors (or committee thereof) of the Borrower or Holdings, as applicable, from time to time.</w:t>
      </w:r>
    </w:p>
    <w:p>
      <w:pPr>
        <w:spacing w:after="0" w:line="16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Agreement</w:t>
      </w:r>
      <w:r>
        <w:rPr>
          <w:rFonts w:ascii="Times New Roman" w:cs="Times New Roman" w:eastAsia="Times New Roman" w:hAnsi="Times New Roman"/>
          <w:sz w:val="20"/>
          <w:szCs w:val="20"/>
          <w:color w:val="auto"/>
        </w:rPr>
        <w:t>” means any agreement entered into from time to time by the Borrower or any Restricted Subsidiaries in connection with cash management services for collections, other Cash Management Services or for operating, payroll and trust accounts of such Person, including automatic clearing house services, controlled disbursement services, electronic funds transfer services, information reporting services, lockbox services, stop payment services, wire transfer services and other related services.</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Bank</w:t>
      </w:r>
      <w:r>
        <w:rPr>
          <w:rFonts w:ascii="Times New Roman" w:cs="Times New Roman" w:eastAsia="Times New Roman" w:hAnsi="Times New Roman"/>
          <w:sz w:val="20"/>
          <w:szCs w:val="20"/>
          <w:color w:val="auto"/>
        </w:rPr>
        <w:t>” means any Lender, any Agent or any Affiliate of the foregoing at the time it provides any Cash Management Services or any Person that shall have become a Lender or an Affiliate of a Lender at any time after it has provided any Cash Management Services.</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Obligations</w:t>
      </w:r>
      <w:r>
        <w:rPr>
          <w:rFonts w:ascii="Times New Roman" w:cs="Times New Roman" w:eastAsia="Times New Roman" w:hAnsi="Times New Roman"/>
          <w:sz w:val="20"/>
          <w:szCs w:val="20"/>
          <w:color w:val="auto"/>
        </w:rPr>
        <w:t>” means obligations owed by the Borrower or any Restricted Subsidiary to any Cash Management Bank in respect of Cash Management Services or pursuant to Cash Management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21" w:name="page22"/>
    <w:bookmarkEnd w:id="21"/>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Services</w:t>
      </w:r>
      <w:r>
        <w:rPr>
          <w:rFonts w:ascii="Times New Roman" w:cs="Times New Roman" w:eastAsia="Times New Roman" w:hAnsi="Times New Roman"/>
          <w:sz w:val="20"/>
          <w:szCs w:val="20"/>
          <w:color w:val="auto"/>
        </w:rPr>
        <w:t>” means any of (a) commercial credit cards, merchant card services, purchase or debit cards, including non-card e-payables services, (b) treasury management services (including controlled disbursement, overdraft automatic clearing house fund transfer services, return items and interstate depository network services) and (c) any other demand deposit or operating account relationships or other cash management services, including pursuant to any Cash Management Agreements.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Central Bank Rate</w:t>
      </w:r>
      <w:r>
        <w:rPr>
          <w:rFonts w:ascii="Times New Roman" w:cs="Times New Roman" w:eastAsia="Times New Roman" w:hAnsi="Times New Roman"/>
          <w:sz w:val="20"/>
          <w:szCs w:val="20"/>
          <w:color w:val="auto"/>
        </w:rPr>
        <w:t>” shall mean the Bank of England’s Bank Rate as published by the Bank of England from time to time.</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Central Bank Rate Adjustment</w:t>
      </w:r>
      <w:r>
        <w:rPr>
          <w:rFonts w:ascii="Times New Roman" w:cs="Times New Roman" w:eastAsia="Times New Roman" w:hAnsi="Times New Roman"/>
          <w:sz w:val="20"/>
          <w:szCs w:val="20"/>
          <w:color w:val="auto"/>
        </w:rPr>
        <w:t>” shall mean, in relation to the Central Bank Rate prevailing at close of business on any RFR Business Day, the 20% trimmed arithmetic mean of the Central Bank Rate Spreads for the 5 most immediately preceding RFR Business Days for which the RFR is available.</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Central Bank Rate Spread</w:t>
      </w:r>
      <w:r>
        <w:rPr>
          <w:rFonts w:ascii="Times New Roman" w:cs="Times New Roman" w:eastAsia="Times New Roman" w:hAnsi="Times New Roman"/>
          <w:sz w:val="20"/>
          <w:szCs w:val="20"/>
          <w:color w:val="auto"/>
        </w:rPr>
        <w:t>” shall mean, in relation to any RFR Business Day, the difference (expressed as a percentage rate per annum) between (x) the RFR for such RFR Business Day and (y) the Central Bank Rate prevailing at close of business on such RFR Business Day.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the acquisition of ownership, directly or indirectly, beneficially or of record, by any Person or group (within the meaning of the Securities Exchange Act and the rules of the SEC thereunder), of Equity Interests in the Borrower representing more than 50% of the aggregate ordinary voting power represented by the issued and outstanding Equity Interests in the Borrower; provided, further, that a Permitted Holdco Transaction shall not constitute a Change in Control so long as Holdings shall thereafter be listed on a national securities exchange in the U.S.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Citibank</w:t>
      </w:r>
      <w:r>
        <w:rPr>
          <w:rFonts w:ascii="Times New Roman" w:cs="Times New Roman" w:eastAsia="Times New Roman" w:hAnsi="Times New Roman"/>
          <w:sz w:val="20"/>
          <w:szCs w:val="20"/>
          <w:color w:val="auto"/>
        </w:rPr>
        <w:t>” means Citibank, N.A.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U.S. Internal Revenue Code of 1986, as amended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the Revolving Commitment.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Fee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22" w:name="page23"/>
    <w:bookmarkEnd w:id="22"/>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has the meaning set forth in the definition of “Disqualified Institution.”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means, with respect to either the use or administration of an initial Benchmark or the use, administration, adoption or implementation of any Benchmark Replacement, any technical or administrative changes (including changes to the definition of “Alternate Base Rate,” the definition of “Business Day,” the definition of “RFR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any such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Adjusted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without duplication and to the extent reflected as a charge in the statement of such Consolidated Net Income for such period, the sum of (a) income tax expense, (b) Consolidated Interest Expense for such period, (c) depreciation and amortization expense, (d) amortization of intangibles (including, but not limited to, goodwill), (e) extraordinary, non-recurring, one-time or unusual losses (including all fees and expenses relating thereto), (f) non-cash stock option and other equity-based compensation expenses and payroll tax expense related to stock option and other equity-based compensation expenses, (g) any other non-cash charges, non-cash expenses or non-cash losses of such Person for such period, including any write-down or impairment charge (excluding any such charge, expense or loss incurred in the ordinary course of business that constitutes an accrual of, or a reserve for, cash charges for any future period), including, for the avoidance of doubt, non-cash foreign currency translation losses and any unrealized losses in respect of Swap Agreements (including non-cash losses related to currency remeasurement of Indebtedness);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cash payments made in such period or in any future period in respect of such non-cash charges, expenses or losses (excluding any such charge, expense or loss incurred in the ordinary course of business that constitutes an accrual of, or a reserve for, cash charges for any future period) shall be subtracted from Consolidated Net Income in calculating Consolidated Adjusted EBITDA in the period when such payments are made, (h) transition, integration and similar fees, charges and expenses related to acquisitions or dispositions, (i) restructuring charges or reserves including write-downs and write-offs, including any one-time costs incurred in connection with acquisitions or dispositions and costs related to the closure, consolidation and integration of facilities, information technology infrastructure and legal entities, severance and retention bonuses, and other cost reduction initiatives or operational charges so long as certified by a Financial Officer of the Borrower as having been determined in good faith to be realizable within 18 months of such cost reduction initiative or operational change; (j) the amount of cost savings and synergies projected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Borrower in good faith to be realized as a result of an acquisition, operating expense reduction, business optimization initiatives and other operating improvements not prohibited hereunder, in each case within the four consecutive fiscal quarters following the consummation of such acquisition, operating expense reduction, business optimization initiatives and other operating improvements (or following the consummation of the squeeze-out merger in the case of an acquisition structured as a two-step transaction), calculated as though such cost savings and synergies had been realized on the first day of such period and net of the amount of actual benefits received during such period from such acquisition;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 certificate signed by a Responsible Officer shall be delivered to the Administrative Agent certifying that such cost savings and synergies are reasonably expected and factually supportable in the good faith judgment of the Borrower and (ii) no cost savings or synergies shall be added pursuant to this clause (j) to the extent duplicative of any expenses or charges otherwise added to Consolidated Adjusted EBITDA, whether through a pro forma adjustment or otherwise, for such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anything to the contrary, the amount that may be added back pursuant to clauses (h), (i), (j) and (l) may not in the aggregate for any four fiscal quarter period exceed the greater of (x) $200,000,000 and (y) 20% of Consolidated Adjusted EBITDA for such period (determined after giving effect to any such adjustment pursuant to such clauses (h), (i), (j) and (l))), (k) costs, expenses, settlements and charges related to, arising out of or made in connection with legal proceedings and regulatory matters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amount that may be added back pursuant to this clause (k) may not in the aggregate for any four fiscal quarter period exceed the greater of (x) $200,000,000 and (y) 20% of Consolidated Adjusted EBITDA for such period (determined after giving effect to any such adjustment pursuant to this clause (k))), (l) costs, fees, charges and losses in respect of discontinued operations, (m) adjustments relating to purchase price allocation accounting, (n) fees and expenses directly related to the Transactions (including any amendments, consents, waivers, supplements or other modifications to the Loan Documents), the incurrence of any Indebtedness permitted hereunder, the offering of any Equity Interests by the Borrower and any acquisition or disposition transactions, (o) expenses consisting of internal software development costs that are expensed during the period but could have been capitalized under alternative accounting policies in accordance with GAAP to the extent the same were deducted (and not added back) in computing such Consolidated Net Income, (p)(i) any expenses and charges that are reimbursed by indemnification or other similar provisions in connection with any investment or any sale, conveyance, transfer, or other disposition of assets permitted hereunder, and</w:t>
      </w:r>
    </w:p>
    <w:p>
      <w:pPr>
        <w:spacing w:after="0" w:line="13" w:lineRule="exact"/>
        <w:rPr>
          <w:sz w:val="20"/>
          <w:szCs w:val="20"/>
          <w:color w:val="auto"/>
        </w:rPr>
      </w:pPr>
    </w:p>
    <w:p>
      <w:pPr>
        <w:jc w:val="both"/>
        <w:ind w:firstLine="8"/>
        <w:spacing w:after="0" w:line="261" w:lineRule="auto"/>
        <w:tabs>
          <w:tab w:leader="none" w:pos="32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365 days), expenses with respect to liability or casualty events or business interruption, (q) the amount of any net income (loss) attributable to non-controlling interests in any non-wholly-owned Subsidiary deducted (and not added back) in such period in calculating Consolidated Net Income, and (r) such other adjustments (i) consistent with Regulation S-X or (ii) contained in a quality of earnings report delivered to the Administrative Agent,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to the extent included in the statement of such Consolidated Net Income for such period (and without duplication), the sum of</w:t>
      </w:r>
    </w:p>
    <w:p>
      <w:pPr>
        <w:spacing w:after="0" w:line="2" w:lineRule="exact"/>
        <w:rPr>
          <w:rFonts w:ascii="Times New Roman" w:cs="Times New Roman" w:eastAsia="Times New Roman" w:hAnsi="Times New Roman"/>
          <w:sz w:val="19"/>
          <w:szCs w:val="19"/>
          <w:color w:val="auto"/>
        </w:rPr>
      </w:pPr>
    </w:p>
    <w:p>
      <w:pPr>
        <w:jc w:val="both"/>
        <w:ind w:firstLine="8"/>
        <w:spacing w:after="0" w:line="249" w:lineRule="auto"/>
        <w:tabs>
          <w:tab w:leader="none" w:pos="27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(b) any non-recurring, one-time or unusual gains (less all fees and expenses relating thereto), and (c) any other non-cash income (excluding any items that represent the reversal of any accrual of, or cash reserve for, anticipated cash charges in any prior period that are described in the parenthetical to clause (g) above), including for the avoidance of doubt non-cash foreign currency translation gains (including non-cash gains related to currency remeasurement of Indebtedness), and unrealized gains in respect of Swap Agreements, all as determined on a consolidated basis, increased (to the extent such difference is positive) or decreased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20"/>
          <w:szCs w:val="20"/>
          <w:color w:val="auto"/>
        </w:rPr>
        <w:t>the extent such difference is negative) by the difference of the current portion of Deferred Revenue of such Person and its Restricted Subsidiaries as of the last day of such period (the “</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and the current portion of Deferred Revenue of such Person and its Restricted Subsidiaries as of the date that is twelve months prior to the Determination Date, to the extent not already included in Consolidated Net Income.</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Interest Expense</w:t>
      </w:r>
      <w:r>
        <w:rPr>
          <w:rFonts w:ascii="Times New Roman" w:cs="Times New Roman" w:eastAsia="Times New Roman" w:hAnsi="Times New Roman"/>
          <w:sz w:val="20"/>
          <w:szCs w:val="20"/>
          <w:color w:val="auto"/>
        </w:rPr>
        <w:t>” means, the total interest expense of the Borrower and its Subsidiaries for such period as determined on a consolidated basis in accordance with GAAP.</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Net Income</w:t>
      </w:r>
      <w:r>
        <w:rPr>
          <w:rFonts w:ascii="Times New Roman" w:cs="Times New Roman" w:eastAsia="Times New Roman" w:hAnsi="Times New Roman"/>
          <w:sz w:val="19"/>
          <w:szCs w:val="19"/>
          <w:color w:val="auto"/>
        </w:rPr>
        <w:t xml:space="preserve">” means, for any period, the net income or loss of the Borrower and its Restricted Subsidiaries for such period, determined on a consolidated basis in conformity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there shall be excluded (a) the income of any Person that is not a consolidated Restricted Subsidiary except to the extent of the amount of cash dividends or similar cash distributions actually paid by such Person to the Borrower or, subject to clauses (b) and (c) below, any consolidated Restricted Subsidiary during such period, (b) the income of, and any amounts referred to in clause (a) above paid to, any consolidated Restricted Subsidiary of the Borrower to the extent that, on the date of determination, the declaration or payment of cash dividends or similar cash distributions by such Restricted Subsidiary is not permitted without any prior approval of any Governmental Authority that has not been obtained or is not permitted by the operation of the terms of the organizational documents of such Restricted Subsidiary, any agreement or other instrument binding upon such Restricted Subsidiary or any law applicable to such Restricted Subsidiary, unless such restrictions with respect to the payment of cash dividends and other similar cash distributions have been legally and effectively waived, and (c) the income or loss of, and any amounts referred to in clause</w:t>
      </w:r>
    </w:p>
    <w:p>
      <w:pPr>
        <w:spacing w:after="0" w:line="1" w:lineRule="exact"/>
        <w:rPr>
          <w:sz w:val="20"/>
          <w:szCs w:val="20"/>
          <w:color w:val="auto"/>
        </w:rPr>
      </w:pPr>
    </w:p>
    <w:p>
      <w:pPr>
        <w:ind w:firstLine="8"/>
        <w:spacing w:after="0" w:line="253" w:lineRule="auto"/>
        <w:tabs>
          <w:tab w:leader="none" w:pos="27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paid to, any consolidated Restricted Subsidiary that is not wholly-owned by the Borrower to the extent such income or loss or such amounts are attributable to the noncontrolling interest in such consolidated Restricted Subsidiary.</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Debt</w:t>
      </w:r>
      <w:r>
        <w:rPr>
          <w:rFonts w:ascii="Times New Roman" w:cs="Times New Roman" w:eastAsia="Times New Roman" w:hAnsi="Times New Roman"/>
          <w:sz w:val="20"/>
          <w:szCs w:val="20"/>
          <w:color w:val="auto"/>
        </w:rPr>
        <w:t xml:space="preserve">” means, on any date of determination, with respect to the Borrower and its Subsidiaries, (a) Indebtedness for borrowed money, (b) Capital Lease Obligations and purchase money Indebtedness, (c) Indebtedness obligations evidenced by promissory notes, bonds or similar instruments and (d) all Guarantees in respect of Indebtedness of the kind referred to in the preceding clauses (a) through (c) (and excluding, for the avoidance of doubt, Hedging Obligations and deferred purchase price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Total Debt shall not include Letters of Credit, except to the extent of unpaid drawings thereunder that have not been paid within three Business Days following the reimbursement date applicable thereto.</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have meanings correlative thereto.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Convertible Notes</w:t>
      </w:r>
      <w:r>
        <w:rPr>
          <w:rFonts w:ascii="Times New Roman" w:cs="Times New Roman" w:eastAsia="Times New Roman" w:hAnsi="Times New Roman"/>
          <w:sz w:val="20"/>
          <w:szCs w:val="20"/>
          <w:color w:val="auto"/>
        </w:rPr>
        <w:t>” means debt securities that are convertible into or exchangeable for any combination of Equity Interests and/or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CORRA</w:t>
      </w:r>
      <w:r>
        <w:rPr>
          <w:rFonts w:ascii="Times New Roman" w:cs="Times New Roman" w:eastAsia="Times New Roman" w:hAnsi="Times New Roman"/>
          <w:sz w:val="20"/>
          <w:szCs w:val="20"/>
          <w:color w:val="auto"/>
        </w:rPr>
        <w:t>” means the Canadian Overnight Repo Rate Average administered and published by the CORRA Administrator.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CORRA Administrator</w:t>
      </w:r>
      <w:r>
        <w:rPr>
          <w:rFonts w:ascii="Times New Roman" w:cs="Times New Roman" w:eastAsia="Times New Roman" w:hAnsi="Times New Roman"/>
          <w:sz w:val="20"/>
          <w:szCs w:val="20"/>
          <w:color w:val="auto"/>
        </w:rPr>
        <w:t>” means the Bank of Canada (or any successor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5" w:name="page26"/>
    <w:bookmarkEnd w:id="25"/>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b w:val="1"/>
          <w:bCs w:val="1"/>
          <w:color w:val="auto"/>
        </w:rPr>
        <w:t>RFR Interest Day</w:t>
      </w:r>
      <w:r>
        <w:rPr>
          <w:rFonts w:ascii="Times New Roman" w:cs="Times New Roman" w:eastAsia="Times New Roman" w:hAnsi="Times New Roman"/>
          <w:sz w:val="20"/>
          <w:szCs w:val="20"/>
          <w:color w:val="auto"/>
        </w:rPr>
        <w:t>”), an interest rate per annum equal to (i) SONIA for the day that is 5 RFR Business Days prior to (A) if such RFR Interest Day is an RFR Business Day, such RFR Interest Day or (B) if such RFR Interest Day is not an RFR Business Day, the RFR Business Day immediately preceding such RFR Interest Day (the “</w:t>
      </w:r>
      <w:r>
        <w:rPr>
          <w:rFonts w:ascii="Times New Roman" w:cs="Times New Roman" w:eastAsia="Times New Roman" w:hAnsi="Times New Roman"/>
          <w:sz w:val="20"/>
          <w:szCs w:val="20"/>
          <w:b w:val="1"/>
          <w:bCs w:val="1"/>
          <w:color w:val="auto"/>
        </w:rPr>
        <w:t>RFR Lookback Day</w:t>
      </w:r>
      <w:r>
        <w:rPr>
          <w:rFonts w:ascii="Times New Roman" w:cs="Times New Roman" w:eastAsia="Times New Roman" w:hAnsi="Times New Roman"/>
          <w:sz w:val="20"/>
          <w:szCs w:val="20"/>
          <w:color w:val="auto"/>
        </w:rPr>
        <w:t>”), (ii) if SONIA is not available for the RFR Lookback Day determined pursuant to clause (i) above, the Daily Simple RFR for such RFR Lookback Day shall be the percentage rate per annum which is the aggregate of (I) the Central Bank Rate for such RFR Lookback Day and (II) the applicable Central Bank Rate Adjustment, and (iii) if clause (ii) applies but the Central Bank Rate for the applicable RFR Lookback Day is not available, the Daily Simple RFR for such RFR Lookback Day shall be the percentage rate per annum which is the aggregate of (I) the most recent Central Bank Rate for an RFR Business Day which is no more than 3 RFR Business Days before that RFR Lookback Day and (II) the applicable Central Bank Rate Adjustment.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SOFR</w:t>
      </w:r>
      <w:r>
        <w:rPr>
          <w:rFonts w:ascii="Times New Roman" w:cs="Times New Roman" w:eastAsia="Times New Roman" w:hAnsi="Times New Roman"/>
          <w:sz w:val="20"/>
          <w:szCs w:val="20"/>
          <w:color w:val="auto"/>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Declining Lender</w:t>
      </w:r>
      <w:r>
        <w:rPr>
          <w:rFonts w:ascii="Times New Roman" w:cs="Times New Roman" w:eastAsia="Times New Roman" w:hAnsi="Times New Roman"/>
          <w:sz w:val="20"/>
          <w:szCs w:val="20"/>
          <w:color w:val="auto"/>
        </w:rPr>
        <w:t>” has the meaning set forth in Section 2.19.</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such funding (each of which conditions precedent, together with any applicable default, shall be specifically identified in such writing) has not been satisfied, (ii) fund any portion of its participation in any Letter of Credit or (iii) pay to the Administrative Agent, any Issuing Bank or any other Lender any other amount required to be paid by it hereunder within three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0"/>
          <w:szCs w:val="20"/>
          <w:color w:val="auto"/>
        </w:rPr>
        <w:t>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upon delivery of written notice of such determination to the Borrower and each Lender.</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Deferred Revenue</w:t>
      </w:r>
      <w:r>
        <w:rPr>
          <w:rFonts w:ascii="Times New Roman" w:cs="Times New Roman" w:eastAsia="Times New Roman" w:hAnsi="Times New Roman"/>
          <w:sz w:val="20"/>
          <w:szCs w:val="20"/>
          <w:color w:val="auto"/>
        </w:rPr>
        <w:t xml:space="preserve">” shall mean, at any date, the amount of cash and Cash Equivalents received in advance of revenue recognition that would, in conformity with GAAP, be set forth opposite the caption “deferred revenue” or any like caption, including current and non-current designations, on a consolidated balance sheet at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balance should be determined excluding the effects of acquisition method accounting.</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Equity Interests</w:t>
      </w:r>
      <w:r>
        <w:rPr>
          <w:rFonts w:ascii="Times New Roman" w:cs="Times New Roman" w:eastAsia="Times New Roman" w:hAnsi="Times New Roman"/>
          <w:sz w:val="20"/>
          <w:szCs w:val="20"/>
          <w:color w:val="auto"/>
        </w:rPr>
        <w:t>” means any Equity Interest which, by its terms (or by the terms of any security or other Equity Interests into which it is convertible or for which it is exchangeable), or upon the happening of any event or condition (i) matures or is mandatorily redeemable (other than solely for Qualified Equity Interests), pursuant to a sinking fund obligation or otherwise, (ii) is redeemable at the option of the holder thereof (other than solely for Qualified Equity Interests), in whole or in part, or (iii) is or becomes convertible into or exchangeable for Indebtedness or any other Equity Interests that would constitute Disqualified Equity Interests, in each case, prior to the date that is 91 days after the Maturity Date applicable at the time of issuance thereof, except, in the case of clauses (i) and (ii), if as a result of a change of control, fundamental change or asset sale, so long as any rights of the holders thereof upon the occurrence of such a change of control, fundamental change or asset sale event are subject to the prior expiration or termination of the Commitments, the payment in full of the principal of and interest on each Loan and all fees payable hereunder and the cancellation or expiration or Cash Collateralization of all Letters of Credit.</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w:t>
      </w:r>
      <w:r>
        <w:rPr>
          <w:rFonts w:ascii="Times New Roman" w:cs="Times New Roman" w:eastAsia="Times New Roman" w:hAnsi="Times New Roman"/>
          <w:sz w:val="20"/>
          <w:szCs w:val="20"/>
          <w:color w:val="auto"/>
        </w:rPr>
        <w:t>” means (a) any Person that has been identified in writing to the Administrative Agent prior to the Effective Date as a “Disqualified Institution” and any institutions recognizable on the basis of similarity of such Person’s name, (b) any Person that is a competitor of the Borrower or any of its Subsidiaries that has been identified in writing to the Administrative Agent from time to time as a bona fide competitor and a “Disqualified Institution” by the Borrower (each,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xml:space="preserve">”) and any institutions recognizable on the basis of similarity of such Person’s name, (c) any Person with a long term unsecured credit rating of less than BBB- by S&amp;P or Fitch Ratings Ltd. (or any successor thereto) or less than Baa3 by Moody’s, (d) any hedge fund that directly or indirectly holds any equity or debt instruments issued by any Competitor, and (e) any Person (including an Affiliate or Approved Fund of a Lender) whose primary activity is (i) the trading or acquisition of distressed debt, or (ii) “loan to own” investment strategies;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 any Person that becomes a “Disqualified Institution” after the applicable Trade Date with respect to an assignment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participation shall not retroactively be deemed a “Disqualified Institution” for purposes of such assignment or participation or any previously acquired assignment or participation (but such Person shall not be able to increase its Commitments or participations hereunder), (ii) such assignment or participation and, in the case of an assignment, the execution by the Borrower of an Assignment and Assumption with respect to such assignee, will not by itself result in such assignee no longer being considered a “Disqualified Institution”;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the term “Disqualified Institution” shall not include any person that has been identified in writing to the Administrative Agent from time to time by the Borrower, in each case by delivery of three (3) Business Days’ notice thereof, as no longer constituting a “Disqualified Institution” and (iii) clause (c) above shall not apply at any time that a Specified Event of Default has occurred and is continuing.</w:t>
      </w:r>
    </w:p>
    <w:p>
      <w:pPr>
        <w:spacing w:after="0" w:line="1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 Equivalent</w:t>
      </w:r>
      <w:r>
        <w:rPr>
          <w:rFonts w:ascii="Times New Roman" w:cs="Times New Roman" w:eastAsia="Times New Roman" w:hAnsi="Times New Roman"/>
          <w:sz w:val="20"/>
          <w:szCs w:val="20"/>
          <w:color w:val="auto"/>
        </w:rPr>
        <w:t xml:space="preserve">” means, at any time, (a) with respect to any amount denominated in dollars, such amount and (b) with respect to any amount denominated in any Permitted Foreign Currency, the equivalent amount thereof in dollars at such time as determined in accordance with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using the Exchange Rate with respect to such Permitted Foreign Currency at the time in effect under the provisions of such Section (except as otherwise expressly provided in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refers to lawful money of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Restricted Subsidiary</w:t>
      </w:r>
      <w:r>
        <w:rPr>
          <w:rFonts w:ascii="Times New Roman" w:cs="Times New Roman" w:eastAsia="Times New Roman" w:hAnsi="Times New Roman"/>
          <w:sz w:val="20"/>
          <w:szCs w:val="20"/>
          <w:color w:val="auto"/>
        </w:rPr>
        <w:t>” means any Domestic Subsidiary that is a Restricted Subsidiary.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Subsidiary</w:t>
      </w:r>
      <w:r>
        <w:rPr>
          <w:rFonts w:ascii="Times New Roman" w:cs="Times New Roman" w:eastAsia="Times New Roman" w:hAnsi="Times New Roman"/>
          <w:sz w:val="20"/>
          <w:szCs w:val="20"/>
          <w:color w:val="auto"/>
        </w:rPr>
        <w:t>” means any Subsidiary that is organized under the laws of any political subdivision of the United States, excluding (x) any such Subsidiary substantially all of the assets of which consist of Equity Interests in one or more Subsidiaries that are “controlled foreign corporations” within the meaning of Section 957 of the Code and whose liabilities are less than 50% of the value of such equity interests and (y) any such Subsidiary that is owned (directly or indirectly) by a Subsidiary that is a “controlled foreign corporation” within the meaning of Section 957 of the Code.</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28" w:name="page29"/>
    <w:bookmarkEnd w:id="28"/>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means the date on which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Engagement Letter</w:t>
      </w:r>
      <w:r>
        <w:rPr>
          <w:rFonts w:ascii="Times New Roman" w:cs="Times New Roman" w:eastAsia="Times New Roman" w:hAnsi="Times New Roman"/>
          <w:sz w:val="20"/>
          <w:szCs w:val="20"/>
          <w:color w:val="auto"/>
        </w:rPr>
        <w:t>” means that certain Engagement Letter, dated as of April 9, 2026 by and among the Borrower and the Arrangers.</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generation, use, handling, transportation, storage, treatment, disposal, management, release or threatened release of any Hazardous Material or to health and safety matters.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investigation, reclamation or remediation, fines, penalties or indemnities), of the Borrower or any Restricted Subsidiary directly or indirectly resulting from or based upon (a) any Environmental Law, including compliance or noncompliance therewith, (b) the generation, use, handling, transportation, storage, treatment or disposal of any Hazardous Materials, (c) exposure to any Hazardous Materials, (d) the presence, release or threatened release of any Hazardous Materials into the environment or (e) any contract, agreement or other consensual arrangement pursuant to which liability is assumed or imposed with respect to any of the foregoing.</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Equity Interests shall not include any Convertible Notes, other debt securities that are or by their terms may be convertible or exchangeable into or for Qualified Equity Interests (or into or for any combination of cash and Qualified Equity Interests by reference to the price of such Qualified Equity Interests) or any instruments issued in connection with the foregoing, in each case, prior to settlement, conversion, exchange or exercise thereof into or for securities that would otherwise constitute Equity Interests under this definition.</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person that for purposes of Title I or Title IV of ERISA or Section 412 of the Code would be deemed at any relevant time to be a single employer or otherwise aggregated with the Borrower or a Restricted Subsidiary under Section 414(b), (c),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 or (o) of the Code or Section 4001 of ERISA.</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 any one or more of the following: (a) any reportable event, as defined in Section 4043(c) of ERISA, with respect to a Plan, as to which the PBGC has not waived under subsection.22,.23,.25,.26,.27,.28,.29,.30,.31,.32,.34 or.35 of PBGC Regulation Section 4043 the requirement of Section 4043(a) of ERISA that it be notified of such event; (b) the termination of any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20"/>
          <w:szCs w:val="20"/>
          <w:color w:val="auto"/>
        </w:rPr>
        <w:t>under Section 4041(c)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the failure to satisfy the minimum funding standard under Section 412 of the Code or Section 302 of ERISA, whether or not waived, or a determination that any Plan is, or is expected to be, considered an at-risk plan within the meaning of Section 430 of the Code or Section 303 of ERISA; (f) engaging in a non-exempt prohibited transaction within the meaning of Section 4975 of the Code or Section 406 of ERISA with respect to a Plan; (g) the complete or partial withdrawal of any Borrower, Restricted Subsidiary or any ERISA Affiliate from a Multiemployer Plan which results in the imposition of Withdrawal Liability or (h) a determination that any Multiemployer Plan is “insolvent” under Title IV of ERISA or is in “endangered”, “critical” or “critical and declining” status under Section 432 of the Code or Section 305 of ERISA.</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Subrogation Rights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8.09(d)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thereto), as in effect from time to time.</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EURIBO Rate</w:t>
      </w:r>
      <w:r>
        <w:rPr>
          <w:rFonts w:ascii="Times New Roman" w:cs="Times New Roman" w:eastAsia="Times New Roman" w:hAnsi="Times New Roman"/>
          <w:sz w:val="20"/>
          <w:szCs w:val="20"/>
          <w:color w:val="auto"/>
        </w:rPr>
        <w:t xml:space="preserve">” means, for any Interest Rate Determination Date with respect to an Interest Period for a EURIBOR Borrowing,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the Administrative Agent on the basis of the rate for deposits in such currency for a period equal to such Interest Period commencing on the first day of such Interest Period as administered by the Banking Federation of the European Union (or any other Person that takes over the administration of such rate) appearing on Reuters Screen EURIBOR01 page (or any successor page) as of approximately 11:00 a.m., Brussels, Belgium time, on such Interest Rate Determination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such rate does not appear on such page or service or if such page or service shall cease to be available, the EURIBO Rate shall be determined by the Administrative Agent by reference to such other comparable publicly available service for displaying EURIBO rates as may be selected by the Administrative Agent, or, in the absence of such availability, the arithmetic mean of the rates as supplied to the Administrative Agent at its request and quoted by the reference banks appointed by the Administrative Agent in consultation with the Borrower to leading banks who consent to such appointment in the Euro interbank market for deposits in Euros of a duration equal to the duration of such Interest Period, on such Interest Rate Determination Date.</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EURIBOR</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Adjusted EURIBO Rate.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single currency of the Participating Member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Rate</w:t>
      </w:r>
      <w:r>
        <w:rPr>
          <w:rFonts w:ascii="Times New Roman" w:cs="Times New Roman" w:eastAsia="Times New Roman" w:hAnsi="Times New Roman"/>
          <w:sz w:val="20"/>
          <w:szCs w:val="20"/>
          <w:color w:val="auto"/>
        </w:rPr>
        <w:t>” means, on any day, with respect to the applicable Permitted Foreign Currency, the rate at which such currency may be exchanged into dollars, as set forth at approximately 11:00 a.m., London time, on such day on the Reuters World Currency Page “FX=” for such currency.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that such rate does not appear on any Reuters World Currency Page, then the Exchange Rate shall be determined by reference to such other publicly available service for displaying exchange rates as may be agreed upon by the Administrative Agent and the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London time, on such date for the purchase of dollars for delivery two Business Days later;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at the time of any such determination, for any reason, no such spot rate is being quoted, the Administrative Agent, after consultation with the Borrower, may use any reasonable and customary method it deems appropriate to determine such rate, and such determination shall be presumed correct absent manifest error.</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Subsidiary</w:t>
      </w:r>
      <w:r>
        <w:rPr>
          <w:rFonts w:ascii="Times New Roman" w:cs="Times New Roman" w:eastAsia="Times New Roman" w:hAnsi="Times New Roman"/>
          <w:sz w:val="20"/>
          <w:szCs w:val="20"/>
          <w:color w:val="auto"/>
        </w:rPr>
        <w:t xml:space="preserve">” means (a) any Unrestricted Subsidiary, (b) any Foreign Subsidiary, (c) any Subsidiary that is prohibited by applicable law, rule or regulation or by any contractual obligation to which such Subsidiary is a party or by which it or any of its property or assets is bound from guaranteeing the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agreement, instrument or other undertaking (i) is in existence on the Effective Date (or, with respect to a Subsidiary created or acquired after the Effective Date, as of the date of such creation or acquisition) and (ii) in the case of a Subsidiary created or acquired after the Effective Date, was not entered into in connection with, or in contemplation of, such acquisition or the provisions of this definition, (d) any Subsidiary with respect to which guaranteeing the Obligations would require consent, approval, license or authorization from any Governmental Authority, unless such consent, approval, license or authorization has been obtained, (e) any Immaterial Subsidiary and (f) any captive insurance Subsidiary.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would have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or unlawful.</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xml:space="preserve">” means any of the following Taxes imposed on or with respect to the Administrative Agent, any Lender or any Issuing Bank or required to be withheld or deducted from a payment to the Administrative Agent, any Lender or any Issuing Bank: (a) Taxes imposed on (or measured by) its net income,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otherwise are Other Connection Taxes, (b) in the case of a Lender, any United States withholding Tax that is imposed on amounts payable to or for the account of such Lender with respect to an applicable interest in a Loan or Commitment pursuant to a law in effect on the date on which such Lender acquires such interest in the Loan or Commitment (other than pursuant to an assignment request of the Borrower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or designates a new lending office, except to the extent that such Lender’s assignor was entitled, at the time of assignment (or such Lender was entitled,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designation of a new lending office), to receive additional amounts from the Borrower with respect to such withholding Tax pursuant to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(c) Taxes attributable to Administrative Agent’s, such Lender’s or such Issuing Bank’s failure to comply with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and (d) any U.S. withholding Taxes imposed under FATCA.</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Order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Letters of Credit</w:t>
      </w:r>
      <w:r>
        <w:rPr>
          <w:rFonts w:ascii="Times New Roman" w:cs="Times New Roman" w:eastAsia="Times New Roman" w:hAnsi="Times New Roman"/>
          <w:sz w:val="20"/>
          <w:szCs w:val="20"/>
          <w:color w:val="auto"/>
        </w:rPr>
        <w:t xml:space="preserve">” means the letters of credit set out in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Agreement</w:t>
      </w:r>
      <w:r>
        <w:rPr>
          <w:rFonts w:ascii="Times New Roman" w:cs="Times New Roman" w:eastAsia="Times New Roman" w:hAnsi="Times New Roman"/>
          <w:sz w:val="20"/>
          <w:szCs w:val="20"/>
          <w:color w:val="auto"/>
        </w:rPr>
        <w:t xml:space="preserve">” means an extension agreement entered into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in form and substance reasonably satisfactory to the Administrative Agent.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or any published intergovernmental agreement and any fiscal or regulatory legislation, rules or official practices adopted pursuant to any published intergovernmental agreement entered into in connection with the implementation of such Sections of the Code.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means the Foreign Corrupt Practices Act of 1977, (15 U.S.C. §§ 78dd-1, et seq.) as amended.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Effective Rate</w:t>
      </w:r>
      <w:r>
        <w:rPr>
          <w:rFonts w:ascii="Times New Roman" w:cs="Times New Roman" w:eastAsia="Times New Roman" w:hAnsi="Times New Roman"/>
          <w:sz w:val="20"/>
          <w:szCs w:val="20"/>
          <w:color w:val="auto"/>
        </w:rPr>
        <w:t xml:space="preserve">” means for any day,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weighted average of the rates on overnight Federal funds transactions with members of the Federal Reserve System, as published by the Federal Reserve Bank of New York on the Business Day next succeeding such day or, if no such rate is so published on any day that is a Business Day, the average of the quotations for the day of such transactions received by the Administrative Agent from three federal funds brokers of recognized standing selected by it;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the relevant screen rate shall be less than zero, such rate shall be deemed to be zero for purposes of this Agreement.</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Officer</w:t>
      </w:r>
      <w:r>
        <w:rPr>
          <w:rFonts w:ascii="Times New Roman" w:cs="Times New Roman" w:eastAsia="Times New Roman" w:hAnsi="Times New Roman"/>
          <w:sz w:val="20"/>
          <w:szCs w:val="20"/>
          <w:color w:val="auto"/>
        </w:rPr>
        <w:t>” means the chief financial officer, principal accounting officer, vice president of finance or corporate controller or most senior financial officer of the Borrower.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of interest equal to 0.00%.</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any Lender whose interest in any Obligation is treated for U.S. federal income tax purposes as owned by a Person that is not a U.S. Person.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Fronting Exposure</w:t>
      </w:r>
      <w:r>
        <w:rPr>
          <w:rFonts w:ascii="Times New Roman" w:cs="Times New Roman" w:eastAsia="Times New Roman" w:hAnsi="Times New Roman"/>
          <w:sz w:val="20"/>
          <w:szCs w:val="20"/>
          <w:color w:val="auto"/>
        </w:rPr>
        <w:t>” means, at any time there is a Defaulting Lender, with respect to any Issuing Bank, such Defaulting Lender’s Applicable Percentage of the Letter of Credit Usage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83" w:lineRule="auto"/>
        <w:rPr>
          <w:sz w:val="20"/>
          <w:szCs w:val="20"/>
          <w:color w:val="auto"/>
        </w:rPr>
      </w:pPr>
      <w:r>
        <w:rPr>
          <w:rFonts w:ascii="Times New Roman" w:cs="Times New Roman" w:eastAsia="Times New Roman" w:hAnsi="Times New Roman"/>
          <w:sz w:val="20"/>
          <w:szCs w:val="20"/>
          <w:color w:val="auto"/>
        </w:rPr>
        <w:t>Letter of Credit Usage as to which such Defaulting Lender’s participation obligation has been reallocated to other Non-Defaulting Lenders or Cash Collateralized in accordance with the terms hereof.</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Goldman Sachs</w:t>
      </w:r>
      <w:r>
        <w:rPr>
          <w:rFonts w:ascii="Times New Roman" w:cs="Times New Roman" w:eastAsia="Times New Roman" w:hAnsi="Times New Roman"/>
          <w:sz w:val="20"/>
          <w:szCs w:val="20"/>
          <w:color w:val="auto"/>
        </w:rPr>
        <w:t>” means Goldman Sachs Bank USA.</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Acts</w:t>
      </w:r>
      <w:r>
        <w:rPr>
          <w:rFonts w:ascii="Times New Roman" w:cs="Times New Roman" w:eastAsia="Times New Roman" w:hAnsi="Times New Roman"/>
          <w:sz w:val="20"/>
          <w:szCs w:val="20"/>
          <w:color w:val="auto"/>
        </w:rPr>
        <w:t>” means any act or omission, whether rightful or wrongful, of any present or future de jure or de facto government or Governmental Authority.</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of or by any Person (the “guarantor”)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20"/>
          <w:szCs w:val="20"/>
          <w:b w:val="1"/>
          <w:bCs w:val="1"/>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Cash Management Agreement</w:t>
      </w:r>
      <w:r>
        <w:rPr>
          <w:rFonts w:ascii="Times New Roman" w:cs="Times New Roman" w:eastAsia="Times New Roman" w:hAnsi="Times New Roman"/>
          <w:sz w:val="20"/>
          <w:szCs w:val="20"/>
          <w:color w:val="auto"/>
        </w:rPr>
        <w:t>” means any agreement relating to Cash Management Services that is entered into by and between the Borrower or any Restricted Subsidiary and a Cash Management Bank which is specified in writing by the Borrower to the Administrative Agent as constituting a “Guaranteed Cash Management Agreement” hereunder.</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Cash Management Obligations</w:t>
      </w:r>
      <w:r>
        <w:rPr>
          <w:rFonts w:ascii="Times New Roman" w:cs="Times New Roman" w:eastAsia="Times New Roman" w:hAnsi="Times New Roman"/>
          <w:sz w:val="20"/>
          <w:szCs w:val="20"/>
          <w:color w:val="auto"/>
        </w:rPr>
        <w:t>” means the obligations owed by the Borrower or any Restricted Subsidiary to any Guaranteed Cash Management Bank pursuant to Guaranteed Cash Management Agreements.</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Hedge Agreement</w:t>
      </w:r>
      <w:r>
        <w:rPr>
          <w:rFonts w:ascii="Times New Roman" w:cs="Times New Roman" w:eastAsia="Times New Roman" w:hAnsi="Times New Roman"/>
          <w:sz w:val="20"/>
          <w:szCs w:val="20"/>
          <w:color w:val="auto"/>
        </w:rPr>
        <w:t>” means any agreement in respect of any Swap Agreement specified by the Borrower that (a) is entered into by and between any Loan Party or any Restricted Subsidiary and any Hedge Bank and (b) is specified in writing by the Borrower to the Administrative Agent as constituting a “Guaranteed Hedge Agreement” hereunder.</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Hedging Obligations</w:t>
      </w:r>
      <w:r>
        <w:rPr>
          <w:rFonts w:ascii="Times New Roman" w:cs="Times New Roman" w:eastAsia="Times New Roman" w:hAnsi="Times New Roman"/>
          <w:sz w:val="20"/>
          <w:szCs w:val="20"/>
          <w:color w:val="auto"/>
        </w:rPr>
        <w:t>” means the obligations owed by the Borrower or any Restricted Subsidiary to any Hedge Bank pursuant to Guaranteed Hedge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xml:space="preserve">” means (a) the Obligations, (b) the Guaranteed Hedging Obligations and (c) the Guaranteed Cash Management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“Guaranteed Obligations” shall not include any Excluded Swap Obligation. Notwithstanding the foregoing, (i) unless otherwise agreed to by the Borrower and any Hedge Bank or any Cash Management Bank, the obligations of the Borrower or any Restricted Subsidiary under any Guaranteed Hedge Agreement or any Cash Management Obligations shall be guaranteed pursuant to the Guarantees only to the extent that, and for so long as, the Obligations are so guaranteed and (ii) any release of Guarantors effected in a manner permitted by this Agreement or any other Loan Document shall not require the consent of any counterparty to any Guaranteed Hedge Agreement or of the holders of any Cash Management Obligations other than in their capacity as a Lender or as the Administrative Agent.</w:t>
      </w:r>
    </w:p>
    <w:p>
      <w:pPr>
        <w:spacing w:after="0" w:line="1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Parties</w:t>
      </w:r>
      <w:r>
        <w:rPr>
          <w:rFonts w:ascii="Times New Roman" w:cs="Times New Roman" w:eastAsia="Times New Roman" w:hAnsi="Times New Roman"/>
          <w:sz w:val="20"/>
          <w:szCs w:val="20"/>
          <w:color w:val="auto"/>
        </w:rPr>
        <w:t xml:space="preserve">” means, collectively, the Administrative Agent, the Lenders, each Issuing Bank, each Hedge Bank that is party to any Guaranteed Hedge Agreement, each Cash Management Bank that is party to a Guaranteed Cash Management Agreement, each co-agent, sub-agent or attorney-in-fact appointed by the Administrative Agent pursuant to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with respect to matters relating to any Guaranty or Holdings Guaranty and any other holder of a Guaranteed Obligation from time to time.</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xml:space="preserve">” means (a) any Material Domestic Subsidiary of the Borrower that has delivered a Guaranty or a joinder agreement to a Guaranty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hereof and (b) upon the consummation of any Permitted Holdco Transaction and the delivery of a Holdings Guaranty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by Holdings, Holdings.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xml:space="preserve">” means a guaranty agreement in substantially the form of </w:t>
      </w:r>
      <w:r>
        <w:rPr>
          <w:rFonts w:ascii="Times New Roman" w:cs="Times New Roman" w:eastAsia="Times New Roman" w:hAnsi="Times New Roman"/>
          <w:sz w:val="20"/>
          <w:szCs w:val="20"/>
          <w:u w:val="single" w:color="auto"/>
          <w:color w:val="auto"/>
        </w:rPr>
        <w:t>Exhibit E-1</w:t>
      </w:r>
      <w:r>
        <w:rPr>
          <w:rFonts w:ascii="Times New Roman" w:cs="Times New Roman" w:eastAsia="Times New Roman" w:hAnsi="Times New Roman"/>
          <w:sz w:val="20"/>
          <w:szCs w:val="20"/>
          <w:color w:val="auto"/>
        </w:rPr>
        <w:t xml:space="preserve"> hereto.</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Bank</w:t>
      </w:r>
      <w:r>
        <w:rPr>
          <w:rFonts w:ascii="Times New Roman" w:cs="Times New Roman" w:eastAsia="Times New Roman" w:hAnsi="Times New Roman"/>
          <w:sz w:val="20"/>
          <w:szCs w:val="20"/>
          <w:color w:val="auto"/>
        </w:rPr>
        <w:t>” means any Person that is a counterparty to a Guaranteed Hedge Agreement with a Loan Party or any Restricted Subsidiary, in its capacity as such, and that either (i) is a Lender, the Administrative Agent or an Affiliate of any of the foregoing at the time it enters into such a Guaranteed Hedge Agreement, in its capacity as a party thereto or (ii) becomes a Lender, the Administrative Agent or an Affiliate of the foregoing after it has entered into such a Guaranteed Hedge Agreement; provided that no such Person (except the Administrative Agent) shall be considered a Hedge Bank until such time as it shall have delivered written notice to the Administrative Agent that such a transaction has been entered into and that such Person constitutes a Hedge Bank entitled to the benefits of the Guaranty and any Holdings Guaranty.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Hedging Obligations</w:t>
      </w:r>
      <w:r>
        <w:rPr>
          <w:rFonts w:ascii="Times New Roman" w:cs="Times New Roman" w:eastAsia="Times New Roman" w:hAnsi="Times New Roman"/>
          <w:sz w:val="20"/>
          <w:szCs w:val="20"/>
          <w:color w:val="auto"/>
        </w:rPr>
        <w:t>” means, with respect to any Person, the obligations of such Person under Swap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shall have the meaning set forth in the definition of “Permitted Holdco Transaction”.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 Guaranty</w:t>
      </w:r>
      <w:r>
        <w:rPr>
          <w:rFonts w:ascii="Times New Roman" w:cs="Times New Roman" w:eastAsia="Times New Roman" w:hAnsi="Times New Roman"/>
          <w:sz w:val="20"/>
          <w:szCs w:val="20"/>
          <w:color w:val="auto"/>
        </w:rPr>
        <w:t xml:space="preserve">” means a guaranty agreement in substantially the form of </w:t>
      </w:r>
      <w:r>
        <w:rPr>
          <w:rFonts w:ascii="Times New Roman" w:cs="Times New Roman" w:eastAsia="Times New Roman" w:hAnsi="Times New Roman"/>
          <w:sz w:val="20"/>
          <w:szCs w:val="20"/>
          <w:u w:val="single" w:color="auto"/>
          <w:color w:val="auto"/>
        </w:rPr>
        <w:t>Exhibit E-2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9" w:right="339" w:bottom="1440" w:gutter="0" w:footer="0" w:header="0"/>
        </w:sectPr>
      </w:pPr>
    </w:p>
    <w:bookmarkStart w:id="34" w:name="page35"/>
    <w:bookmarkEnd w:id="34"/>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Immaterial Subsidiary</w:t>
      </w:r>
      <w:r>
        <w:rPr>
          <w:rFonts w:ascii="Times New Roman" w:cs="Times New Roman" w:eastAsia="Times New Roman" w:hAnsi="Times New Roman"/>
          <w:sz w:val="20"/>
          <w:szCs w:val="20"/>
          <w:color w:val="auto"/>
        </w:rPr>
        <w:t>” means, at any date of determination, any direct or indirect Domestic Subsidiary of the Borrower (or, after a Permitted Holdco Transaction, Holdings) whose total assets as of the most recent available quarterly or year-end financial statements do not exceed 5% of the Total Assets at such date and (ii) whose revenues for the most recently ended four-quarter period for which financial statements are available do not exceed 5% of the consolidated revenues of the Borrower and its Subsidiaries for such period, in each case determined in accordance with GAAP; provided that (A) the total assets of all such Immaterial Subsidiaries as of the most recent available quarterly or year-end financial statements shall not exceed 10% of the Total Assets at such date and (B) the revenues of all such Immaterial Subsidiaries for the most recently ended four-quarter period for which financial statements are available shall not exceed 10% of the consolidated revenues of the Borrower and its Subsidiaries for such period, in each case determined in accordance with GAAP.</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Increased Amount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Available Amount</w:t>
      </w:r>
      <w:r>
        <w:rPr>
          <w:rFonts w:ascii="Times New Roman" w:cs="Times New Roman" w:eastAsia="Times New Roman" w:hAnsi="Times New Roman"/>
          <w:sz w:val="20"/>
          <w:szCs w:val="20"/>
          <w:color w:val="auto"/>
        </w:rPr>
        <w:t xml:space="preserve">” means, on any date of determination, (a) the greater of (x) $1,000,000,000 and (y) 100% of Consolidated Adjusted EBITDA as of the most recently ended Measurement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any additional or other amount, so long as, solely in this case of this clause (b) and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the Borrower has provided the financial statements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5.01(e)</w:t>
      </w:r>
      <w:r>
        <w:rPr>
          <w:rFonts w:ascii="Times New Roman" w:cs="Times New Roman" w:eastAsia="Times New Roman" w:hAnsi="Times New Roman"/>
          <w:sz w:val="20"/>
          <w:szCs w:val="20"/>
          <w:color w:val="auto"/>
        </w:rPr>
        <w:t xml:space="preserve"> as of and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w:t>
      </w: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and the Total Gross Leverage Ratio does not exceed 4.00 to 1.00, determined after giving effect to such New Commitments as of the last date of such Measurement Period and treating any New Commitments or Indebtedness consisting of a revolving credit facility incurred on such date (or, in the case, of a Limited Conditionality Acquisition, to be incurred in connection with such acquisition) as fully drawn.</w:t>
      </w:r>
    </w:p>
    <w:p>
      <w:pPr>
        <w:spacing w:after="0" w:line="17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of any Person at any date means,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w:t>
      </w:r>
    </w:p>
    <w:p>
      <w:pPr>
        <w:spacing w:after="0" w:line="4" w:lineRule="exact"/>
        <w:rPr>
          <w:sz w:val="20"/>
          <w:szCs w:val="20"/>
          <w:color w:val="auto"/>
        </w:rPr>
      </w:pPr>
    </w:p>
    <w:p>
      <w:pPr>
        <w:jc w:val="both"/>
        <w:ind w:firstLine="8"/>
        <w:spacing w:after="0" w:line="249" w:lineRule="auto"/>
        <w:tabs>
          <w:tab w:leader="none" w:pos="29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obligations of the kind referred to in clauses (a) through (f) above, and (h) all obligations of the kind referred to in clauses (a) through (g)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9" w:right="339" w:bottom="1440" w:gutter="0" w:footer="0" w:header="0"/>
        </w:sectPr>
      </w:pPr>
    </w:p>
    <w:bookmarkStart w:id="35" w:name="page36"/>
    <w:bookmarkEnd w:id="35"/>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collectively, all rights, priorities and privileges relating to intellectual property and other intellectual property rights, whether arising under the United States, multinational or foreign laws or otherwise, including copyrights, copyright licenses, patents, patent licenses, trademarks, trademark licenses, URLs and domain names, and the right to sue or otherwise recover for any past, present and future infringement, dilution, misappropriation or other violation or impairment thereof, including the right to receive all proceeds therefrom, including license fees, royalties, income, payments, claims, damages and proceeds of suit, now or hereafter due and or payable with respect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Election Request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(a) with respect to any ABR Loan, the last Business Day of each March, June, September and December, (b) with respect to any Term SOFR Loan, EURIBOR Loan or Term CORRA Loan, on the last day of each Interest Period applicable thereto and, in the case of an Interest Period in excess of three months, on each date occurring at three-month intervals after the first day of such Interest Period and (c) with respect to any RFR Loan, (1) the last Business Day of each calendar month and (2) the Maturity Date.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xml:space="preserve">” means, with respect to any (a) Term SOFR Borrowing or EURIBOR Borrowing, the period commencing on the date of such Borrowing and ending on the numerically corresponding day in the calendar month that is one, three or six months (or, with the consent of each Lender, twelve months or less) and (b) Term CORRA Borrowing, the period commencing on the date of such Borrowing and ending on the numerically corresponding day in the calendar month that is one or three months, thereafter, as the Borrower may elect, in each case, to the extent such interest period is available for such Borrowing;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Term SOFR Borrowing, EURIBOR Borrowing or Term CORRA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Rate Determination Date</w:t>
      </w:r>
      <w:r>
        <w:rPr>
          <w:rFonts w:ascii="Times New Roman" w:cs="Times New Roman" w:eastAsia="Times New Roman" w:hAnsi="Times New Roman"/>
          <w:sz w:val="20"/>
          <w:szCs w:val="20"/>
          <w:color w:val="auto"/>
        </w:rPr>
        <w:t>” means, with respect to any Interest Period, the date that is two Business Days prior to the first day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09" w:right="339" w:bottom="1440" w:gutter="0" w:footer="0" w:header="0"/>
        </w:sectPr>
      </w:pPr>
    </w:p>
    <w:bookmarkStart w:id="36" w:name="page37"/>
    <w:bookmarkEnd w:id="36"/>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Investment</w:t>
      </w:r>
      <w:r>
        <w:rPr>
          <w:rFonts w:ascii="Times New Roman" w:cs="Times New Roman" w:eastAsia="Times New Roman" w:hAnsi="Times New Roman"/>
          <w:sz w:val="19"/>
          <w:szCs w:val="19"/>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Indebtedness of the type referred to in clause (h) of “Indebtedness” in respect of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each case by such Person with respect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U.S. Internal Revenue Service.</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ISP 98</w:t>
      </w:r>
      <w:r>
        <w:rPr>
          <w:rFonts w:ascii="Times New Roman" w:cs="Times New Roman" w:eastAsia="Times New Roman" w:hAnsi="Times New Roman"/>
          <w:sz w:val="20"/>
          <w:szCs w:val="20"/>
          <w:color w:val="auto"/>
        </w:rPr>
        <w:t>” means, with respect to any Letter of Credit, the “International Standby Practices 1998”, International Chamber of Commerce Publication No. 590 (or such later version thereof as may be acceptable to the applicable Issuing Bank and in effect at the time of issuance of such Letter of Credit).</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Bank</w:t>
      </w:r>
      <w:r>
        <w:rPr>
          <w:rFonts w:ascii="Times New Roman" w:cs="Times New Roman" w:eastAsia="Times New Roman" w:hAnsi="Times New Roman"/>
          <w:sz w:val="20"/>
          <w:szCs w:val="20"/>
          <w:color w:val="auto"/>
        </w:rPr>
        <w:t xml:space="preserve">” means each Lender (or affiliate thereof) with a Letter of Credit Issuer Sublimit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hereof, as Issuing Bank hereunder, and any other Lender (or affiliate thereof) that shall agree in writing, at the request of the Borrower and with the consent of the Administrative Agent, to become an “Issuing Bank”, in each case together with its permitted successors and assigns in such capacity.</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means a joinder agreement to this Agreement in form and substance reasonably satisfactory to the Administrative Agent.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JPMorgan</w:t>
      </w:r>
      <w:r>
        <w:rPr>
          <w:rFonts w:ascii="Times New Roman" w:cs="Times New Roman" w:eastAsia="Times New Roman" w:hAnsi="Times New Roman"/>
          <w:sz w:val="20"/>
          <w:szCs w:val="20"/>
          <w:color w:val="auto"/>
        </w:rPr>
        <w:t>” means JPMorgan Chase Bank, N.A.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means a standby letter of credit issued or to be issued by an Issuing Bank pursuant to this Agreement in such form and substance as may be approved from time to time by the applicable Issuing Bank, including any and all Existing Letters of Credit that the Issuing Bank has notified the Borrower and Administrative Agent of as constituting a Letter of Credit hereunder. Letters of Credit will only be issued in dollars or any other Permitted Foreign Currency.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9" w:right="339" w:bottom="1440" w:gutter="0" w:footer="0" w:header="0"/>
        </w:sectPr>
      </w:pPr>
    </w:p>
    <w:bookmarkStart w:id="37" w:name="page38"/>
    <w:bookmarkEnd w:id="37"/>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Issuer Sublimit</w:t>
      </w:r>
      <w:r>
        <w:rPr>
          <w:rFonts w:ascii="Times New Roman" w:cs="Times New Roman" w:eastAsia="Times New Roman" w:hAnsi="Times New Roman"/>
          <w:sz w:val="20"/>
          <w:szCs w:val="20"/>
          <w:color w:val="auto"/>
        </w:rPr>
        <w:t xml:space="preserve">” means (i) with respect to each Issuing Bank as of the Effective Date, as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and (ii) with respect to any other Issuing Bank, an amount as shall be agreed to by the Administrative Agent, such Issuing Bank and the Borrower.</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Sublimit</w:t>
      </w:r>
      <w:r>
        <w:rPr>
          <w:rFonts w:ascii="Times New Roman" w:cs="Times New Roman" w:eastAsia="Times New Roman" w:hAnsi="Times New Roman"/>
          <w:sz w:val="20"/>
          <w:szCs w:val="20"/>
          <w:color w:val="auto"/>
        </w:rPr>
        <w:t>” means the lesser of (i) $150,000,000 and (ii) the aggregate unused amount of the Revolving Commitments then in effect.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Usage</w:t>
      </w:r>
      <w:r>
        <w:rPr>
          <w:rFonts w:ascii="Times New Roman" w:cs="Times New Roman" w:eastAsia="Times New Roman" w:hAnsi="Times New Roman"/>
          <w:sz w:val="20"/>
          <w:szCs w:val="20"/>
          <w:color w:val="auto"/>
        </w:rPr>
        <w:t>” means, as at any date of determination, the sum of (i) the Dollar Equivalent of the maximum aggregate amount which is, or at any time thereafter may become, available for drawing under all Letters of Credit then outstanding and (ii) the Dollar Equivalent of the aggregate amount of all drawings under Letters of Credit honored by an Issuing Bank and not theretofore reimbursed by or on behalf of the Borrower. The Letter of Credit Usage of any Lender at any time shall be such Lender’s Applicable Percentage of the aggregate Letter of Credit Usage at such time.</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Limited Conditionality Acquisition</w:t>
      </w:r>
      <w:r>
        <w:rPr>
          <w:rFonts w:ascii="Times New Roman" w:cs="Times New Roman" w:eastAsia="Times New Roman" w:hAnsi="Times New Roman"/>
          <w:sz w:val="20"/>
          <w:szCs w:val="20"/>
          <w:color w:val="auto"/>
        </w:rPr>
        <w:t>” means any acquisition or other Investments, including by way of merger, by the Borrower or one or more of its Restricted Subsidiaries permitted pursuant to this Agreement whose consummation is not conditioned on (a) the availability of, or on obtaining, third party financing, (b) the receipt of proceeds of any investment or (c) the redemption or repayment of indebtedness requiring irrevocable notice in advance of such redemption or repayment.</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means, as of any date of determination, the average of the sum of the following amounts as of the last Business Day of each calendar month (each, a “</w:t>
      </w:r>
      <w:r>
        <w:rPr>
          <w:rFonts w:ascii="Times New Roman" w:cs="Times New Roman" w:eastAsia="Times New Roman" w:hAnsi="Times New Roman"/>
          <w:sz w:val="20"/>
          <w:szCs w:val="20"/>
          <w:b w:val="1"/>
          <w:bCs w:val="1"/>
          <w:color w:val="auto"/>
        </w:rPr>
        <w:t>Monthly Measurement Date</w:t>
      </w:r>
      <w:r>
        <w:rPr>
          <w:rFonts w:ascii="Times New Roman" w:cs="Times New Roman" w:eastAsia="Times New Roman" w:hAnsi="Times New Roman"/>
          <w:sz w:val="20"/>
          <w:szCs w:val="20"/>
          <w:color w:val="auto"/>
        </w:rPr>
        <w:t xml:space="preserve">”) during the preceding fiscal quarter of the Borrower: (x) consolidated cash and Cash Equivalents of Borrower and its Subsidiaries as of such Monthly Measurement Date (including cash and Cash Equivalents of Unrestricted Subsidiaries, but excluding cash or Cash Equivalents that (i) would appear (or would be required to appear) as “restricted” on the consolidated balance sheet of Borrower, or (ii) are subject to any Lien as of such Monthly Measurement Date, other than non-consensual Liens arising by operation of law or Liens permitted under Section 6.02(k));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the Revolving Commitments in effect as of such Monthly Measurement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(z) the Aggregate Total Exposure as of such Monthly Measurement Date.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xml:space="preserve">” means this Agreement (including any amendment hereto or waiver hereunder), the Notes (if any), any Joinder Agreement, any Guaranty, any Extension Agreement, any instrument of joinder to any Guaranty delivered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any Holdings Guaranty, the Agent Fee Letter, any other agreement, instrument or document executed after the date hereof and designated by its terms as a Loan Document and any agreements, documents or certificates executed by the Borrower in favor of the applicable Issuing Bank relating to Letters of Credit.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the Borrower and the Guarantors.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means the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9" w:right="339" w:bottom="1440" w:gutter="0" w:footer="0" w:header="0"/>
        </w:sectPr>
      </w:pPr>
    </w:p>
    <w:bookmarkStart w:id="38" w:name="page39"/>
    <w:bookmarkEnd w:id="38"/>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Marqeta Obligations</w:t>
      </w:r>
      <w:r>
        <w:rPr>
          <w:rFonts w:ascii="Times New Roman" w:cs="Times New Roman" w:eastAsia="Times New Roman" w:hAnsi="Times New Roman"/>
          <w:sz w:val="20"/>
          <w:szCs w:val="20"/>
          <w:color w:val="auto"/>
        </w:rPr>
        <w:t>” means any obligations owing from the Borrower or its Subsidiaries owing to Marqeta, Inc. under that certain master services agreement dated February 26, 2016 (as amended, restated, amended and restated, supplemented, or otherwise modified from time to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Acquisition</w:t>
      </w:r>
      <w:r>
        <w:rPr>
          <w:rFonts w:ascii="Times New Roman" w:cs="Times New Roman" w:eastAsia="Times New Roman" w:hAnsi="Times New Roman"/>
          <w:sz w:val="20"/>
          <w:szCs w:val="20"/>
          <w:color w:val="auto"/>
        </w:rPr>
        <w:t>” means an Acquisition with an aggregate consideration in excess of $500,000,000.</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 adverse effect on (a) the business, property, financial condition or results of operations of the Borrower and the Restricted Subsidiaries taken as a whole, or (b) the rights of or remedies available to the Agents and the Lenders under this Agreement, any Guaranty, any Holdings Guaranty, or any Loan Document (other than due to the action or inaction of the Agents or the Lenders).</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Domestic Subsidiary</w:t>
      </w:r>
      <w:r>
        <w:rPr>
          <w:rFonts w:ascii="Times New Roman" w:cs="Times New Roman" w:eastAsia="Times New Roman" w:hAnsi="Times New Roman"/>
          <w:sz w:val="20"/>
          <w:szCs w:val="20"/>
          <w:color w:val="auto"/>
        </w:rPr>
        <w:t>” means a wholly-owned Domestic Subsidiary that is not an Immaterial Subsidiary or an Excluded Subsidiary.</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Indebtedness</w:t>
      </w:r>
      <w:r>
        <w:rPr>
          <w:rFonts w:ascii="Times New Roman" w:cs="Times New Roman" w:eastAsia="Times New Roman" w:hAnsi="Times New Roman"/>
          <w:sz w:val="20"/>
          <w:szCs w:val="20"/>
          <w:color w:val="auto"/>
        </w:rPr>
        <w:t>” means Indebtedness (other than any Indebtedness under the Loan Documents and other than Indebtedness among Holdings, the Borrower and its Subsidiaries), or obligations in respect of one or more Swap Agreements, of any one or more of Holdings, the Borrower and its Restricted Subsidiaries in a principal amount exceeding $150,000,000. For purposes of determining Material Indebtedness, the “principal amount” of the obligations of Holdings, the Borrower or any Restricted Subsidiary in respect of any Swap Agreement at any time shall be the maximum aggregate amount (giving effect to any netting agreements) that Holdings, the Borrower or such Restricted Subsidiary would be required to pay if such Swap Agreement were terminated at such time.</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Intellectual Property</w:t>
      </w:r>
      <w:r>
        <w:rPr>
          <w:rFonts w:ascii="Times New Roman" w:cs="Times New Roman" w:eastAsia="Times New Roman" w:hAnsi="Times New Roman"/>
          <w:sz w:val="20"/>
          <w:szCs w:val="20"/>
          <w:color w:val="auto"/>
        </w:rPr>
        <w:t>” means any and all Intellectual Property that is material to the business of the Borrower and its Restricted Subsidiaries, taken as a whole.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April 30, 2031.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Measurement Period</w:t>
      </w:r>
      <w:r>
        <w:rPr>
          <w:rFonts w:ascii="Times New Roman" w:cs="Times New Roman" w:eastAsia="Times New Roman" w:hAnsi="Times New Roman"/>
          <w:sz w:val="20"/>
          <w:szCs w:val="20"/>
          <w:color w:val="auto"/>
        </w:rPr>
        <w:t>” means, at any date of determination, the most recently completed four consecutive fiscal quarters of the Borrower ended on such date.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or any successor thereto.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MSSF</w:t>
      </w:r>
      <w:r>
        <w:rPr>
          <w:rFonts w:ascii="Times New Roman" w:cs="Times New Roman" w:eastAsia="Times New Roman" w:hAnsi="Times New Roman"/>
          <w:sz w:val="20"/>
          <w:szCs w:val="20"/>
          <w:color w:val="auto"/>
        </w:rPr>
        <w:t>” means Morgan Stanley Senior Funding, Inc.</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any multiemployer plan as defined in Section 4001(a)(3) of ERISA, which is contributed to by (or to which there is or could be an obligation to contribute of) the Borrower or a Restricted Subsidiary or an ERISA Affiliate, and each such plan for the five- year period immediately following the latest date on which the Borrower, or a Restricted Subsidiary or an ERISA Affiliate contributed to or had an obligation to contribute to such plan.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09"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Non-Consenting Lender</w:t>
      </w:r>
      <w:r>
        <w:rPr>
          <w:rFonts w:ascii="Times New Roman" w:cs="Times New Roman" w:eastAsia="Times New Roman" w:hAnsi="Times New Roman"/>
          <w:sz w:val="19"/>
          <w:szCs w:val="19"/>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and (ii) has been approved by the Required Lenders.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Non-Public Information</w:t>
      </w:r>
      <w:r>
        <w:rPr>
          <w:rFonts w:ascii="Times New Roman" w:cs="Times New Roman" w:eastAsia="Times New Roman" w:hAnsi="Times New Roman"/>
          <w:sz w:val="20"/>
          <w:szCs w:val="20"/>
          <w:color w:val="auto"/>
        </w:rPr>
        <w:t>” means information that has not been disseminated in a manner making it available to investors generally, within the meaning of Regulation FD.</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Non-U.S. Plan</w:t>
      </w:r>
      <w:r>
        <w:rPr>
          <w:rFonts w:ascii="Times New Roman" w:cs="Times New Roman" w:eastAsia="Times New Roman" w:hAnsi="Times New Roman"/>
          <w:sz w:val="20"/>
          <w:szCs w:val="20"/>
          <w:color w:val="auto"/>
        </w:rPr>
        <w:t>” means any plan, fund (including, without limitation, any superannuation fund) or other similar program established, contributed to (regardless of whether through direct contributions or through employee withholding) or maintained outside the United States by the Borrower or one or more Restricted Subsidiaries primarily for the benefit of employees of the Borrower or such Restricted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2.07(e)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all amounts owing by any Loan Party to the Administrative Agent, any Issuing Bank or any Lender pursuant to the terms of this Agreement or any other Loan Document (including all interest which accrues after the commencement of any case or proceeding in bankruptcy after the insolvency of, or for the reorganization of the Borrower or any of its Subsidiaries, whether or not allowed in such case or proceeding) and any and all other amounts owed by any Loan Party under the Loan Documents, including in favor of and amounts owed to Indemnitees and any Erroneous Payment Subrogation Rights.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the Administrative Agent, any Lender or any Issuing Bank, Taxes imposed as a result of a present or former connection between such Administrative Agent, Lender or Issuing Bank and the jurisdiction imposing such Tax (other than connections arising solely from such Administrative Agent, Lender or Issuing Bank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xml:space="preserve">” 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Borrower’s request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0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14105 of August 9, 2023, or any similar law or regulation; as of the date of this Agreement, and as codified in 31 C.F.R. § 850.101 et seq.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any “employee pension benefit plan” within the meaning of Section 3(2) of ERISA, other than a Multiemployer Plan, that is subject to Title IV of ERISA, Section 412 of the Code or Section 302 of ERISA and is maintained in whole or in part by the Borrower, any Restricted Subsidiary or any ERISA Affiliate or with respect to which any of the Borrower, any Restricted Subsidiary or any ERISA Affiliate has actual or contingent liability.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has the meaning set forth in the definition of “Term SOFR”,</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Bond Hedge Transaction</w:t>
      </w:r>
      <w:r>
        <w:rPr>
          <w:rFonts w:ascii="Times New Roman" w:cs="Times New Roman" w:eastAsia="Times New Roman" w:hAnsi="Times New Roman"/>
          <w:sz w:val="20"/>
          <w:szCs w:val="20"/>
          <w:color w:val="auto"/>
        </w:rPr>
        <w:t>” means any bond hedge, call or capped call option (or substantively equivalent derivative transaction) relating to the Borrower’s or Holding’s, as applicable, common stock (or other securities or property following a merger event, reclassification or other change of the common stock of the Borrower or Holdings, as applicable) purchased by the Borrower, Holdings, or a Subsidiary thereof in connection with the issuance of any Convertible Notes and settled in common stock of the Borrower or Holdings, as applicable (or such other securities or property), cash or a combination thereof (such amount of cash and/or shares determined by reference to the price of the Borrower’s or Holding’s common stock or such other securities or property), and cash in lieu of fractional shares of common stock of the Borrower or Holdings; provided that the purchase price of any such Permitted Bond Hedge Transaction, less the proceeds received from the Borrower from the sale of any substantially concurrently executed Permitted Warrant Transaction, does not exceed the net proceeds received by the Borrower or a Subsidiary thereof in connection with the issuance of any Convertible Notes; provided further that the other terms, conditions and covenants of each such transaction shall be such as are customary for transactions of such type (as determined by the Borrower in good faith).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Encumbrances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660" w:firstLine="644"/>
        <w:spacing w:after="0" w:line="283" w:lineRule="auto"/>
        <w:tabs>
          <w:tab w:leader="none" w:pos="175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assessments or governmental charges or levies that are not yet delinquent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5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landlord’s, supplier’s, repairmen’s and other like Liens imposed by law, arising in the ordinary course of business and securing obligations that are not overdue by more than 60 days or are being contested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41" w:name="page42"/>
    <w:bookmarkEnd w:id="41"/>
    <w:p>
      <w:pPr>
        <w:jc w:val="both"/>
        <w:ind w:left="660" w:firstLine="644"/>
        <w:spacing w:after="0" w:line="265" w:lineRule="auto"/>
        <w:tabs>
          <w:tab w:leader="none" w:pos="1922"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deposits made (i) in the ordinary course of business in compliance with workers’ compensation, unemployment insurance and other social security laws or regulations or employment laws or to secure other public, statutory or regulatory obligations, and (ii) in respect of letters of credit, bank guarantees or similar instruments issued for the account of Holdings, the Borrower or any Subsidiary in the ordinary course of business supporting obligations of the type set forth in clause (c)</w:t>
      </w:r>
    </w:p>
    <w:p>
      <w:pPr>
        <w:spacing w:after="0" w:line="2" w:lineRule="exact"/>
        <w:rPr>
          <w:rFonts w:ascii="Times New Roman" w:cs="Times New Roman" w:eastAsia="Times New Roman" w:hAnsi="Times New Roman"/>
          <w:sz w:val="19"/>
          <w:szCs w:val="19"/>
          <w:color w:val="auto"/>
        </w:rPr>
      </w:pPr>
    </w:p>
    <w:p>
      <w:pPr>
        <w:ind w:left="900" w:hanging="244"/>
        <w:spacing w:after="0"/>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8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(i) to secure the performance of bids, trade and commercial contracts (including insurance contracts), leases, statutory obligations, surety and appeal bonds, performance bonds and other obligations of a like nature, or obligations in respect of payment processing or other similar programs in the ordinary course of business (including, without limitation, the Marqeta Obligations), in each case incurred in the ordinary course of business and (ii) in respect of letters of credit, bank guarantees or similar instruments issued for the account of Holdings, the Borrower or any Subsidiary in the ordinary course of business supporting obligations of the type set forth in clause (d)(i) above;</w:t>
      </w:r>
    </w:p>
    <w:p>
      <w:pPr>
        <w:spacing w:after="0" w:line="192" w:lineRule="exact"/>
        <w:rPr>
          <w:rFonts w:ascii="Times New Roman" w:cs="Times New Roman" w:eastAsia="Times New Roman" w:hAnsi="Times New Roman"/>
          <w:sz w:val="20"/>
          <w:szCs w:val="20"/>
          <w:color w:val="auto"/>
        </w:rPr>
      </w:pPr>
    </w:p>
    <w:p>
      <w:pPr>
        <w:ind w:left="660" w:firstLine="644"/>
        <w:spacing w:after="0" w:line="269" w:lineRule="auto"/>
        <w:tabs>
          <w:tab w:leader="none" w:pos="182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 xml:space="preserve"> and Liens securing appeal or surety bonds related to such judgments;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building ordinances, encroachments, title defects and other irregularities, governmental restrictions on the use of property or conduct of business and Liens in favor of Governmental Authorities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Restricted Subsidiary; and</w:t>
      </w:r>
    </w:p>
    <w:p>
      <w:pPr>
        <w:spacing w:after="0" w:line="191" w:lineRule="exact"/>
        <w:rPr>
          <w:rFonts w:ascii="Times New Roman" w:cs="Times New Roman" w:eastAsia="Times New Roman" w:hAnsi="Times New Roman"/>
          <w:sz w:val="20"/>
          <w:szCs w:val="20"/>
          <w:color w:val="auto"/>
        </w:rPr>
      </w:pPr>
    </w:p>
    <w:p>
      <w:pPr>
        <w:ind w:left="660" w:firstLine="644"/>
        <w:spacing w:after="0" w:line="269" w:lineRule="auto"/>
        <w:tabs>
          <w:tab w:leader="none" w:pos="174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Uniform Commercial Code financing statements filed (or similar filings under applicable law) solely as a precautionary measure in connection with operating leases.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Equity Derivative Payment</w:t>
      </w:r>
      <w:r>
        <w:rPr>
          <w:rFonts w:ascii="Times New Roman" w:cs="Times New Roman" w:eastAsia="Times New Roman" w:hAnsi="Times New Roman"/>
          <w:sz w:val="20"/>
          <w:szCs w:val="20"/>
          <w:color w:val="auto"/>
        </w:rPr>
        <w:t>” means, with respect to the Borrower, Holdings, or a Subsidiary, as applicable, (a) payment of the premium in respect of any Permitted Bond Hedge Transaction or (b) any payments and/or deliveries required by the terms of any Permitted Warrant Transaction (including, without limitation, by payments and/or deliveries due upon exercise, settlement, unwind or termination of all or portion thereof and/or by set-off against the concurrent settlement, unwind or other termination of all or any portion of any related Permitted Bond Hedge Transaction).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Foreign Currency</w:t>
      </w:r>
      <w:r>
        <w:rPr>
          <w:rFonts w:ascii="Times New Roman" w:cs="Times New Roman" w:eastAsia="Times New Roman" w:hAnsi="Times New Roman"/>
          <w:sz w:val="20"/>
          <w:szCs w:val="20"/>
          <w:color w:val="auto"/>
        </w:rPr>
        <w:t>” means, with respect to any Loans or Letter of Credit, British Pounds, Canadian Dollars, Euros and any other foreign currency reasonably requested by the Borrower from time to time and in which each Lender (in the case of Loans to be denominated in such other currency) and each applicable Issuing Bank (in the case of any Letters of Credit to be denominated in such other currency) has reasonably agreed, in accordance with its policies and procedures in effect at such time, to lend Loans or issue Letters of Credit as applicable.</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Holdco Transaction</w:t>
      </w:r>
      <w:r>
        <w:rPr>
          <w:rFonts w:ascii="Times New Roman" w:cs="Times New Roman" w:eastAsia="Times New Roman" w:hAnsi="Times New Roman"/>
          <w:sz w:val="20"/>
          <w:szCs w:val="20"/>
          <w:color w:val="auto"/>
        </w:rPr>
        <w:t>” means a transaction or series of related transactions that cause 100% of the Equity Interests in Borrower to be held by a newly formed entity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provided that (a) Holdings shall be organized under the laws of any political subdivision of the United States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83" w:lineRule="auto"/>
        <w:rPr>
          <w:sz w:val="20"/>
          <w:szCs w:val="20"/>
          <w:color w:val="auto"/>
        </w:rPr>
      </w:pPr>
      <w:r>
        <w:rPr>
          <w:rFonts w:ascii="Times New Roman" w:cs="Times New Roman" w:eastAsia="Times New Roman" w:hAnsi="Times New Roman"/>
          <w:sz w:val="20"/>
          <w:szCs w:val="20"/>
          <w:color w:val="auto"/>
        </w:rPr>
        <w:t>have complied with Section 5.11, and (b) but for such Permitted Holdco Transaction, no Change in Control shall have occurred under the definition thereof (based on Holdings being the public company).</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Incremental Equivalent Debt</w:t>
      </w:r>
      <w:r>
        <w:rPr>
          <w:rFonts w:ascii="Times New Roman" w:cs="Times New Roman" w:eastAsia="Times New Roman" w:hAnsi="Times New Roman"/>
          <w:sz w:val="20"/>
          <w:szCs w:val="20"/>
          <w:color w:val="auto"/>
        </w:rPr>
        <w:t>” shall mean Indebtedness issued, incurred or otherwise obtained by any Loan Party in respect of one or more series of notes (in each case issued in a public offering, Rule 144A or other private placement in lieu of the foregoing (and any registered equivalent notes issued in exchange therefor)), bridge financings or loans that are issued or made in lieu of the Incremental Available Amount available hereunder, provided that (i) the aggregate principal amount of all Permitted Incremental Equivalent Debt at the time of issuance or incurrence shall not exceed the Incremental Available Amount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any amounts incurred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at such time, (ii) such Permitted Incremental Equivalent Debt shall not be subject to any Guarantee by any Person other than a Loan Party, (iii) other than any Qualifying Bridge Loans, the final maturity date of such Permitted Incremental Equivalent Debt shall be no earlier than the date that is ninety-one (91) days after the Maturity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xml:space="preserve">” means any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Warrant Transaction</w:t>
      </w:r>
      <w:r>
        <w:rPr>
          <w:rFonts w:ascii="Times New Roman" w:cs="Times New Roman" w:eastAsia="Times New Roman" w:hAnsi="Times New Roman"/>
          <w:sz w:val="19"/>
          <w:szCs w:val="19"/>
          <w:color w:val="auto"/>
        </w:rPr>
        <w:t>” means any call option, warrant or right to purchase (or substantively equivalent derivative transaction) relating to the Borrower’s or Holding’s common stock (or other securities or property following a merger event, reclassification or other change of the common stock of the Borrower) sold by the Borrower or Holdings substantially concurrently with any purchase by the Borrower, Holdings, or a Subsidiary thereof of a Permitted Bond Hedge Transaction, as may be amended in accordance with its terms, and settled in common stock of the Borrower or Holdings (or such other securities or property), cash or a combination thereof (such amount of cash and/or shares determined by reference to the price of the Borrower’s or Holding’s common stock or such other securities or property), and cash in lieu of fractional shares of common stock of the Borrower or Holdings; provided that the terms, conditions and covenants of each such transaction shall be such as are customary for transactions of such type (as determined by the Borrower in good faith).</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“employee benefit plan” as defined in Section 3 of ERISA (other than a Multiemployer Plan) subject to the provisions of Title IV of ERISA or Section 412 of the Code or Section 302 of ERISA maintained or contributed to by the Borrower, a Restricted Subsidiary or any ERISA Affiliate or to which the Borrower, a Restricted Subsidiary or an ERISA Affiliate has or could have an obligation to contribute, and each such plan subject to the provisions of Title IV of ERISA or Section 412 of the Code or Section 302 of ERISA for the five-year period immediately following the latest date on which the Borrower, a Restricted Subsidiary or an ERISA Affiliate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means the rate of interest published by the Wall Street Journal, from time to time, as the prime rate. The Prime Rate is a reference rate and does not necessarily represent the lowest or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83" w:lineRule="auto"/>
        <w:rPr>
          <w:sz w:val="20"/>
          <w:szCs w:val="20"/>
          <w:color w:val="auto"/>
        </w:rPr>
      </w:pPr>
      <w:r>
        <w:rPr>
          <w:rFonts w:ascii="Times New Roman" w:cs="Times New Roman" w:eastAsia="Times New Roman" w:hAnsi="Times New Roman"/>
          <w:sz w:val="20"/>
          <w:szCs w:val="20"/>
          <w:color w:val="auto"/>
        </w:rPr>
        <w:t>rate actually charged to any customer. The Administrative Agent or any other Lender may make commercial loans or other loans at rates of interest at, above or below the Prime Rate.</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Office</w:t>
      </w:r>
      <w:r>
        <w:rPr>
          <w:rFonts w:ascii="Times New Roman" w:cs="Times New Roman" w:eastAsia="Times New Roman" w:hAnsi="Times New Roman"/>
          <w:sz w:val="20"/>
          <w:szCs w:val="20"/>
          <w:color w:val="auto"/>
        </w:rPr>
        <w:t xml:space="preserve">” for each of the Administrative Agent and any Issuing Bank, means the office of the Administrative Agent and such Issuing Bank as set forth in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or such other office or office of a third party or sub-agent, as appropriate, as such Person may from time to time designate to Borrower and each Lender upon two Business Days’ written notice.</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Lenders</w:t>
      </w:r>
      <w:r>
        <w:rPr>
          <w:rFonts w:ascii="Times New Roman" w:cs="Times New Roman" w:eastAsia="Times New Roman" w:hAnsi="Times New Roman"/>
          <w:sz w:val="20"/>
          <w:szCs w:val="20"/>
          <w:color w:val="auto"/>
        </w:rPr>
        <w:t>” means Lenders that do not wish to receive material non-public information with respect to the Borrower, the Subsidiaries or its or their securities.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Money Indebtedness</w:t>
      </w:r>
      <w:r>
        <w:rPr>
          <w:rFonts w:ascii="Times New Roman" w:cs="Times New Roman" w:eastAsia="Times New Roman" w:hAnsi="Times New Roman"/>
          <w:sz w:val="20"/>
          <w:szCs w:val="20"/>
          <w:color w:val="auto"/>
        </w:rPr>
        <w:t>” means Indebtedness incurred to finance the acquisition, construction or improvement of any fixed or capital asset to the extent incurred prior to or within 270 days following such acquisition, construction or improvement.</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Bridge Loans</w:t>
      </w:r>
      <w:r>
        <w:rPr>
          <w:rFonts w:ascii="Times New Roman" w:cs="Times New Roman" w:eastAsia="Times New Roman" w:hAnsi="Times New Roman"/>
          <w:sz w:val="20"/>
          <w:szCs w:val="20"/>
          <w:color w:val="auto"/>
        </w:rPr>
        <w:t>” means customary bridge loans with a maturity date of no later than one year from incurrence that are convertible or exchangeable into other debt instruments (but, for the avoidance of doubt, not any loans, securities or other debt which are exchanged for or otherwise replace such bridge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Equity Interests</w:t>
      </w:r>
      <w:r>
        <w:rPr>
          <w:rFonts w:ascii="Times New Roman" w:cs="Times New Roman" w:eastAsia="Times New Roman" w:hAnsi="Times New Roman"/>
          <w:sz w:val="20"/>
          <w:szCs w:val="20"/>
          <w:color w:val="auto"/>
        </w:rPr>
        <w:t>” means Equity Interests other than Disqualified Equity Interests.</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Indebtedness</w:t>
      </w:r>
      <w:r>
        <w:rPr>
          <w:rFonts w:ascii="Times New Roman" w:cs="Times New Roman" w:eastAsia="Times New Roman" w:hAnsi="Times New Roman"/>
          <w:sz w:val="20"/>
          <w:szCs w:val="20"/>
          <w:color w:val="auto"/>
        </w:rPr>
        <w:t>” means refinancings, extensions, renewals, or replacements of Indebtedness so long as such refinancings, renewals, or extensions do not result in an increase in the principal amount of the Indebtedness so refinanced, renewed, or extended, other than by the amount equal to premium or other amount paid, and fees and expenses incurred, in connection with such refinancing, extensions, renewals or replacements and by the amount of unfunded commitments with respect thereto.</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and advisors of such Person and such Person’s Affiliates.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Removal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means, at any time, Lenders having more than 50% of the aggregate amount of the Revolving Commitments or, if the Revolving Commitments shall have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83" w:lineRule="auto"/>
        <w:rPr>
          <w:sz w:val="20"/>
          <w:szCs w:val="20"/>
          <w:color w:val="auto"/>
        </w:rPr>
      </w:pPr>
      <w:r>
        <w:rPr>
          <w:rFonts w:ascii="Times New Roman" w:cs="Times New Roman" w:eastAsia="Times New Roman" w:hAnsi="Times New Roman"/>
          <w:sz w:val="20"/>
          <w:szCs w:val="20"/>
          <w:color w:val="auto"/>
        </w:rPr>
        <w:t>holding more than 50% of the aggregate outstanding principal amount of the Revolving Loans at such time. The Revolving Commitment and Loans of any Defaulting Lender and any Disqualified Institution shall be disregarded in determining Required Lenders at any time.</w:t>
      </w:r>
    </w:p>
    <w:p>
      <w:pPr>
        <w:spacing w:after="0" w:line="14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any of the President, Chief Executive Officer, Senior Vice President and the most senior financial officer from time to time of the applicable Loan Party, or any person designated by any such Loan Party in writing to the Administrative Agent from time to time, acting singly.</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such Equity Interests in the Borrower. For the avoidance of doubt, the receipt or acceptance by the Borrower or any Restricted Subsidiary of the return of Equity Interests issued by the Borrower or any Restricted Subsidiary to the seller of a Person, business or division as consideration for the purchase of such Person, business or division, which return is in settlement of indemnification claims owed by such seller in connection with such acquisition, shall not be deemed to be a Restricted Payment. For the avoidance of doubt, (a) the conversion of, or payment for (including, without limitation, payments of principal and payments upon redemption or repurchase), or paying any interest with respect to, any Convertible Notes, and (b) any intercompany investments, intercompany Indebtedness, intercompany accounts payable and receivable, transfer pricing arrangements and any other intercompany payments shall not constitute a Restricted Payment.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Subsidiary</w:t>
      </w:r>
      <w:r>
        <w:rPr>
          <w:rFonts w:ascii="Times New Roman" w:cs="Times New Roman" w:eastAsia="Times New Roman" w:hAnsi="Times New Roman"/>
          <w:sz w:val="20"/>
          <w:szCs w:val="20"/>
          <w:color w:val="auto"/>
        </w:rPr>
        <w:t>” means any Subsidiary that is not an Unrestricted Subsidiary.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xml:space="preserve">” means, with respect to each Lender, the commitment of such Lender to make Revolving Loans hereunder, expressed as an amount representing the maximum aggregate amount of such Lender’s Loans hereunder, as such commitment may be (a) reduced from time to time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(b) increased from time to time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(c)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Revolving Commitment as of the Effective Date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The initial aggregate amount of the Lenders’ Revolving Commitments as of the Effective Date is $500,000,000.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w:t>
      </w:r>
      <w:r>
        <w:rPr>
          <w:rFonts w:ascii="Times New Roman" w:cs="Times New Roman" w:eastAsia="Times New Roman" w:hAnsi="Times New Roman"/>
          <w:sz w:val="20"/>
          <w:szCs w:val="20"/>
          <w:color w:val="auto"/>
        </w:rPr>
        <w:t>” means SONIA.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 Business Day</w:t>
      </w:r>
      <w:r>
        <w:rPr>
          <w:rFonts w:ascii="Times New Roman" w:cs="Times New Roman" w:eastAsia="Times New Roman" w:hAnsi="Times New Roman"/>
          <w:sz w:val="20"/>
          <w:szCs w:val="20"/>
          <w:color w:val="auto"/>
        </w:rPr>
        <w:t>” means any day except for (i) a Saturday, (ii) a Sunday or (iii) a day on which banks are closed for general business in London.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means the revolving loans made by the Lenders to the Borrower pursuant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means S&amp;P Global Ratings, a division of S&amp;P Global, Inc.</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at any time, (a) a country, region or territory which is the subject or target of comprehensive Sanctions (including, as of the date hereof, Cuba, Iran, North Korea, the Crimea Region of the Ukraine, the so-called Donetsk People’s Republic, the so-called Luhansk People’s Republic, and the non-government controlled areas of Kherson and Zaporizhzhia regions of Ukraine), (b) an agency of the government of a country, region or territory described in clause (a), or (c) an organization directly or indirectly controlled by a country, region or territory described in clause (a) or its government.</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Office of Foreign Assets Control of the U.S. Department of the Treasury, by the U.S. Department of State or by the United Nations Security Council, the European Union, any European Union member state, the United Kingdom or other relevant sanctions authority, (b) any Person located, organized or resident in a country, region or territory which is the subject or target of comprehensive Sanctions, (c) any Person owned 50% or more or controlled by any such Person or Persons described in the foregoing clauses (a) and (b), or (d) any Person that is otherwise the target of Sanctions.</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the United Kingdom or other relevant sanctions authority.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http://www.newyorkfed.org</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or any successor source for the secured overnight financing rate identified as such by the SOFR Administrator from time to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with respect to the Borrower and its Restricted Subsidiaries on a particular date, that on such date (a) the fair value of the present assets of the Borrower and its Restricted Subsidiaries, taken as a whole, is greater than the total amount of liabilities, including, without limitation, contingent liabilities, of the Borrower and its Restricted Subsidiaries, taken as a whole, (b) the present fair saleable value of the assets of the Borrower and its Restricted Subsidiaries, taken as a whole, is not less than the amount that will be required to pay the probable liability of the Borrower and its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09"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20"/>
          <w:szCs w:val="20"/>
          <w:color w:val="auto"/>
        </w:rPr>
        <w:t>Subsidiaries, taken as a whole, on their debts as they become absolute and matured, (c) the Borrower and its Restricted Subsidiaries, taken as a whole, do not intend to, and do not believe that they will, incur debts or liabilities (including current obligations and contingent liabilities) beyond their ability to pay such debts and liabilities as they mature in the ordinary course of business and (d) the Borrower and its Restricted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SONIA</w:t>
      </w:r>
      <w:r>
        <w:rPr>
          <w:rFonts w:ascii="Times New Roman" w:cs="Times New Roman" w:eastAsia="Times New Roman" w:hAnsi="Times New Roman"/>
          <w:sz w:val="20"/>
          <w:szCs w:val="20"/>
          <w:color w:val="auto"/>
        </w:rPr>
        <w:t xml:space="preserve">” means, with respect to any Business Day, a rate per annum equal to the British Pounds Overnight Index Average for such Business Day published by the SONIA Administrator on the SONIA Administrator’s Website </w:t>
      </w:r>
      <w:r>
        <w:rPr>
          <w:rFonts w:ascii="Times New Roman" w:cs="Times New Roman" w:eastAsia="Times New Roman" w:hAnsi="Times New Roman"/>
          <w:sz w:val="21"/>
          <w:szCs w:val="21"/>
          <w:color w:val="auto"/>
        </w:rPr>
        <w:t>on the immediately succeeding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Day</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SONIA Administrator</w:t>
      </w:r>
      <w:r>
        <w:rPr>
          <w:rFonts w:ascii="Times New Roman" w:cs="Times New Roman" w:eastAsia="Times New Roman" w:hAnsi="Times New Roman"/>
          <w:sz w:val="20"/>
          <w:szCs w:val="20"/>
          <w:color w:val="auto"/>
        </w:rPr>
        <w:t>” means the Bank of England (or any successor administrator of the British Pounds Overnight Index Average).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British Pounds Overnight Index Average identified as such by the SONIA Administrator from time to time.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xml:space="preserve">” means an Event of Default of the type described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 or (b) or, with respect to the Borrower or Holdings, a Bankruptcy Event.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subsidiary of the Borrower.</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the Subsidiaries shall be a Swap Agreement. Notwithstanding the foregoing, no Permitted Bond Hedge Transaction or Permitted Warrant Transaction shall be considered a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Obligation</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Termination Value</w:t>
      </w:r>
      <w:r>
        <w:rPr>
          <w:rFonts w:ascii="Times New Roman" w:cs="Times New Roman" w:eastAsia="Times New Roman" w:hAnsi="Times New Roman"/>
          <w:sz w:val="20"/>
          <w:szCs w:val="20"/>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 to market value(s) for such Swap Agreements, as determined based upon one or more mid-market or other readily available quotations provided by any recognized dealer in such Swap Agreements (which may include a Lender or any Affiliate of a Lender).</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any and all present or future taxes, levies, imposts, duties, deductions, charges or withholdings imposed by any Governmental Authority, including any interest, additions to tax or penalties applicable thereto.</w:t>
      </w:r>
    </w:p>
    <w:p>
      <w:pPr>
        <w:spacing w:after="0" w:line="16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CORRA</w:t>
      </w:r>
      <w:r>
        <w:rPr>
          <w:rFonts w:ascii="Times New Roman" w:cs="Times New Roman" w:eastAsia="Times New Roman" w:hAnsi="Times New Roman"/>
          <w:sz w:val="19"/>
          <w:szCs w:val="19"/>
          <w:color w:val="auto"/>
        </w:rPr>
        <w:t>” means, for any Interest Rate Determination Rate with respect to an Interest Period for a Term CORRA Borrowing, the Term CORRA Reference Rate for a tenor comparable to the applicable Interest Period on the day (such day, the “</w:t>
      </w:r>
      <w:r>
        <w:rPr>
          <w:rFonts w:ascii="Times New Roman" w:cs="Times New Roman" w:eastAsia="Times New Roman" w:hAnsi="Times New Roman"/>
          <w:sz w:val="19"/>
          <w:szCs w:val="19"/>
          <w:b w:val="1"/>
          <w:bCs w:val="1"/>
          <w:color w:val="auto"/>
        </w:rPr>
        <w:t>Periodic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CORRA Determination Day</w:t>
      </w:r>
      <w:r>
        <w:rPr>
          <w:rFonts w:ascii="Times New Roman" w:cs="Times New Roman" w:eastAsia="Times New Roman" w:hAnsi="Times New Roman"/>
          <w:sz w:val="19"/>
          <w:szCs w:val="19"/>
          <w:color w:val="auto"/>
        </w:rPr>
        <w:t>”) that is two (2) Business Days prior to the first day of such Interest Period, as such rate is published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Term CORRA Administrator;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preceding Business Day for which such Term CORRA Reference Rate for such tenor was published by the Term CORRA Administrator as long as such first preceding Business Day is not more than five (5) Business Days prior to such Periodic Term CORRA Determination Day;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in no event shall Term CORRA be less than 0.00%.</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 administrator).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CORRA Borrowing</w:t>
      </w:r>
      <w:r>
        <w:rPr>
          <w:rFonts w:ascii="Times New Roman" w:cs="Times New Roman" w:eastAsia="Times New Roman" w:hAnsi="Times New Roman"/>
          <w:sz w:val="20"/>
          <w:szCs w:val="20"/>
          <w:color w:val="auto"/>
        </w:rPr>
        <w:t>” refers to a Borrowing bearing interest at a rate determined by reference to Term CORRA.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CORRA Loan</w:t>
      </w:r>
      <w:r>
        <w:rPr>
          <w:rFonts w:ascii="Times New Roman" w:cs="Times New Roman" w:eastAsia="Times New Roman" w:hAnsi="Times New Roman"/>
          <w:sz w:val="20"/>
          <w:szCs w:val="20"/>
          <w:color w:val="auto"/>
        </w:rPr>
        <w:t>” refers to a Loan bearing interest at a rate determined by reference to Term CORRA.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firstLine="656"/>
        <w:spacing w:after="0" w:line="281" w:lineRule="auto"/>
        <w:tabs>
          <w:tab w:leader="none" w:pos="1072"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9"/>
          <w:szCs w:val="19"/>
          <w:b w:val="1"/>
          <w:bCs w:val="1"/>
          <w:color w:val="auto"/>
        </w:rPr>
        <w:t>Periodic Term SOFR Determination Day</w:t>
      </w:r>
      <w:r>
        <w:rPr>
          <w:rFonts w:ascii="Times New Roman" w:cs="Times New Roman" w:eastAsia="Times New Roman" w:hAnsi="Times New Roman"/>
          <w:sz w:val="19"/>
          <w:szCs w:val="19"/>
          <w:color w:val="auto"/>
        </w:rPr>
        <w:t xml:space="preserve">”) that is two (2) Business Days prior to the first day of such Interest Period, as such rate is published by the Term SOFR Administrator;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as of 5:00 p.m.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9" w:right="339" w:bottom="1440" w:gutter="0" w:footer="0" w:header="0"/>
        </w:sectPr>
      </w:pPr>
    </w:p>
    <w:bookmarkStart w:id="48" w:name="page49"/>
    <w:bookmarkEnd w:id="4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w:t>
      </w:r>
    </w:p>
    <w:p>
      <w:pPr>
        <w:spacing w:after="0" w:line="192" w:lineRule="exact"/>
        <w:rPr>
          <w:sz w:val="20"/>
          <w:szCs w:val="20"/>
          <w:color w:val="auto"/>
        </w:rPr>
      </w:pPr>
    </w:p>
    <w:p>
      <w:pPr>
        <w:jc w:val="both"/>
        <w:ind w:firstLine="656"/>
        <w:spacing w:after="0" w:line="251" w:lineRule="auto"/>
        <w:tabs>
          <w:tab w:leader="none" w:pos="111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0"/>
          <w:szCs w:val="20"/>
          <w:b w:val="1"/>
          <w:bCs w:val="1"/>
          <w:color w:val="auto"/>
        </w:rPr>
        <w:t>ABR Term SOFR Determination Day</w:t>
      </w:r>
      <w:r>
        <w:rPr>
          <w:rFonts w:ascii="Times New Roman" w:cs="Times New Roman" w:eastAsia="Times New Roman" w:hAnsi="Times New Roman"/>
          <w:sz w:val="20"/>
          <w:szCs w:val="20"/>
          <w:color w:val="auto"/>
        </w:rPr>
        <w:t xml:space="preserve">”) that is two (2) Business Days prior to such day,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ABR Term SOFR Determination Day.</w:t>
      </w:r>
    </w:p>
    <w:p>
      <w:pPr>
        <w:spacing w:after="0" w:line="19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Borrowing</w:t>
      </w:r>
      <w:r>
        <w:rPr>
          <w:rFonts w:ascii="Times New Roman" w:cs="Times New Roman" w:eastAsia="Times New Roman" w:hAnsi="Times New Roman"/>
          <w:sz w:val="20"/>
          <w:szCs w:val="20"/>
          <w:color w:val="auto"/>
        </w:rPr>
        <w:t>” means, as to any Borrowing, the Loans bearing interest at a rate based on Adjusted Term SOFR comprising such Borrowing other than pursuant to clause (iii) of the definition of “Alternate Base Rate”.</w:t>
      </w:r>
    </w:p>
    <w:p>
      <w:pPr>
        <w:spacing w:after="0" w:line="13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Loan</w:t>
      </w:r>
      <w:r>
        <w:rPr>
          <w:rFonts w:ascii="Times New Roman" w:cs="Times New Roman" w:eastAsia="Times New Roman" w:hAnsi="Times New Roman"/>
          <w:sz w:val="20"/>
          <w:szCs w:val="20"/>
          <w:color w:val="auto"/>
        </w:rPr>
        <w:t>” means a Loan that bears interest at a rate based on Adjusted Term SOFR other than pursuant to clause (iii) of the definition of “Alternate Base Rate”.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2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Assets</w:t>
      </w:r>
      <w:r>
        <w:rPr>
          <w:rFonts w:ascii="Times New Roman" w:cs="Times New Roman" w:eastAsia="Times New Roman" w:hAnsi="Times New Roman"/>
          <w:sz w:val="20"/>
          <w:szCs w:val="20"/>
          <w:color w:val="auto"/>
        </w:rPr>
        <w:t xml:space="preserve">” means the total assets of the Borrower and its Subsidiaries on a consolidated basis, as shown on the most recent balance sheet of the Borrower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Exposure</w:t>
      </w:r>
      <w:r>
        <w:rPr>
          <w:rFonts w:ascii="Times New Roman" w:cs="Times New Roman" w:eastAsia="Times New Roman" w:hAnsi="Times New Roman"/>
          <w:sz w:val="20"/>
          <w:szCs w:val="20"/>
          <w:color w:val="auto"/>
        </w:rPr>
        <w:t xml:space="preserve">” means, for any Lender at any time, the sum of (i) the aggregate principal amount of all outstanding Loans of such Lender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such Lender’s Applicable Percentage of the Letter of Credit Usage.</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Gross Leverage Ratio</w:t>
      </w:r>
      <w:r>
        <w:rPr>
          <w:rFonts w:ascii="Times New Roman" w:cs="Times New Roman" w:eastAsia="Times New Roman" w:hAnsi="Times New Roman"/>
          <w:sz w:val="20"/>
          <w:szCs w:val="20"/>
          <w:color w:val="auto"/>
        </w:rPr>
        <w:t>” means, with respect to any date of determination, the ratio of (a) Consolidated Total Debt as of such date to (b) Consolidated Adjusted EBITDA as of the most recently ended Measurement Period.</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w:t>
      </w:r>
      <w:r>
        <w:rPr>
          <w:rFonts w:ascii="Times New Roman" w:cs="Times New Roman" w:eastAsia="Times New Roman" w:hAnsi="Times New Roman"/>
          <w:sz w:val="20"/>
          <w:szCs w:val="20"/>
          <w:color w:val="auto"/>
        </w:rPr>
        <w:t xml:space="preserve">” means, with respect to any date of determination, the ratio of (a) (i) Consolidated Total Debt as of such date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Unrestricted Cash and Cash Equivalents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83" w:lineRule="auto"/>
        <w:rPr>
          <w:sz w:val="20"/>
          <w:szCs w:val="20"/>
          <w:color w:val="auto"/>
        </w:rPr>
      </w:pPr>
      <w:r>
        <w:rPr>
          <w:rFonts w:ascii="Times New Roman" w:cs="Times New Roman" w:eastAsia="Times New Roman" w:hAnsi="Times New Roman"/>
          <w:sz w:val="20"/>
          <w:szCs w:val="20"/>
          <w:color w:val="auto"/>
        </w:rPr>
        <w:t>and its Restricted Subsidiaries as of such date in an amount not to exceed $500,000,000, to (b) Consolidated Adjusted EBITDA as of the most recently ended Measurement Period.</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means the execution, delivery and performance by the Loan Parties of each Loan Document to which it is a party, the borrowing of Loans and the issuance of Letters of Credit.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means, when used in reference to any Revolving Loan or Borrowing, whether the rate of interest on such Revolving Loan, or on the Revolving Loans comprising such Borrowing, is determined by reference to Adjusted Term SOFR, the Adjusted EURIBO Rate, Term CORRA, the Alternate Base Rate or the Adjusted Daily Simple RFR.</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Benchmark Replacement excluding the Benchmark Replacement Adjustment.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Unfunded Pension Liability</w:t>
      </w:r>
      <w:r>
        <w:rPr>
          <w:rFonts w:ascii="Times New Roman" w:cs="Times New Roman" w:eastAsia="Times New Roman" w:hAnsi="Times New Roman"/>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Unreimbursed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Subsidiaries</w:t>
      </w:r>
      <w:r>
        <w:rPr>
          <w:rFonts w:ascii="Times New Roman" w:cs="Times New Roman" w:eastAsia="Times New Roman" w:hAnsi="Times New Roman"/>
          <w:sz w:val="20"/>
          <w:szCs w:val="20"/>
          <w:color w:val="auto"/>
        </w:rPr>
        <w:t xml:space="preserve">” means any Subsidiary of the Borrower designated from time to time as an Unrestricted Subsidiary in accordance with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As of the Effective Date, there are no Unrestricted Subsidiaries.</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Cash</w:t>
      </w:r>
      <w:r>
        <w:rPr>
          <w:rFonts w:ascii="Times New Roman" w:cs="Times New Roman" w:eastAsia="Times New Roman" w:hAnsi="Times New Roman"/>
          <w:sz w:val="20"/>
          <w:szCs w:val="20"/>
          <w:color w:val="auto"/>
        </w:rPr>
        <w:t>” means, as of any date of determination, cash and Cash Equivalents that (a) do not appear (and are not required to appear) as “restricted” on the consolidated balance sheet of the Borrower or any of its Restricted Subsidiaries and (b) is otherwise generally available for use by the Borrower or any other Restricted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means the United States of America.</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any Person (i) that is a “United States Person” as defined in Section 7701(a)(30) of the Code and (ii) any foreign branch of any such entity or any person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“Unadjusted Benchmark Replacement” </w:t>
      </w:r>
      <w:r>
        <w:rPr>
          <w:rFonts w:ascii="Times New Roman" w:cs="Times New Roman" w:eastAsia="Times New Roman" w:hAnsi="Times New Roman"/>
          <w:sz w:val="20"/>
          <w:szCs w:val="20"/>
          <w:color w:val="auto"/>
        </w:rPr>
        <w:t>means the applicable Benchmark Replacement excluding the Benchmark Replacement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Adjustment with respect thereto.</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Title IV of ERISA.</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Type (e.g., a “</w:t>
      </w:r>
      <w:r>
        <w:rPr>
          <w:rFonts w:ascii="Times New Roman" w:cs="Times New Roman" w:eastAsia="Times New Roman" w:hAnsi="Times New Roman"/>
          <w:sz w:val="20"/>
          <w:szCs w:val="20"/>
          <w:b w:val="1"/>
          <w:bCs w:val="1"/>
          <w:color w:val="auto"/>
        </w:rPr>
        <w:t>Term SOFR 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RFR Loan</w:t>
      </w:r>
      <w:r>
        <w:rPr>
          <w:rFonts w:ascii="Times New Roman" w:cs="Times New Roman" w:eastAsia="Times New Roman" w:hAnsi="Times New Roman"/>
          <w:sz w:val="20"/>
          <w:szCs w:val="20"/>
          <w:color w:val="auto"/>
        </w:rPr>
        <w:t>”). Borrowings also may be classified and referred to by Type (e.g., a “</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RFR Borrowing</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When the payment of any obligation or the performance of any covenant, duty or obligation is stated to be due or performance required on (or before) a day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09" w:right="339" w:bottom="1440" w:gutter="0" w:footer="0" w:header="0"/>
        </w:sectPr>
      </w:pPr>
    </w:p>
    <w:bookmarkStart w:id="51" w:name="page52"/>
    <w:bookmarkEnd w:id="51"/>
    <w:p>
      <w:pPr>
        <w:jc w:val="both"/>
        <w:spacing w:after="0" w:line="283" w:lineRule="auto"/>
        <w:rPr>
          <w:sz w:val="20"/>
          <w:szCs w:val="20"/>
          <w:color w:val="auto"/>
        </w:rPr>
      </w:pPr>
      <w:r>
        <w:rPr>
          <w:rFonts w:ascii="Times New Roman" w:cs="Times New Roman" w:eastAsia="Times New Roman" w:hAnsi="Times New Roman"/>
          <w:sz w:val="20"/>
          <w:szCs w:val="20"/>
          <w:color w:val="auto"/>
        </w:rPr>
        <w:t>not a Business Day, the date of such payment or performance shall extend to the immediately succeeding Business Day, and such extension of time shall be reflected in computing interest or fees, as the case may be.</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w:t>
      </w:r>
      <w:r>
        <w:rPr>
          <w:rFonts w:ascii="Times New Roman" w:cs="Times New Roman" w:eastAsia="Times New Roman" w:hAnsi="Times New Roman"/>
          <w:sz w:val="20"/>
          <w:szCs w:val="20"/>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shall have been amended to account for any such change following good faith negotiations between the Borrower and the Administrative Agent. Notwithstanding the foregoing, all financial covenants contained herein shall be calculated (1) without giving effect to any election under the Statement of Financial Accounting Standards No. 159 (ASC 825) (or any similar accounting principle) permitting or requiring a Person to value its financial liabilities or Indebtedness at the fair value thereof,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(3) all leases of the Borrower and its Subsidiaries that were treated as “operating leases” prior to the adoption of ASC 842 shall continue to be accounted for as such for all purposes under the Loan Documents.</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Permitted Holdco Transaction</w:t>
      </w:r>
      <w:r>
        <w:rPr>
          <w:rFonts w:ascii="Times New Roman" w:cs="Times New Roman" w:eastAsia="Times New Roman" w:hAnsi="Times New Roman"/>
          <w:sz w:val="19"/>
          <w:szCs w:val="19"/>
          <w:color w:val="auto"/>
        </w:rPr>
        <w:t>. Upon the consummation of any Permitted Holdco Transaction, (a) the references in the definitions of “Consolidated Adjusted EBITDA”, “Consolidated Net Income”, “Consolidated Total Debt”, “Total Assets”, “Total Gross Leverage Ratio” and “Total Net Leverage Ratio” (and in each case, the component definitions thereof) (i) to the Borrower shall be deemed to refer to Holdings, (ii) to the Borrower and its Subsidiaries shall be deemed to refer to Holdings and its Subsidiaries, and (iii) to the Borrower and its Restricted Subsidiaries shall be deemed to refer to Holdings, the Borrower and its Restricted Subsidiaries, (b) the references to financial statements of the Borrower (including, without limitation, in the definitions referred to in clause (a) of this Section and in Section 5.01) shall be deemed to refer to the financial statements of Holdings, and (c) references to “Borrower” in Sections Section 6.01, Section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6.02, and Section 6.03 shall be deemed to refer to “Holdings”.</w:t>
      </w:r>
    </w:p>
    <w:p>
      <w:pPr>
        <w:spacing w:after="0" w:line="20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28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1:00 p.m., New York City time, on each Calculation Date, the Administrative Agent shall (i) determine the Exchange Rate as of such Calculation Date with respect to the applicable Permitted Foreign Currency and (ii) give notice thereof to the applicable Issuing Bank and the Borrower. The Exchange Rates so determined shall become effective in the case of each subsequent Calculation Date, on the first Business Day immediately following such Calculation Date (a “</w:t>
      </w:r>
      <w:r>
        <w:rPr>
          <w:rFonts w:ascii="Times New Roman" w:cs="Times New Roman" w:eastAsia="Times New Roman" w:hAnsi="Times New Roman"/>
          <w:sz w:val="20"/>
          <w:szCs w:val="20"/>
          <w:b w:val="1"/>
          <w:bCs w:val="1"/>
          <w:color w:val="auto"/>
        </w:rPr>
        <w:t>Reset Date</w:t>
      </w:r>
      <w:r>
        <w:rPr>
          <w:rFonts w:ascii="Times New Roman" w:cs="Times New Roman" w:eastAsia="Times New Roman" w:hAnsi="Times New Roman"/>
          <w:sz w:val="20"/>
          <w:szCs w:val="20"/>
          <w:color w:val="auto"/>
        </w:rPr>
        <w:t>”), shall remain effective until the next succeeding Reset Date and shall for all purposes of this Agreement (other than any provision expressly requiring the use of a current exchange rate)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Exchange Rates employed in converting any amounts between dollars and any Permitted Foreign Currency.</w:t>
      </w:r>
    </w:p>
    <w:p>
      <w:pPr>
        <w:spacing w:after="0" w:line="229" w:lineRule="exact"/>
        <w:rPr>
          <w:sz w:val="20"/>
          <w:szCs w:val="20"/>
          <w:color w:val="auto"/>
        </w:rPr>
      </w:pPr>
    </w:p>
    <w:p>
      <w:pPr>
        <w:jc w:val="both"/>
        <w:ind w:firstLine="656"/>
        <w:spacing w:after="0" w:line="253" w:lineRule="auto"/>
        <w:tabs>
          <w:tab w:leader="none" w:pos="12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for purposes of Article II and related definitional provisions to the extent used therein, the applicable amount of any currency (other than dollars) for purposes of the Loan Documents shall be such Dollar Equivalent amount as determined by the Administrative Agent and notified to the applicable Issuing Bank and the Borrower in accordance with Section 1.06(a). Amounts denominated in a Permitted Foreign Currency will be converted to dollars for the purposes of calculating the Total Net Leverage Ratio and Total Gross Leverage Ratio, as applicable, at the Exchange Rate as of the date of calculation.</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Limited Conditionality Acquisitions</w:t>
      </w:r>
      <w:r>
        <w:rPr>
          <w:rFonts w:ascii="Times New Roman" w:cs="Times New Roman" w:eastAsia="Times New Roman" w:hAnsi="Times New Roman"/>
          <w:sz w:val="20"/>
          <w:szCs w:val="20"/>
          <w:color w:val="auto"/>
        </w:rPr>
        <w:t>. In the event that the Borrower has elected to treat any proposed acquisition as a Limited Conditionality Acquisition, any condition to incurring Liens and Indebtedness (including, for the avoidance of doubt, New Commitments and Loans made pursuant thereto) in connection with such Limited Conditionality Acquisition (including any condition relating to pro forma compliance with any financial covenants or the delivery of financial statements or no Default or Event of Default) shall be determined solely as of the date that the definitive documentation relating to such Limited Conditionality Acquisition is entered into by the Borrower or any Subsidiary; provided that if the Borrower has made such an election, in connection with the calculation of any ratio or basket with respect to the incurrence of any Indebtedness (including, for the avoidance of doubt, New Commitments and Loans made pursuant thereto) or Liens on or following such date and prior to the earlier of the date on which such Limited Conditionality Acquisition is consummated or the definitive agreement for such Limited Conditionality Acquisition is terminated, any such ratio shall be calculated on a pro forma basis assuming such Limited Conditionality Acquisition and other pro forma events in connection therewith (including any incurrence of Liens and Indebtedness) have been consummated.</w:t>
      </w:r>
    </w:p>
    <w:p>
      <w:pPr>
        <w:spacing w:after="0" w:line="18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Conditionality Acquisitions such that each of the possible scenarios is separately tested.</w:t>
      </w:r>
    </w:p>
    <w:p>
      <w:pPr>
        <w:spacing w:after="0" w:line="14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1.08</w:t>
      </w:r>
      <w:r>
        <w:rPr>
          <w:sz w:val="20"/>
          <w:szCs w:val="20"/>
          <w:color w:val="auto"/>
        </w:rPr>
        <w:tab/>
      </w:r>
      <w:r>
        <w:rPr>
          <w:rFonts w:ascii="Times New Roman" w:cs="Times New Roman" w:eastAsia="Times New Roman" w:hAnsi="Times New Roman"/>
          <w:sz w:val="20"/>
          <w:szCs w:val="20"/>
          <w:u w:val="single" w:color="auto"/>
          <w:color w:val="auto"/>
        </w:rPr>
        <w:t>Basket Amounts and Application of Multiple Relevant Provisions</w:t>
      </w:r>
      <w:r>
        <w:rPr>
          <w:rFonts w:ascii="Times New Roman" w:cs="Times New Roman" w:eastAsia="Times New Roman" w:hAnsi="Times New Roman"/>
          <w:sz w:val="20"/>
          <w:szCs w:val="20"/>
          <w:color w:val="auto"/>
        </w:rPr>
        <w:t>. Notwithstanding anything to the contrary,</w:t>
      </w:r>
    </w:p>
    <w:p>
      <w:pPr>
        <w:spacing w:after="0" w:line="28" w:lineRule="exact"/>
        <w:rPr>
          <w:sz w:val="20"/>
          <w:szCs w:val="20"/>
          <w:color w:val="auto"/>
        </w:rPr>
      </w:pPr>
    </w:p>
    <w:p>
      <w:pPr>
        <w:jc w:val="both"/>
        <w:ind w:firstLine="8"/>
        <w:spacing w:after="0" w:line="248" w:lineRule="auto"/>
        <w:tabs>
          <w:tab w:leader="none" w:pos="31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specifically stated otherwise herein, any dollar, number, percentage or other amount available under any carve-out, basket, exclusion or exception to any affirmative, negative or other covenant in this Agreement or the other Loan Documents may be accumulated, added, combined, aggregated or used together by any Loan Party and its Subsidiaries without limitation for any purpose not prohibited hereby, and (b) any action or event permitted by this Agreement or the other Loan Documents need not be permitted solely by reference to one provision permitting such action or event but may be permitted in part by one such provision and in part by one or more other provisions of this Agreement and the other Loan Documents. For purposes of determining compliance with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in the event that an item of Indebtedness (or any portion thereof) meets the criteria of one or more of the categories of permitted Indebtedness (or any portion thereof) described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any Lien meets the criteria of one or more of the categories of Permitted Liens, the Borrower may, in its sole discretion, classify or reclassify, or later divide, classify or reclassify (as if incurred at such later time), such item of Indebtedness (or any portion thereof) and/or Liens in any manner that complies with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will be entitled to only include the amount and type of such item of Indebtedness (or any portion thereof) and/or Liens in one of the above clauses (or any portion thereof) and such item of Indebtedness (or any portion thereof) and/or Liens shall be treated as having been incurred or existing pursuant to only such clause or clauses (or any portion thereof)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83" w:lineRule="auto"/>
        <w:rPr>
          <w:sz w:val="20"/>
          <w:szCs w:val="20"/>
          <w:color w:val="auto"/>
        </w:rPr>
      </w:pPr>
      <w:r>
        <w:rPr>
          <w:rFonts w:ascii="Times New Roman" w:cs="Times New Roman" w:eastAsia="Times New Roman" w:hAnsi="Times New Roman"/>
          <w:sz w:val="20"/>
          <w:szCs w:val="20"/>
          <w:color w:val="auto"/>
        </w:rPr>
        <w:t>giving pro forma effect to such item (or portion thereof) when calculating the amount of Indebtedness or Liens, as applicable, that may be incurred pursuant to any other clause.</w:t>
      </w:r>
    </w:p>
    <w:p>
      <w:pPr>
        <w:spacing w:after="0" w:line="14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Section 1.09 </w:t>
      </w:r>
      <w:r>
        <w:rPr>
          <w:rFonts w:ascii="Times New Roman" w:cs="Times New Roman" w:eastAsia="Times New Roman" w:hAnsi="Times New Roman"/>
          <w:sz w:val="19"/>
          <w:szCs w:val="19"/>
          <w:u w:val="single" w:color="auto"/>
          <w:color w:val="auto"/>
        </w:rPr>
        <w:t>Interest Rates</w:t>
      </w:r>
      <w:r>
        <w:rPr>
          <w:rFonts w:ascii="Times New Roman" w:cs="Times New Roman" w:eastAsia="Times New Roman" w:hAnsi="Times New Roman"/>
          <w:sz w:val="19"/>
          <w:szCs w:val="19"/>
          <w:color w:val="auto"/>
        </w:rPr>
        <w:t>. The Administrative Agent does not warrant or accept responsibility for, and shall not have any liability with respect to (a) the continuation of, administration of, submission of, calculation of or any other matter related to ABR, the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ABR, the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or the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2</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xml:space="preserve">. Subject to the terms and conditions set forth herein, each Lender severally agrees to make Revolving Loans in dollars or in any Permitted Foreign Currency to the Borrower from time to time during the Availability Period in an aggregate principal amount that will not result in (a) the aggregate outstanding principal amount of such Lender’s Revolving Loans exceeding such Lender’s Revolving Commitment, (b) the sum of the Aggregate Total Exposure exceeding the total Revolving Commitments or (c) any Lender’s Total Exposure exceeding such Lender’s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request, and the Lenders shall not be required to fund, a Revolving Loan that is denominated in a Permitted Foreign Currency if after the making of such Revolving Loan, the Dollar Equivalent of the aggregate principal amount of all Revolving Loans then outstanding that are denominated in a Permitted Foreign Currency (including such requested Revolving Loan) would exceed $500,000,000. Within the foregoing limits and subject to the terms and conditions set forth herein, the Borrower may borrow, prepay and reborrow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Revolving Loans and Borrowings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Each Loan shall be made as part of a Borrowing consisting of Revolving Loans made by the Lenders in accordance with their respective Applicable Percentages. The failure of any Lender to make any Revolving Loan required to be made by it shall not relieve any other Lender of its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Revolving Commitments of the Lenders are several and no Lender shall be responsible for any other Lender’s failure to make Revolving Loans as required.</w:t>
      </w:r>
    </w:p>
    <w:p>
      <w:pPr>
        <w:spacing w:after="0" w:line="170" w:lineRule="exact"/>
        <w:rPr>
          <w:sz w:val="20"/>
          <w:szCs w:val="20"/>
          <w:color w:val="auto"/>
        </w:rPr>
      </w:pPr>
    </w:p>
    <w:p>
      <w:pPr>
        <w:jc w:val="both"/>
        <w:ind w:firstLine="656"/>
        <w:spacing w:after="0" w:line="252"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 each Borrowing denominated in dollars shall be comprised entirely of ABR Loans or Term SOFR Loans as the Borrower may request in accordance herewith, (ii) each Borrowing denominated in Euro shall be comprised entirely of EURIBOR Loans, (iii) each Borrowing denominated in Canadian Dollars shall be comprised entirely of Term CORRA Loans, (iv) each Borrowing denominated in British Pounds shall be comprised entirely of RFR Loans and (v) each Borrowing denominated in any Permitted Foreign Currency (other than Euros, Canadian Dollars and British Pounds) shall bear interest at a rate (with component parts thereof) to be separately agreed by the Borrower, the Administrative Agent and the applicable Lenders and/or Issuing Banks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9.02(e)</w:t>
      </w:r>
      <w:r>
        <w:rPr>
          <w:rFonts w:ascii="Times New Roman" w:cs="Times New Roman" w:eastAsia="Times New Roman" w:hAnsi="Times New Roman"/>
          <w:sz w:val="20"/>
          <w:szCs w:val="20"/>
          <w:color w:val="auto"/>
        </w:rPr>
        <w:t xml:space="preserve">. Each Lender at its option may make any Revolving Loan by causing any domestic or foreign branch or Affiliate of such Lender to make such Revolving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Revolving Loan in accordance with the terms of this Agreement.</w:t>
      </w:r>
    </w:p>
    <w:p>
      <w:pPr>
        <w:spacing w:after="0" w:line="189"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Term SOFR Borrowing, EURIBOR Borrowing or Term CORRA Borrowing such Borrowing shall be in an aggregate amount that is an integral multiple of the Borrowing Multiple and not less than the Borrowing Minimum. At the time that each ABR Borrowing and/or RFR Borrowing is made, such Borrowing shall be in an aggregate amount that is an integral multiple of the Borrowing Multiple and not less than the Borrowing Minimum;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ABR Borrowing may be in an aggregate amount that is equal to the entire unused balance of the total Revolving Commitments. Borrowings of more than one Type may be outstanding at the same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shall not at any time be more than a total of ten Term SOFR Borrowings, EURIBOR Borrowings, Term CORRA Borrowings or RFR Borrowings outstanding.</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To request a Borrowing, the Borrower shall notify the Administrative Agent of such request by electronic delivery to the Administrative Agent of a written Borrowing Request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signed by the Borrower (a) in the case of (x) a Term SOFR Borrowing denominated in dollars, or (y) any Borrowing denominated in Euro, Canadian Dollars or British Pounds, not later than 1:00 p.m. New York City Time three (3) Business Days before the date of the proposed Borrowing or (b) in the case of an ABR Borrowing, either (i) not later than 1:00 p.m. (New York City time), one (1) Business Day prior to the date of the proposed Borrowing, or (ii) not later than 12:00 p.m. (New York City time) on the date of the proposed Borrowing. Each Borrowing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1680" w:hanging="376"/>
        <w:spacing w:after="0"/>
        <w:tabs>
          <w:tab w:leader="none" w:pos="16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and currency of the requested Borrowing;</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22" w:right="339" w:bottom="1440" w:gutter="0" w:footer="0" w:header="0"/>
        </w:sectPr>
      </w:pPr>
    </w:p>
    <w:bookmarkStart w:id="55" w:name="page56"/>
    <w:bookmarkEnd w:id="55"/>
    <w:p>
      <w:pPr>
        <w:ind w:firstLine="1304"/>
        <w:spacing w:after="0" w:line="283" w:lineRule="auto"/>
        <w:tabs>
          <w:tab w:leader="none" w:pos="188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a Term SOFR Borrowing, a EURIBOR Borrowing, a Term CORRA Borrowing or an RFR Borrowing;</w:t>
      </w:r>
    </w:p>
    <w:p>
      <w:pPr>
        <w:spacing w:after="0" w:line="146" w:lineRule="exact"/>
        <w:rPr>
          <w:rFonts w:ascii="Times New Roman" w:cs="Times New Roman" w:eastAsia="Times New Roman" w:hAnsi="Times New Roman"/>
          <w:sz w:val="20"/>
          <w:szCs w:val="20"/>
          <w:color w:val="auto"/>
        </w:rPr>
      </w:pPr>
    </w:p>
    <w:p>
      <w:pPr>
        <w:ind w:right="20" w:firstLine="1304"/>
        <w:spacing w:after="0" w:line="283" w:lineRule="auto"/>
        <w:tabs>
          <w:tab w:leader="none" w:pos="18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SOFR Borrowing, a EURIBOR Borrowing or a Term CORRA Borrowing, the initial Interest Period to be applicable thereto, which shall be a period contemplated by the definition of the term “Interest Period”; and</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78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location and number of the account or accounts to which funds are to be disbursed, which shall comply with the requirements of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no election as to the Type of Borrowing is specified other than Borrowings denominated in a Permitted Foreign Currency, then the requested Borrowing shall be an ABR Borrowing. If no Interest Period is specified with respect to any requested Term SOFR Borrowing, EURIBOR Borrowing or Term CORRA Borrowing, then the Borrower shall be deemed to have selected an Interest Period of one month’s duration. If no currency is specified with respect to any requested Loan, the Borrower shall be deemed to have selected dollars. Promptly following receipt of a Borrowing Request in accordance with this Section, the Administrative Agent shall advise each Lender of the details thereof and of the amount of such Lender’s Revolving Loan to be made as part of the requested Borrowing. Except as otherwise provided herein, a Borrowing Request for a Term SOFR Borrowing, a EURIBOR Borrowing or a Term CORRA Borrowing, shall be irrevocable on and after the related Interest Rate Determination Date, and the Borrower shall be bound to make a borrowing in accordance therewith. As soon as practicable after 3:00 p.m., New York City time, on each Interest Rate Determination Date, the Administrative Agent shall determine (which determination shall, absent manifest error, be final, conclusive and binding upon all parties) the interest rate that shall apply to any EURIBOR Borrowing or Term CORRA Borrowing for which an interest rate is then being determined for the applicable Interest Period and shall promptly give written notice thereof to Borrower and each Lender.</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Each Lender shall make each Revolving Loan to be made by it hereunder on the proposed date thereof by wire transfer of immediately available funds by 1:00 p.m. New York City Time to the account of the Administrative Agent most recently designated by it for such purpose by notice to the Lenders. The Administrative Agent will make such Revolving Loans available to the Borrower by promptly crediting the amounts so received, in like funds, to an account or accounts designated by the Borrower in the applicable Borrowing Request.</w:t>
      </w:r>
    </w:p>
    <w:p>
      <w:pPr>
        <w:spacing w:after="0" w:line="188" w:lineRule="exact"/>
        <w:rPr>
          <w:sz w:val="20"/>
          <w:szCs w:val="20"/>
          <w:color w:val="auto"/>
        </w:rPr>
      </w:pPr>
    </w:p>
    <w:p>
      <w:pPr>
        <w:jc w:val="both"/>
        <w:ind w:firstLine="656"/>
        <w:spacing w:after="0" w:line="250" w:lineRule="auto"/>
        <w:tabs>
          <w:tab w:leader="none" w:pos="128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Borrower a corresponding amount. In such event, if a Lender has not in fact made its Applicable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(x) in the case of Loans denominated in dollars, the greater of the Federal Funds Effective Rate and a rate determined by the Administrative Agent in accordance with banking industry rules on interbank compensation and (y) in the case of Loans denominated in a Permitted Foreign Currency, the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determined by the Administrative Agent to be the cost to it of funding such amount (which determination will be conclusive absent manifest error) or (ii) in the case of the Borrower, the interest rate applicable to (A) in the case of Loans denominated in dollars, ABR Loans and (B) in the case of Loans denominated in a Permitted Foreign Currency, the interest rate applicable to the subject Loan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If such Lender pays such amount to the Administrative Agent, then such amount shall constitute such Lender’s Revolving Loan included in such Borrowing.</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Each Borrowing of Revolving Loans initially shall be of the Type specified in the applicable Borrowing Request and, in the case of a Term SOFR Borrowing, EURIBOR Borrowing or Term CORRA Borrowing, shall have an initial Interest Period as specified in such Borrowing Request. Thereafter, the Borrower may elect to convert such Borrowing to a different Type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EURIBOR Borrowings and Term CORRA Borrowings may not be converted to ABR Borrowings) or to continue such Borrowing and, in the case of a Term SOFR Borrowing, EURIBOR Borrowing or Term CORRA Borrowing may elect Interest Periods therefor, all as provided in this Section. Subject to the limitation set forth in </w:t>
      </w:r>
      <w:r>
        <w:rPr>
          <w:rFonts w:ascii="Times New Roman" w:cs="Times New Roman" w:eastAsia="Times New Roman" w:hAnsi="Times New Roman"/>
          <w:sz w:val="20"/>
          <w:szCs w:val="20"/>
          <w:u w:val="single" w:color="auto"/>
          <w:color w:val="auto"/>
        </w:rPr>
        <w:t>Section 2.02(c)</w:t>
      </w:r>
      <w:r>
        <w:rPr>
          <w:rFonts w:ascii="Times New Roman" w:cs="Times New Roman" w:eastAsia="Times New Roman" w:hAnsi="Times New Roman"/>
          <w:sz w:val="20"/>
          <w:szCs w:val="20"/>
          <w:color w:val="auto"/>
        </w:rPr>
        <w:t>, the Borrower may elect different options with respect to different portions of the affected Borrowing, in which case each such portion shall be allocated among the Lenders holding the Revolving Loans comprising such Borrowing in accordance with their respective Applicable Percentages, and the Revolving Loans comprising each such portion shall be considered a separate Borrowing.</w:t>
      </w:r>
    </w:p>
    <w:p>
      <w:pPr>
        <w:spacing w:after="0" w:line="182" w:lineRule="exact"/>
        <w:rPr>
          <w:sz w:val="20"/>
          <w:szCs w:val="20"/>
          <w:color w:val="auto"/>
        </w:rPr>
      </w:pPr>
    </w:p>
    <w:p>
      <w:pPr>
        <w:jc w:val="both"/>
        <w:ind w:firstLine="656"/>
        <w:spacing w:after="0" w:line="276" w:lineRule="auto"/>
        <w:tabs>
          <w:tab w:leader="none" w:pos="128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an election pursuant to this Section, the Borrower shall notify the Administrative Agent of such election in writing (by electronic transmission) (an “</w:t>
      </w:r>
      <w:r>
        <w:rPr>
          <w:rFonts w:ascii="Times New Roman" w:cs="Times New Roman" w:eastAsia="Times New Roman" w:hAnsi="Times New Roman"/>
          <w:sz w:val="19"/>
          <w:szCs w:val="19"/>
          <w:b w:val="1"/>
          <w:bCs w:val="1"/>
          <w:color w:val="auto"/>
        </w:rPr>
        <w:t>Interest Election Request</w:t>
      </w:r>
      <w:r>
        <w:rPr>
          <w:rFonts w:ascii="Times New Roman" w:cs="Times New Roman" w:eastAsia="Times New Roman" w:hAnsi="Times New Roman"/>
          <w:sz w:val="19"/>
          <w:szCs w:val="19"/>
          <w:color w:val="auto"/>
        </w:rPr>
        <w:t xml:space="preserve">”) by the time that a Borrowing Request would be required under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if the Borrower were requesting a Borrowing of the Type resulting from such election to be made on the effective date of such election. Each Interest Election Request shall be irrevocable and shall be substantially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attached hereto and signed by the Borrower.</w:t>
      </w:r>
    </w:p>
    <w:p>
      <w:pPr>
        <w:spacing w:after="0" w:line="169"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written Interest Election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9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82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a Term SOFR Borrowing, a EURIBOR Borrowing or a Term CORRA Borrowing; and</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4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a Term SOFR Borrowing, a EURIBOR Borrowing or a Term CORRA Borrowing, the Interest Period to be applicable thereto after giving effect to such election, which shall be a period contemplated by the definition of the term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57" w:name="page58"/>
    <w:bookmarkEnd w:id="57"/>
    <w:p>
      <w:pPr>
        <w:spacing w:after="0" w:line="283" w:lineRule="auto"/>
        <w:rPr>
          <w:sz w:val="20"/>
          <w:szCs w:val="20"/>
          <w:color w:val="auto"/>
        </w:rPr>
      </w:pPr>
      <w:r>
        <w:rPr>
          <w:rFonts w:ascii="Times New Roman" w:cs="Times New Roman" w:eastAsia="Times New Roman" w:hAnsi="Times New Roman"/>
          <w:sz w:val="20"/>
          <w:szCs w:val="20"/>
          <w:color w:val="auto"/>
        </w:rPr>
        <w:t>If any such Interest Election Request requests a Term SOFR Borrowing, a EURIBOR Borrowing or a Term CORRA Borrowing but does not specify an Interest Period, then the Borrower shall be deemed to have selected an Interest Period of one month’s duration.</w:t>
      </w:r>
    </w:p>
    <w:p>
      <w:pPr>
        <w:spacing w:after="0" w:line="146" w:lineRule="exact"/>
        <w:rPr>
          <w:sz w:val="20"/>
          <w:szCs w:val="20"/>
          <w:color w:val="auto"/>
        </w:rPr>
      </w:pPr>
    </w:p>
    <w:p>
      <w:pPr>
        <w:jc w:val="both"/>
        <w:ind w:firstLine="656"/>
        <w:spacing w:after="0" w:line="257" w:lineRule="auto"/>
        <w:tabs>
          <w:tab w:leader="none" w:pos="128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 Except as otherwise provided herein, an Interest Election Request for conversion to, or continuation of, any Term SOFR Borrowing, EURIBOR Borrowing or Term CORRA Borrowing shall be irrevocable on and after the related Interest Rate Determination Date, and the Borrower shall be bound to effect a conversion or continuation in accordance therewith.</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a timely Interest Election Request with respect to a Term SOFR Borrowing, a EURIBOR Borrowing or a Term CORRA Borrowing prior to the end of the Interest Period applicable thereto, then, unless such Borrowing is repaid as provided herein, at the end of such Interest Period such Borrowing shall be continued as a Term SOFR Borrowing, a EURIBOR Borrowing or a Term CORRA Borrowing with an Interest Period of one month’s duration. Notwithstanding any contrary provision hereof, if an Event of Default has occurred and is continuing, (i) no outstanding Borrowing denominated in dollars may be converted to or continued as a Term SOFR Borrowing, (ii) unless repaid, each Term SOFR Borrowing shall be converted to an ABR Borrowing at the end of the Interest Period applicable thereto and (iii) unless repaid, each EURIBOR Borrowing or Term CORRA Borrowing shall be continued as a EURIBOR Borrowing or Term CORRA Borrowing, as applicable, with an Interest Period of one month’s duration.</w:t>
      </w:r>
    </w:p>
    <w:p>
      <w:pPr>
        <w:spacing w:after="0" w:line="204" w:lineRule="exact"/>
        <w:rPr>
          <w:sz w:val="20"/>
          <w:szCs w:val="20"/>
          <w:color w:val="auto"/>
        </w:rPr>
      </w:pPr>
    </w:p>
    <w:p>
      <w:pPr>
        <w:ind w:right="20" w:firstLine="648"/>
        <w:spacing w:after="0" w:line="290" w:lineRule="auto"/>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Termination and Reduction of Revolving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Unless previously terminated, the Revolving Commitments shall terminate on the Maturity Date.</w:t>
      </w:r>
    </w:p>
    <w:p>
      <w:pPr>
        <w:spacing w:after="0" w:line="133" w:lineRule="exact"/>
        <w:rPr>
          <w:sz w:val="20"/>
          <w:szCs w:val="20"/>
          <w:color w:val="auto"/>
        </w:rPr>
      </w:pPr>
    </w:p>
    <w:p>
      <w:pPr>
        <w:jc w:val="both"/>
        <w:ind w:firstLine="656"/>
        <w:spacing w:after="0" w:line="260" w:lineRule="auto"/>
        <w:tabs>
          <w:tab w:leader="none" w:pos="1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each partial reduction of the Revolving Commitments shall be in an amount that is an integral multiple of $1,000,000 and not less than $5,000,000 and (ii) the Borrower shall not terminate or reduce the Revolving Commitments if, after giving effect to any concurrent prepayment of the Loans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the sum of the Aggregate Total Exposure would exceed the total Commitments.</w:t>
      </w:r>
    </w:p>
    <w:p>
      <w:pPr>
        <w:spacing w:after="0" w:line="16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Borrower may state that such notice is conditioned upon the effectiveness of other credit facilities or another transaction,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applied to the Lenders in accordance with their respective Applicable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58" w:name="page59"/>
    <w:bookmarkEnd w:id="58"/>
    <w:p>
      <w:pPr>
        <w:ind w:right="20" w:firstLine="656"/>
        <w:spacing w:after="0" w:line="283" w:lineRule="auto"/>
        <w:tabs>
          <w:tab w:leader="none" w:pos="12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reduction of the Revolving Commitments, the Letter of Credit Sublimit exceeds the amount of the Revolving Commitments, such Letter of Credit Sublimit shall be automatically reduced by the amount of such excess.</w:t>
      </w:r>
    </w:p>
    <w:p>
      <w:pPr>
        <w:spacing w:after="0" w:line="155" w:lineRule="exact"/>
        <w:rPr>
          <w:sz w:val="20"/>
          <w:szCs w:val="20"/>
          <w:color w:val="auto"/>
        </w:rPr>
      </w:pPr>
    </w:p>
    <w:p>
      <w:pPr>
        <w:ind w:right="20" w:firstLine="648"/>
        <w:spacing w:after="0" w:line="290"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Repayment of Revolving Loans; Evidence of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hereby unconditionally promises to pay to the Administrative Agent for the account of each Lender the then unpaid principal amount of each Revolving Loan on the Maturity Date.</w:t>
      </w:r>
    </w:p>
    <w:p>
      <w:pPr>
        <w:spacing w:after="0" w:line="137" w:lineRule="exact"/>
        <w:rPr>
          <w:sz w:val="20"/>
          <w:szCs w:val="20"/>
          <w:color w:val="auto"/>
        </w:rPr>
      </w:pPr>
    </w:p>
    <w:p>
      <w:pPr>
        <w:jc w:val="both"/>
        <w:ind w:firstLine="656"/>
        <w:spacing w:after="0" w:line="268"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Revolving Loan made by such Lender, including the amounts of principal and interest payable and paid to such Lender from time to time hereunder.</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Revolving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1" w:lineRule="exact"/>
        <w:rPr>
          <w:rFonts w:ascii="Times New Roman" w:cs="Times New Roman" w:eastAsia="Times New Roman" w:hAnsi="Times New Roman"/>
          <w:sz w:val="20"/>
          <w:szCs w:val="20"/>
          <w:color w:val="auto"/>
        </w:rPr>
      </w:pPr>
    </w:p>
    <w:p>
      <w:pPr>
        <w:jc w:val="both"/>
        <w:ind w:firstLine="656"/>
        <w:spacing w:after="0" w:line="255"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(absent manifest error);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Revolving Loans in accordance with the terms of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Revolving Loans made by it be evidenced by a promissory note (each such promissory note being called a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and all such promissory notes being collectively called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xml:space="preserve">”). In such event, the Borrower shall prepare, execute and deliver to such Lender a Note payable to such Lender (or, if requested by such Lender, to such Lender and its registered assigns)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Thereafter, the Revolving Loans evidenced by such Note and interest thereon shall at all times (including after assignment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be represented by one or more promissory notes in such form payable to the payee named therein (or, if such promissory note is a registered note, to such payee and its registered assigns).</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shall have the right at any time and from time to time to prepay any Borrowing in whole or in part, without premium or penalty (subject to the requirements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subject to prior notice in accordance with paragraph (b) of this Section.</w:t>
      </w:r>
    </w:p>
    <w:p>
      <w:pPr>
        <w:spacing w:after="0" w:line="158" w:lineRule="exact"/>
        <w:rPr>
          <w:sz w:val="20"/>
          <w:szCs w:val="20"/>
          <w:color w:val="auto"/>
        </w:rPr>
      </w:pPr>
    </w:p>
    <w:p>
      <w:pPr>
        <w:jc w:val="both"/>
        <w:ind w:firstLine="656"/>
        <w:spacing w:after="0" w:line="271" w:lineRule="auto"/>
        <w:tabs>
          <w:tab w:leader="none" w:pos="1286"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notify the Administrative Agent by written notice or other electronic transmission of any prepayment hereunder (i) in the case of prepayment of any Borrowing that is not an ABR Borrowing, not later than 1:00 p.m., New York City Time, three</w:t>
      </w:r>
    </w:p>
    <w:p>
      <w:pPr>
        <w:spacing w:after="0" w:line="1"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before the date of prepayment or (ii) in the case of prepayment of an ABR Borrowing, not later than 1:00 p.m., New York</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City time, one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Revolving Commitments as contemplated by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then such notice of prepayment may be revoked if such notice of termination is revoked in accordance with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Each prepayment of a Borrowing shall be applied ratably to the Revolving Loans of the Lenders in accordance with their respective Applicable Percentages. Prepayments shall be accompanied by accrued interest to the extent required by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any costs incurred as contemplated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56"/>
        <w:spacing w:after="0" w:line="251" w:lineRule="auto"/>
        <w:tabs>
          <w:tab w:leader="none" w:pos="12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 the Aggregate Total Exposure exceeds the total Commitments then in effect (other than as a result of any revaluation of the Dollar Equivalent of Loans or Letter of Credit Usage on any Calculation Date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(ii) the Aggregate Total Exposure exceeds 105% of the total Commitments solely as a result of any revaluation of the Dollar Equivalent of Loans or Letter of Credit Usage on any Calculation Date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the Borrower shall promptly prepay the Revolving Loans or Cash Collateralize the outstanding amount of Letter of Credit Usage at the Agreed L/C Cash Collateral Amount of all Letter of Credit Usage, as applicable, to the extent necessary so that the Aggregate Total Exposure shall not exceed (a) in the case of </w:t>
      </w:r>
      <w:r>
        <w:rPr>
          <w:rFonts w:ascii="Times New Roman" w:cs="Times New Roman" w:eastAsia="Times New Roman" w:hAnsi="Times New Roman"/>
          <w:sz w:val="20"/>
          <w:szCs w:val="20"/>
          <w:u w:val="single" w:color="auto"/>
          <w:color w:val="auto"/>
        </w:rPr>
        <w:t>Section 2.08(c)(i)</w:t>
      </w:r>
      <w:r>
        <w:rPr>
          <w:rFonts w:ascii="Times New Roman" w:cs="Times New Roman" w:eastAsia="Times New Roman" w:hAnsi="Times New Roman"/>
          <w:sz w:val="20"/>
          <w:szCs w:val="20"/>
          <w:color w:val="auto"/>
        </w:rPr>
        <w:t xml:space="preserve">, the Commitments; and (b) in the case of </w:t>
      </w:r>
      <w:r>
        <w:rPr>
          <w:rFonts w:ascii="Times New Roman" w:cs="Times New Roman" w:eastAsia="Times New Roman" w:hAnsi="Times New Roman"/>
          <w:sz w:val="20"/>
          <w:szCs w:val="20"/>
          <w:u w:val="single" w:color="auto"/>
          <w:color w:val="auto"/>
        </w:rPr>
        <w:t>Section 2.08(c)(ii)</w:t>
      </w:r>
      <w:r>
        <w:rPr>
          <w:rFonts w:ascii="Times New Roman" w:cs="Times New Roman" w:eastAsia="Times New Roman" w:hAnsi="Times New Roman"/>
          <w:sz w:val="20"/>
          <w:szCs w:val="20"/>
          <w:color w:val="auto"/>
        </w:rPr>
        <w:t>, 105% of the Commitments; in each case, then in effect (or, in the case of Letter of Credit Usage, such amounts are fully Cash Collateralized).</w:t>
      </w:r>
    </w:p>
    <w:p>
      <w:pPr>
        <w:spacing w:after="0" w:line="195"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prepayment of any Loan pursuant to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shall be applied as specified by the Borrower in the applicable notice of prepayment.</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agrees to pay (or in the case of clause (ii), cause the Applicable Account Party to pay) to the Administrative Agent for the account of each Lender (other than any Defaulting Lender) in accordance with its Applicable Percentage (i) a commitment fee (the “</w:t>
      </w:r>
      <w:r>
        <w:rPr>
          <w:rFonts w:ascii="Times New Roman" w:cs="Times New Roman" w:eastAsia="Times New Roman" w:hAnsi="Times New Roman"/>
          <w:sz w:val="20"/>
          <w:szCs w:val="20"/>
          <w:b w:val="1"/>
          <w:bCs w:val="1"/>
          <w:color w:val="auto"/>
        </w:rPr>
        <w:t>Commitment Fee</w:t>
      </w:r>
      <w:r>
        <w:rPr>
          <w:rFonts w:ascii="Times New Roman" w:cs="Times New Roman" w:eastAsia="Times New Roman" w:hAnsi="Times New Roman"/>
          <w:sz w:val="20"/>
          <w:szCs w:val="20"/>
          <w:color w:val="auto"/>
        </w:rPr>
        <w:t xml:space="preserve">”), which shall accrue at the percentage set forth in the definition of “Applicable Rate” on the average daily difference between (x) the Revolving Commitments and (y) the aggregate principal amount of (1) all outstanding Revolving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Letter of Credit Usage during the period from and including the date hereof to but excluding the date on which such Revolving Commitment terminates and (ii) a Letter of Credit participation fee (the “</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xml:space="preserve">”) equal to the Applicable Rate with respect to Term SOFR Borrowings, multiplied by the average daily undrawn amount of the Letters of Credit (regardless of whether any conditions for drawing could then be met and determined as of the close of business on any date of determination). Accrued fees under this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shall be payable in arrears on the last day of March, June, September and December of each year and on the date on which the Commitments terminate, commencing on June 30, 2026;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commitment fees accruing after the date on which the Commitments terminate shall be payable on demand. All fees under this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shall be computed on the basis of a year of 360 days and shall be payable for the actual number of days elapsed (including the first day but excluding the last day).</w:t>
      </w:r>
    </w:p>
    <w:p>
      <w:pPr>
        <w:spacing w:after="0" w:line="196" w:lineRule="exact"/>
        <w:rPr>
          <w:sz w:val="20"/>
          <w:szCs w:val="20"/>
          <w:color w:val="auto"/>
        </w:rPr>
      </w:pPr>
    </w:p>
    <w:p>
      <w:pPr>
        <w:ind w:firstLine="656"/>
        <w:spacing w:after="0" w:line="283"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(or cause the Applicable Account Party to pay) directly to each Issuing Bank, for its own account, the following fees:</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699"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fronting fee equal to 0.125%, per annum based on the average daily undrawn amount on such Letters of Credit issued by such Issuing Bank;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1304"/>
        <w:spacing w:after="0" w:line="261" w:lineRule="auto"/>
        <w:tabs>
          <w:tab w:leader="none" w:pos="17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fees in clause (b)(i) above shall be payable quarterly in arrears on March 31, June 30, September 30 and December 31 of each year during the Availability Period, commencing on the first such date to occur after the Effective Date, and on the Maturity Date.</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fees payable in the amounts and at the times separately agreed upon between the Borrower and the Administrative Agent in the Agent Fee Letter.</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immediately available funds, to the parties specified herein. Fees paid shall not be refundable under any circumstances.</w:t>
      </w:r>
    </w:p>
    <w:p>
      <w:pPr>
        <w:spacing w:after="0" w:line="182"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Revolving Loans comprising each ABR Borrowing shall bear interest at the Alternate Base Rate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the Applicable Rate.</w:t>
      </w:r>
    </w:p>
    <w:p>
      <w:pPr>
        <w:spacing w:after="0" w:line="137" w:lineRule="exact"/>
        <w:rPr>
          <w:sz w:val="20"/>
          <w:szCs w:val="20"/>
          <w:color w:val="auto"/>
        </w:rPr>
      </w:pPr>
    </w:p>
    <w:p>
      <w:pPr>
        <w:ind w:firstLine="656"/>
        <w:spacing w:after="0" w:line="283"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Loans comprising each Term SOFR Borrowing shall bear interest at Adjusted Term SOFR for the Interest Period in effect for such Borrowing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Loans comprising each EURIBOR Borrowing shall bear interest at the Adjusted EURIBO Rate for the Interest Period in effect for such Borrowing plus the Applicable Rate.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Loans comprising each Term CORRA Borrowing shall bear interest at Term CORRA for the Interest Period in effect for such Borrowing plus the Applicable Rate.</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Loans comprising each RFR Borrowing shall bear interest at a rate per annum equal to the Adjusted Daily Simple RFR plus the Applicable Rate.</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upon the occurrence and during the continuance of a Specified Event of Default and, at the request of Required Lenders, any other Event of Default, all overdue amounts outstanding hereunder shall bear interest, after as well as before judgment,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in the case of overdue principal of any Loan, 2%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otherwise applicable to such Loan as provided in the preceding paragraphs of this Section or (ii) in the case of any other overdue amount, 2%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applicable to ABR Loans as provided in paragraph (a) of this Section.</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interest on each Loan shall be payable in arrears on each Interest Payment Date for such Loan and upon termination of the Commitments; provided that (i) interest accrued pursuant to paragraph (f)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SOFR Loan, EURIBOR Loan or Term CORRA Loan prior to the end of the current Interest Period therefor, accrued interest on such Loan shall be payable on the effective date of such conversion.</w:t>
      </w:r>
    </w:p>
    <w:p>
      <w:pPr>
        <w:spacing w:after="0" w:line="178"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applicable Issuing Bank, with respect to drawings honored under any Letter of Credit, interest on the amount paid by such Issuing Bank in respect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20"/>
          <w:szCs w:val="20"/>
          <w:color w:val="auto"/>
        </w:rPr>
        <w:t>such honored drawing from the date such drawing is honored to but excluding the date such amount is reimbursed by or on behalf of the Borrower at a rate equal to (i) for the period from the date such drawing is honored to but excluding the applicable Reimbursement Date, the rate of interest otherwise payable hereunder with respect to Loans that are ABR Loans, and (ii) thereafter, a rate which is 2% per annum in excess of the rate of interest otherwise payable hereunder with respect to Loans that are ABR Loans or Term SOFR Loans, EURIBOR Loans or Term CORRA Loans (as applicable).</w:t>
      </w:r>
    </w:p>
    <w:p>
      <w:pPr>
        <w:spacing w:after="0" w:line="192" w:lineRule="exact"/>
        <w:rPr>
          <w:sz w:val="20"/>
          <w:szCs w:val="20"/>
          <w:color w:val="auto"/>
        </w:rPr>
      </w:pPr>
    </w:p>
    <w:p>
      <w:pPr>
        <w:jc w:val="both"/>
        <w:ind w:firstLine="656"/>
        <w:spacing w:after="0" w:line="253" w:lineRule="auto"/>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Daily Simple RFR or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Term SOFR, Adjusted EURIBO Rate, Term CORRA, Adjusted Daily Simple RFR or Daily Simple RFR shall be determined by the Administrative Agent or the applicable Issuing Bank, as the case may be, and such determination shall be conclusive absent manifest error.</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will consult in good faith with the Borrower in advance of making any such Conforming Changes. The Administrative Agent will promptly notify the Borrower and the Lenders of the effectiveness of any Conforming Changes in connection with the use or administration of any Benchmark.</w:t>
      </w:r>
    </w:p>
    <w:p>
      <w:pPr>
        <w:spacing w:after="0" w:line="18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Alternate Rate of Interest; Illegality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If:</w:t>
      </w:r>
    </w:p>
    <w:p>
      <w:pPr>
        <w:spacing w:after="0" w:line="247" w:lineRule="exact"/>
        <w:rPr>
          <w:sz w:val="20"/>
          <w:szCs w:val="20"/>
          <w:color w:val="auto"/>
        </w:rPr>
      </w:pPr>
    </w:p>
    <w:p>
      <w:pPr>
        <w:jc w:val="both"/>
        <w:ind w:firstLine="1304"/>
        <w:spacing w:after="0" w:line="253" w:lineRule="auto"/>
        <w:tabs>
          <w:tab w:leader="none" w:pos="173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absent manifest error) (A) prior to the commencement of any Interest Period for the applicable Borrowing, that adequate and reasonable means do not exist for ascertaining Adjusted Term SOFR, the Adjusted EURIBO Rate or Term CORRA Rate, as the case may be, for such Interest Period or (B) at any time, that adequate and reasonable means do not exist for ascertaining the applicable Daily Simple SOFR, Adjusted Daily Simple RFR, Daily Simple RFR or RFR; or</w:t>
      </w:r>
    </w:p>
    <w:p>
      <w:pPr>
        <w:spacing w:after="0" w:line="19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the applicable Borrowing, Adjusted Term SOFR, the Adjusted EURIBO Rate or Term CORRA, as the case may be, for such Interest Period will not adequately and fairly reflect the cost to such Lenders (or Lender) of making or maintaining their Loans (or its Loan) included in such Borrowing for such Interest Period or (B) at any time, the applicable Adjusted Daily Simple RFR, Daily Simple RFR or RFR will not adequately and fairly reflect the cost to such Lenders (or Lender) of making or maintaining their Loans (or its Loan) included in such Borrowing, then the Administrative Agent shall give written notice thereof (including by electronic transmission) to the Borrower and the Lenders as promptly as practicable thereafter and, until the Administrative Agent notifies the Borrower and the Lenders that the circumstances giving rise to such notice no longer exist, (x) any Interest Election Request that requests the conversion of any Borrowing to, or continuation of any Borrowing as, a Term SOFR Borrowing, EURIBOR Borrowing or Term CORRA Borrowing, as the case may be, shall be ineffective and (y) if any Borrowing Request requests a Term SOFR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62" w:name="page63"/>
    <w:bookmarkEnd w:id="62"/>
    <w:p>
      <w:pPr>
        <w:ind w:right="20"/>
        <w:spacing w:after="0" w:line="283" w:lineRule="auto"/>
        <w:rPr>
          <w:sz w:val="20"/>
          <w:szCs w:val="20"/>
          <w:color w:val="auto"/>
        </w:rPr>
      </w:pPr>
      <w:r>
        <w:rPr>
          <w:rFonts w:ascii="Times New Roman" w:cs="Times New Roman" w:eastAsia="Times New Roman" w:hAnsi="Times New Roman"/>
          <w:sz w:val="20"/>
          <w:szCs w:val="20"/>
          <w:color w:val="auto"/>
        </w:rPr>
        <w:t>EURIBOR Borrowing, Term CORRA Borrowing or an RFR Borrowing, such Borrowing (x) if denominated in dollars shall be made as an ABR Borrowing or (y) in all other cases, shall be ineffective (and no Lender shall be obligated to make a Loan on account thereof).</w:t>
      </w:r>
    </w:p>
    <w:p>
      <w:pPr>
        <w:spacing w:after="0" w:line="146" w:lineRule="exact"/>
        <w:rPr>
          <w:sz w:val="20"/>
          <w:szCs w:val="20"/>
          <w:color w:val="auto"/>
        </w:rPr>
      </w:pPr>
    </w:p>
    <w:p>
      <w:pPr>
        <w:jc w:val="both"/>
        <w:ind w:firstLine="656"/>
        <w:spacing w:after="0" w:line="250" w:lineRule="auto"/>
        <w:tabs>
          <w:tab w:leader="none" w:pos="128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reasonably determines that any Change in Law has made it unlawful, or that any Governmental Authority has asserted after the Effective Date that it is unlawful, for such Lender or its applicable lending office to make or maintain any Term SOFR Borrowing, EURIBOR Borrowing, Term CORRA Borrowing, or RFR Borrowing, then, on notice thereof by such Lender to the Borrower through the Administrative Agent, any obligations of such Lender to make or continue any Term SOFR Borrowing, EURIBOR Borrowing, Term CORRA Borrowing, or RFR Borrowing or to convert ABR Borrowings to Term SOFR Borrowings shall be suspended until such Lender notifies the Administrative Agent and the Borrower that the circumstances giving rise to such determination no longer exist. Upon receipt of such notice, the Borrower shall upon demand from such Lender (with a copy to the Administrative Agent), (i) with respect to Term SOFR Loans of such Lender, convert all such Term SOFR Loans of such Lender to ABR Loans, on the last of the Interest Period therefor, if such Lender may lawfully continue to maintain such Term SOFR Loans to such day, or immediately, if such Lender may not lawfully continue to maintain such Loans (in which case the Borrower shall not be required to make payments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connection with such payment) and (ii) with respect to EURIBOR Loans or Term CORRA Loans of such Lender, prepay all such EURIBOR Loans, and/or Term CORRA Loans of such Lender, on the last day of the Interest Period therefor, if such Lender may lawfully continue to maintain such EURIBOR Loans or Term CORRA Loans to such day, or immediately, if such Lender may not lawfully continue to maintain such Loans (in which case the Borrower shall not be required to make payments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connection with such payment).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disadvantageous to it.</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If any Change in Law shall:</w:t>
      </w:r>
    </w:p>
    <w:p>
      <w:pPr>
        <w:spacing w:after="0" w:line="247" w:lineRule="exact"/>
        <w:rPr>
          <w:sz w:val="20"/>
          <w:szCs w:val="20"/>
          <w:color w:val="auto"/>
        </w:rPr>
      </w:pPr>
    </w:p>
    <w:p>
      <w:pPr>
        <w:jc w:val="both"/>
        <w:ind w:firstLine="1304"/>
        <w:spacing w:after="0" w:line="261" w:lineRule="auto"/>
        <w:tabs>
          <w:tab w:leader="none" w:pos="187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Adjusted Term SOFR, as applicable);</w:t>
      </w:r>
    </w:p>
    <w:p>
      <w:pPr>
        <w:spacing w:after="0" w:line="18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Administrative Agent, any Issuing Bank, any Lender or any other recipient of any payment to be made by or on account of any obligation of the Borrower hereunder,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3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Issuing Bank or the London interbank market any other condition, cost or expense (other than Taxes) affecting this Agreement or Term SOFR Loans, EURIBOR Loans or Term CORRA Loans made by such Lender or such Issuing Bank; and the result of any of the foregoing shall be to increase the cost to such Lender or such Issuing Bank of making, continuing, converting to or maintaining any Loan (or of maintaining its obligation to make any such Loan) or issue, amend, extend, increase or maintain in place a Letter of Credit, as the case may be,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63" w:name="page64"/>
    <w:bookmarkEnd w:id="63"/>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reduce the amount of any sum received or receivable by such Lender hereunder or such Issuing Bank (whether of principal, interest or otherwise), then the Borrower will pay to such Lender or such Issuing Bank such additional amount or amounts as will compensate such Lender or such Issuing Bank for such additional costs incurred or reduction suffered.</w:t>
      </w:r>
    </w:p>
    <w:p>
      <w:pPr>
        <w:spacing w:after="0" w:line="181" w:lineRule="exact"/>
        <w:rPr>
          <w:sz w:val="20"/>
          <w:szCs w:val="20"/>
          <w:color w:val="auto"/>
        </w:rPr>
      </w:pPr>
    </w:p>
    <w:p>
      <w:pPr>
        <w:jc w:val="both"/>
        <w:ind w:firstLine="656"/>
        <w:spacing w:after="0" w:line="251" w:lineRule="auto"/>
        <w:tabs>
          <w:tab w:leader="none" w:pos="12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any Issuing Bank determines that any Change in Law regarding capital adequacy or liquidity requirements has or would have the effect of reducing the rate of return on such Lender’s or such Issuing Bank’s capital or on the capital of such Lender’s or such Issuing Bank’s holding company, if any, as a consequence of this Agreement, the Commitments hereunder or the Loans made by such Lender or the Letter of Credit issued by such Issuing Bank to a level below that which such Lender or such Lender’s holding company or such Issuing Bank or such Issuing Bank’s holding company could have achieved but for such Change in Law (taking into consideration such Lender’s or such Issuing Bank’s policies and the policies of such Lender’s or such Issuing Bank’s holding company with respect to capital adequacy or liquidity requirements), then from time to time the Borrower will pay to such Lender or such Issuing Bank such additional amount or amounts as will compensate such Lender or such Lender’s holding company for any such reduction suffered.</w:t>
      </w:r>
    </w:p>
    <w:p>
      <w:pPr>
        <w:spacing w:after="0" w:line="19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an Issuing Bank setting forth in reasonable detail the amount or amounts necessary to compensate such Lender or its respective holding company, as the case may be, as specified in paragraph (a) or (b) of this Section shall be delivered to the Borrower and shall be conclusive absent manifest error. The Borrower shall pay such Lender or such Issuing Bank the amount shown as due on any such certificate within 10 days after receipt thereof.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required to compensate a Lender pursuant to this Section for any increased costs or reductions incurred more than 180 days prior to the date that such Lender or such Issuing Bank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19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28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Loans that are not RFR Loans, in the event of (i) the payment or prepayment of any principal of any Term SOFR Loan, EURIBOR Loan or Term CORRA Loan other than on the last day of an Interest Period applicable thereto (whether voluntary, mandatory, automatic, by reason of acceleration, or otherwise), (ii) the conversion of any Term SOFR Loan, EURIBOR Loan or Term CORRA Loan other than on the last day of the Interest Period applicable thereto, (iii) the failure to borrow, convert, continue or prepay any Term SOFR Loan, EURIBOR Loan or Term CORRA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and is revoked in accordance therewith), or (iv) the assignment of any Term SOFR Loan, EURIBOR Loan or Term CORRA Loan other than on the last day of 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then, in any such event, the Borrower shall compensate each Lender for the loss, cost and expense attributable to such event. In the case of a Term SOFR Loan, EURIBOR Loan or Term CORRA Loan such loss, cost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20"/>
          <w:szCs w:val="20"/>
          <w:color w:val="auto"/>
        </w:rPr>
        <w:t>expense to any Lender shall be deemed to include an amount determined by such Lender to be the excess, if any, of (i) the amount of interest which would have accrued on the principal amount of such Loan had such event not occurred, at Adjusted Term SOFR, the Adjusted EURIBO Rate or Term CORRA,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applicable offshore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96" w:lineRule="exact"/>
        <w:rPr>
          <w:sz w:val="20"/>
          <w:szCs w:val="20"/>
          <w:color w:val="auto"/>
        </w:rPr>
      </w:pPr>
    </w:p>
    <w:p>
      <w:pPr>
        <w:jc w:val="both"/>
        <w:ind w:firstLine="656"/>
        <w:spacing w:after="0" w:line="250" w:lineRule="auto"/>
        <w:tabs>
          <w:tab w:leader="none" w:pos="12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and is revoked in accordance therewith), (iii) the assignment of any RFR Loan other than on the Interest Payment Date applicable thereto as a result of a request by the Borrower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(iv) the failure by the Borrower to make any payment of any Loan or drawing under any Letter of Credit (or interest due thereof) denominated in a Permitted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free and clear of and without deduction or withholding for any Taxes, except as required by law. If any applicable law (as determined in the good faith discretion of an applicable Withholding Agent) requires the deduction or withholding of any Tax from any such payment by a Withholding Agent, then the applicable Withholding Agent shall make such deduction or withholding and timely pay the full amount deducted or withheld to the relevant Governmental Authority in accordance with applicable law and, if such Tax is an Indemnified Tax, then the sum payable by the applicable Loan Party shall be increased as necessary so that after making such deduction or withholding for Indemnified Taxes (including such deductions and withholdings for Indemnified Taxes applicable to additional sums payable under this Section) the Administrative Agent or Lender (as the case may be) receives an amount equal to the sum it would have received had no such deduction or withholding for Indemnified Taxes been made.</w:t>
      </w:r>
    </w:p>
    <w:p>
      <w:pPr>
        <w:spacing w:after="0" w:line="182" w:lineRule="exact"/>
        <w:rPr>
          <w:sz w:val="20"/>
          <w:szCs w:val="20"/>
          <w:color w:val="auto"/>
        </w:rPr>
      </w:pPr>
    </w:p>
    <w:p>
      <w:pPr>
        <w:ind w:firstLine="656"/>
        <w:spacing w:after="0" w:line="283" w:lineRule="auto"/>
        <w:tabs>
          <w:tab w:leader="none" w:pos="128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Loan Parties shall timely pay to the relevant Governmental Authority in accordance with applicable law or, at the option of the Administrative Agent, timely reimburse it for the payment of any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656"/>
        <w:spacing w:after="0" w:line="251" w:lineRule="auto"/>
        <w:tabs>
          <w:tab w:leader="none" w:pos="1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jointly and severally indemnify the Administrative Agent and each Lender, within 10 days after demand therefor, for the full amount of any Indemnified Taxes paid by the Administrative Agent or such Lender, as the case may be, or required to be withheld or deducted from any payment by or on account of any obligation of the Borrower hereunder (including Indemnified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severally indemnify the Administrative Agent, within 10 days after demand therefor, for (i) any Indemnified Taxes attributable to such Lender (but only to the extent that the Loan Parties have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9.04(c)(iii)</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96"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Taxes by any Loan Party to a Governmental Authority pursuant to this Section 2.14,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6" w:lineRule="exact"/>
        <w:rPr>
          <w:sz w:val="20"/>
          <w:szCs w:val="20"/>
          <w:color w:val="auto"/>
        </w:rPr>
      </w:pPr>
    </w:p>
    <w:p>
      <w:pPr>
        <w:jc w:val="both"/>
        <w:ind w:firstLine="656"/>
        <w:spacing w:after="0" w:line="263" w:lineRule="auto"/>
        <w:tabs>
          <w:tab w:leader="none" w:pos="1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Any Lender that is entitled to an exemption from or reduction of withholding Tax with respect to payments made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2.14(f)(ii)(A)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66" w:name="page67"/>
    <w:bookmarkEnd w:id="66"/>
    <w:p>
      <w:pPr>
        <w:ind w:left="640" w:hanging="456"/>
        <w:spacing w:after="0"/>
        <w:tabs>
          <w:tab w:leader="none" w:pos="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Without limiting the generality of the foregoing, as long as the Borrower is a U.S. Person:</w:t>
      </w:r>
    </w:p>
    <w:p>
      <w:pPr>
        <w:spacing w:after="0" w:line="206" w:lineRule="exact"/>
        <w:rPr>
          <w:rFonts w:ascii="Times New Roman" w:cs="Times New Roman" w:eastAsia="Times New Roman" w:hAnsi="Times New Roman"/>
          <w:sz w:val="22"/>
          <w:szCs w:val="22"/>
          <w:color w:val="auto"/>
        </w:rPr>
      </w:pPr>
    </w:p>
    <w:p>
      <w:pPr>
        <w:jc w:val="both"/>
        <w:ind w:left="-460" w:firstLine="1292"/>
        <w:spacing w:after="0" w:line="254" w:lineRule="auto"/>
        <w:tabs>
          <w:tab w:leader="none" w:pos="147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7"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47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if it is legally entitled to do so, shall deliver to the Borrower and the Administrative Agent (in such number of copies as shall be required by law or requested by the recipient) on or prior to the date on which such Foreign Lender becomes a Lender under this Agreement (and from time to time thereafter as required by law or upon the reasonable request of the Borrower or the Administrative Agent, but only if such Foreign Lender is legally entitled to do so), whichever of the following is applicable:</w:t>
      </w:r>
    </w:p>
    <w:p>
      <w:pPr>
        <w:spacing w:after="0" w:line="191" w:lineRule="exact"/>
        <w:rPr>
          <w:rFonts w:ascii="Times New Roman" w:cs="Times New Roman" w:eastAsia="Times New Roman" w:hAnsi="Times New Roman"/>
          <w:sz w:val="20"/>
          <w:szCs w:val="20"/>
          <w:color w:val="auto"/>
        </w:rPr>
      </w:pPr>
    </w:p>
    <w:p>
      <w:pPr>
        <w:jc w:val="both"/>
        <w:ind w:left="180" w:firstLine="976"/>
        <w:spacing w:after="0" w:line="253" w:lineRule="auto"/>
        <w:tabs>
          <w:tab w:leader="none" w:pos="1466"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IRS Form W-8BEN, as applicable, establishing an exemption from, or reduction of, U.S. federal withholding Tax pursuant to the “interest” article of such tax treaty and (y) with respect to any other applicable payments under any Loan Document, IRS Form W-8BEN-E or IRS Form W-8BEN, as applicable, establishing an exemption from, or reduction of, U.S. federal withholding Tax pursuant to the “business profits” or “other income” article of such tax treaty;</w:t>
      </w:r>
    </w:p>
    <w:p>
      <w:pPr>
        <w:spacing w:after="0" w:line="192" w:lineRule="exact"/>
        <w:rPr>
          <w:rFonts w:ascii="Times New Roman" w:cs="Times New Roman" w:eastAsia="Times New Roman" w:hAnsi="Times New Roman"/>
          <w:sz w:val="20"/>
          <w:szCs w:val="20"/>
          <w:color w:val="auto"/>
        </w:rPr>
      </w:pPr>
    </w:p>
    <w:p>
      <w:pPr>
        <w:ind w:left="1460" w:hanging="304"/>
        <w:spacing w:after="0"/>
        <w:tabs>
          <w:tab w:leader="none" w:pos="1460"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180" w:firstLine="976"/>
        <w:spacing w:after="0" w:line="253" w:lineRule="auto"/>
        <w:tabs>
          <w:tab w:leader="none" w:pos="1466"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xml:space="preserve"> to the effect that such Foreign Lender is not (A) a “bank” within the meaning of Section 881(c)(3)(A) of the Code, (B) a “10 percent shareholder” of the Borrower within the meaning of Section 881(c)(3)(B) of the Code, or (C) a “controlled foreign corporation” related to the Loan Parties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W-8BEN-E or IRS Form W-8BEN, as applicable; or</w:t>
      </w:r>
    </w:p>
    <w:p>
      <w:pPr>
        <w:spacing w:after="0" w:line="192" w:lineRule="exact"/>
        <w:rPr>
          <w:rFonts w:ascii="Times New Roman" w:cs="Times New Roman" w:eastAsia="Times New Roman" w:hAnsi="Times New Roman"/>
          <w:sz w:val="20"/>
          <w:szCs w:val="20"/>
          <w:color w:val="auto"/>
        </w:rPr>
      </w:pPr>
    </w:p>
    <w:p>
      <w:pPr>
        <w:jc w:val="both"/>
        <w:ind w:left="180" w:firstLine="976"/>
        <w:spacing w:after="0" w:line="253" w:lineRule="auto"/>
        <w:tabs>
          <w:tab w:leader="none" w:pos="1464"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IRS Form W-8BEN, as applicable, a U.S. Tax Compliance Certificate substantially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H-3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a U.S. Tax Compliance Certificate substantially in the form of </w:t>
      </w:r>
      <w:r>
        <w:rPr>
          <w:rFonts w:ascii="Times New Roman" w:cs="Times New Roman" w:eastAsia="Times New Roman" w:hAnsi="Times New Roman"/>
          <w:sz w:val="20"/>
          <w:szCs w:val="20"/>
          <w:u w:val="single" w:color="auto"/>
          <w:color w:val="auto"/>
        </w:rPr>
        <w:t>Exhibit H-4</w:t>
      </w:r>
      <w:r>
        <w:rPr>
          <w:rFonts w:ascii="Times New Roman" w:cs="Times New Roman" w:eastAsia="Times New Roman" w:hAnsi="Times New Roman"/>
          <w:sz w:val="20"/>
          <w:szCs w:val="20"/>
          <w:color w:val="auto"/>
        </w:rPr>
        <w:t xml:space="preserve"> on behalf of such direct or indirect partner or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120"/>
          </w:cols>
          <w:pgMar w:left="1440" w:top="1440" w:right="339" w:bottom="1440" w:gutter="0" w:footer="0" w:header="0"/>
        </w:sectPr>
      </w:pPr>
    </w:p>
    <w:bookmarkStart w:id="67" w:name="page68"/>
    <w:bookmarkEnd w:id="67"/>
    <w:p>
      <w:pPr>
        <w:spacing w:after="0" w:line="189" w:lineRule="exact"/>
        <w:rPr>
          <w:sz w:val="20"/>
          <w:szCs w:val="20"/>
          <w:color w:val="auto"/>
        </w:rPr>
      </w:pPr>
    </w:p>
    <w:p>
      <w:pPr>
        <w:jc w:val="both"/>
        <w:ind w:left="660" w:firstLine="1292"/>
        <w:spacing w:after="0" w:line="253" w:lineRule="auto"/>
        <w:tabs>
          <w:tab w:leader="none" w:pos="259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Times New Roman" w:cs="Times New Roman" w:eastAsia="Times New Roman" w:hAnsi="Times New Roman"/>
          <w:sz w:val="20"/>
          <w:szCs w:val="20"/>
          <w:color w:val="auto"/>
        </w:rPr>
      </w:pPr>
    </w:p>
    <w:p>
      <w:pPr>
        <w:jc w:val="both"/>
        <w:ind w:left="660" w:firstLine="1292"/>
        <w:spacing w:after="0" w:line="252" w:lineRule="auto"/>
        <w:tabs>
          <w:tab w:leader="none" w:pos="259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shall include any amendments made to FATCA after the date of this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8" w:lineRule="exact"/>
        <w:rPr>
          <w:sz w:val="20"/>
          <w:szCs w:val="20"/>
          <w:color w:val="auto"/>
        </w:rPr>
      </w:pPr>
    </w:p>
    <w:p>
      <w:pPr>
        <w:jc w:val="both"/>
        <w:ind w:firstLine="656"/>
        <w:spacing w:after="0" w:line="250" w:lineRule="auto"/>
        <w:tabs>
          <w:tab w:leader="none" w:pos="1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or the Administrative Agent determines, in its sole discretion exercised in good faith, that it has received a refund of any Taxes as to which it has been indemnified by any Loan Party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it shall pay to the applicable Loan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applicable Loan Party, upon the request of such Lender or the Administrative Agent, as applicable, shall repay to such Lender or the Administrative Agent, as the case may be, the amount paid over pursuant to this paragraph (g) (plus any penalties, interest or other charges imposed by the relevant Governmental Authority) in the event that such Lender or the Administrative Agent, as applicable, is required to repay such refund to such Governmental Authority. Notwithstanding anything to the contrary in this paragraph (g), in no event will a Lender or the Administrative Agent be required to pay any amount to a Loan Party pursuant to this paragraph (g), the payment of which would place the Lender or the Administrative Agent, as applicable, in a less favorable net after-Tax position than the Lender or the Administrative Agent, as the case may be, would have been in if the Tax subject to indemnification and giving rise to such refund had not been deducted, withheld or otherwise imposed and the indemnification payments or additional amounts with respect to such Tax had never been paid. This paragraph (g) shall not be construed to require any Lender or the Administrative Agent to make available its Tax returns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any other information relating to its Taxes that it deems confidential) to the Loan Party or any other Person.</w:t>
      </w:r>
    </w:p>
    <w:p>
      <w:pPr>
        <w:spacing w:after="0" w:line="229"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all purposes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the term “Lender” includes and shall apply equally to the benefit of each Issuing Bank.</w:t>
      </w:r>
    </w:p>
    <w:p>
      <w:pPr>
        <w:spacing w:after="0" w:line="227"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Payments Generally; Pro Rata Treatment; Sharing of Set-Off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shall make each payment required to be made by it hereunder (whether of principal, interest or fees, or of amounts payable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otherwise) prior to 1:00 p.m.,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Principal Office and except that payments pursuant to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of principal or interest in respect of any Loan or Letter of Credit shall, except as otherwise expressly provided herein, be made in the currency of such Loan or Letter of Credit; all other payments hereunder and under each other Loan Document shall be made in dollars.</w:t>
      </w:r>
    </w:p>
    <w:p>
      <w:pPr>
        <w:spacing w:after="0" w:line="184" w:lineRule="exact"/>
        <w:rPr>
          <w:sz w:val="20"/>
          <w:szCs w:val="20"/>
          <w:color w:val="auto"/>
        </w:rPr>
      </w:pPr>
    </w:p>
    <w:p>
      <w:pPr>
        <w:jc w:val="both"/>
        <w:ind w:firstLine="656"/>
        <w:spacing w:after="0" w:line="253"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91" w:lineRule="exact"/>
        <w:rPr>
          <w:rFonts w:ascii="Times New Roman" w:cs="Times New Roman" w:eastAsia="Times New Roman" w:hAnsi="Times New Roman"/>
          <w:sz w:val="20"/>
          <w:szCs w:val="20"/>
          <w:color w:val="auto"/>
        </w:rPr>
      </w:pPr>
    </w:p>
    <w:p>
      <w:pPr>
        <w:jc w:val="both"/>
        <w:ind w:firstLine="656"/>
        <w:spacing w:after="0" w:line="266" w:lineRule="auto"/>
        <w:tabs>
          <w:tab w:leader="none" w:pos="128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shall, by exercising any right of set 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if any such participations are purchased and all or any portion of the payment giving rise thereto is recovered,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(including the application of funds arising from the existence of a Defaulting Lender) or any payment obtained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69" w:name="page70"/>
    <w:bookmarkEnd w:id="69"/>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2" w:lineRule="exact"/>
        <w:rPr>
          <w:sz w:val="20"/>
          <w:szCs w:val="20"/>
          <w:color w:val="auto"/>
        </w:rPr>
      </w:pPr>
    </w:p>
    <w:p>
      <w:pPr>
        <w:jc w:val="both"/>
        <w:ind w:firstLine="656"/>
        <w:spacing w:after="0" w:line="251" w:lineRule="auto"/>
        <w:tabs>
          <w:tab w:leader="none" w:pos="128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5" w:lineRule="exact"/>
        <w:rPr>
          <w:rFonts w:ascii="Times New Roman" w:cs="Times New Roman" w:eastAsia="Times New Roman" w:hAnsi="Times New Roman"/>
          <w:sz w:val="20"/>
          <w:szCs w:val="20"/>
          <w:color w:val="auto"/>
        </w:rPr>
      </w:pPr>
    </w:p>
    <w:p>
      <w:pPr>
        <w:jc w:val="both"/>
        <w:ind w:firstLine="656"/>
        <w:spacing w:after="0" w:line="276" w:lineRule="auto"/>
        <w:tabs>
          <w:tab w:leader="none" w:pos="128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or any Issuing Bank shall fail to make any payment required to be made by it pursuant to </w:t>
      </w:r>
      <w:r>
        <w:rPr>
          <w:rFonts w:ascii="Times New Roman" w:cs="Times New Roman" w:eastAsia="Times New Roman" w:hAnsi="Times New Roman"/>
          <w:sz w:val="19"/>
          <w:szCs w:val="19"/>
          <w:u w:val="single" w:color="auto"/>
          <w:color w:val="auto"/>
        </w:rPr>
        <w:t>Section 2.04(b)</w:t>
      </w:r>
      <w:r>
        <w:rPr>
          <w:rFonts w:ascii="Times New Roman" w:cs="Times New Roman" w:eastAsia="Times New Roman" w:hAnsi="Times New Roman"/>
          <w:sz w:val="19"/>
          <w:szCs w:val="19"/>
          <w:color w:val="auto"/>
        </w:rPr>
        <w:t xml:space="preserve"> or paragraph (d) of this Section, then the Administrative Agent may, in its discretion (notwithstanding any contrary provision hereof), apply any amounts thereafter received by the Administrative Agent for the account of such Lender or such Issuing Bank, as the case may be, to satisfy such Lender’s or such Issuing Bank’s, as applicable, obligations under such Sections until all such unsatisfied obligations are fully paid.</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Before any Lender requests compensation under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or requires the Borrower to pay any Indemnified Tax or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4" w:lineRule="exact"/>
        <w:rPr>
          <w:sz w:val="20"/>
          <w:szCs w:val="20"/>
          <w:color w:val="auto"/>
        </w:rPr>
      </w:pPr>
    </w:p>
    <w:p>
      <w:pPr>
        <w:jc w:val="both"/>
        <w:ind w:firstLine="656"/>
        <w:spacing w:after="0" w:line="251"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(ii) the Borrower is required to pay any Indemnified Tax or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(iii) any Lender gives notice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or (iv)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(other than its existing rights to payments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 shall have received payment of an amount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outstanding principal of its Loans, accrued interest thereon, accrued fees and all other amounts payable to it hereunder and under the other Loan Documents, from the assignee (to the extent of such outstanding principal and accrued interest and fees so assigned) or the Borrower (in the case of all other amounts so assigned), (ii) in the case of any such assignment resulting from a claim for compensation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such assignment will result in a reduction in such compensation or payments or, in the case of an assignment resulting from notice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such assignment will eliminate the need for such notice,</w:t>
      </w:r>
    </w:p>
    <w:p>
      <w:pPr>
        <w:spacing w:after="0" w:line="2" w:lineRule="exact"/>
        <w:rPr>
          <w:sz w:val="20"/>
          <w:szCs w:val="20"/>
          <w:color w:val="auto"/>
        </w:rPr>
      </w:pPr>
    </w:p>
    <w:p>
      <w:pPr>
        <w:jc w:val="both"/>
        <w:ind w:firstLine="8"/>
        <w:spacing w:after="0" w:line="263" w:lineRule="auto"/>
        <w:tabs>
          <w:tab w:leader="none" w:pos="36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assignment does not conflict with applicable law, (iv) in the case of any assignment resulting from a Lender becoming a Non-Consenting Lender, (x) the applicable assignee shall have consented to, or shall consent to, the applicable amendment, waiver or consent and</w:t>
      </w:r>
    </w:p>
    <w:p>
      <w:pPr>
        <w:jc w:val="both"/>
        <w:ind w:firstLine="8"/>
        <w:spacing w:after="0" w:line="251" w:lineRule="auto"/>
        <w:tabs>
          <w:tab w:leader="none" w:pos="31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exercises its rights pursuant to this clause (b) with respect to all Non-Consenting Lenders relating to the applicable amendment, waiver or consent and (v) 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0"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grants to the Administrative Agent an irrevocable power of attorney (which power is coupled with an interest) to execute and deliver, on behalf of such Lender, as assignor, any Assignment and Assumption necessary to effectuate any assignment of such Lender’s interests hereunder in the circumstances contemplated by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Notwithstanding anything to the contrary contained in this Agreement, if any Lender becomes a Defaulting Lender, then, until such time as such Lender is no longer a Defaulting Lender, to the extent permitted by applicable law:</w:t>
      </w:r>
    </w:p>
    <w:p>
      <w:pPr>
        <w:spacing w:after="0" w:line="200" w:lineRule="exact"/>
        <w:rPr>
          <w:sz w:val="20"/>
          <w:szCs w:val="20"/>
          <w:color w:val="auto"/>
        </w:rPr>
      </w:pPr>
    </w:p>
    <w:p>
      <w:pPr>
        <w:spacing w:after="0" w:line="204" w:lineRule="exact"/>
        <w:rPr>
          <w:sz w:val="20"/>
          <w:szCs w:val="20"/>
          <w:color w:val="auto"/>
        </w:rPr>
      </w:pPr>
    </w:p>
    <w:p>
      <w:pPr>
        <w:ind w:firstLine="1304"/>
        <w:spacing w:after="0" w:line="283" w:lineRule="auto"/>
        <w:tabs>
          <w:tab w:leader="none" w:pos="182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Defaulting Lender’s right to approve or disapprove any amendment, waiver or consent with respect to this Agreement shall be restricted as set forth in the definition of Required Lenders and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3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Banks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the Issuing Banks’ Fronting Exposure with respect to such Defaulting Lender in accordance with </w:t>
      </w:r>
      <w:r>
        <w:rPr>
          <w:rFonts w:ascii="Times New Roman" w:cs="Times New Roman" w:eastAsia="Times New Roman" w:hAnsi="Times New Roman"/>
          <w:sz w:val="20"/>
          <w:szCs w:val="20"/>
          <w:u w:val="single" w:color="auto"/>
          <w:color w:val="auto"/>
        </w:rPr>
        <w:t>Section 2.20(i)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non-interest bearing deposit account and released pro rata in order to satisfy (x)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the procedures set forth in </w:t>
      </w:r>
      <w:r>
        <w:rPr>
          <w:rFonts w:ascii="Times New Roman" w:cs="Times New Roman" w:eastAsia="Times New Roman" w:hAnsi="Times New Roman"/>
          <w:sz w:val="20"/>
          <w:szCs w:val="20"/>
          <w:u w:val="single" w:color="auto"/>
          <w:color w:val="auto"/>
        </w:rPr>
        <w:t>Section 2.20(i)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the payment of any amounts owing to the Lenders or the Issuing Banks as a result of any judgment of a court of competent jurisdiction obtained by any Lender or any Issuing Bank against such Defaulting Lender as a result of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Letter of Credit Disbursements in respect of which such Defaulting Lender has not fully funded its appropriate share and (y) such Loans, and funded and unfunded participations in Letters of Credit, were made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or waived, such payment shall be applied solely to pay the Loans and Letter of Credit Disbursements to all Non-Defaulting Lenders on a pro rata basis prior to being applied to the payment of any Loans or Letter of Credit Disbursements of such Defaulting Lender until such time as all Loans and funded and unfunded participations in Letter of Credit Obligations, without giving effect to </w:t>
      </w:r>
      <w:r>
        <w:rPr>
          <w:rFonts w:ascii="Times New Roman" w:cs="Times New Roman" w:eastAsia="Times New Roman" w:hAnsi="Times New Roman"/>
          <w:sz w:val="19"/>
          <w:szCs w:val="19"/>
          <w:u w:val="single" w:color="auto"/>
          <w:color w:val="auto"/>
        </w:rPr>
        <w:t>Section 2.17(a)(iv)</w:t>
      </w:r>
      <w:r>
        <w:rPr>
          <w:rFonts w:ascii="Times New Roman" w:cs="Times New Roman" w:eastAsia="Times New Roman" w:hAnsi="Times New Roman"/>
          <w:sz w:val="19"/>
          <w:szCs w:val="19"/>
          <w:color w:val="auto"/>
        </w:rPr>
        <w:t xml:space="preserve">, are held by the Lenders pro rata in accordance with the Revolving Commitments without giving effect to </w:t>
      </w:r>
      <w:r>
        <w:rPr>
          <w:rFonts w:ascii="Times New Roman" w:cs="Times New Roman" w:eastAsia="Times New Roman" w:hAnsi="Times New Roman"/>
          <w:sz w:val="19"/>
          <w:szCs w:val="19"/>
          <w:u w:val="single" w:color="auto"/>
          <w:color w:val="auto"/>
        </w:rPr>
        <w:t>Section 2.17(a)(iv)</w:t>
      </w:r>
      <w:r>
        <w:rPr>
          <w:rFonts w:ascii="Times New Roman" w:cs="Times New Roman" w:eastAsia="Times New Roman" w:hAnsi="Times New Roman"/>
          <w:sz w:val="19"/>
          <w:szCs w:val="19"/>
          <w:color w:val="auto"/>
        </w:rPr>
        <w:t>.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w:t>
      </w:r>
    </w:p>
    <w:p>
      <w:pPr>
        <w:spacing w:after="0" w:line="183" w:lineRule="exact"/>
        <w:rPr>
          <w:sz w:val="20"/>
          <w:szCs w:val="20"/>
          <w:color w:val="auto"/>
        </w:rPr>
      </w:pPr>
    </w:p>
    <w:p>
      <w:pPr>
        <w:jc w:val="both"/>
        <w:ind w:firstLine="1304"/>
        <w:spacing w:after="0" w:line="270" w:lineRule="auto"/>
        <w:tabs>
          <w:tab w:leader="none" w:pos="185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No Defaulting Lender shall be entitled to receive any commitment fee pursuant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for any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during which that Lender is a Defaulting Lender (and the Borrower shall not be required to pay any such fee that otherwise would have been required to have been paid to that Defaulting Lender).</w:t>
      </w:r>
    </w:p>
    <w:p>
      <w:pPr>
        <w:spacing w:after="0" w:line="173"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595"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Commitment Fee or Letter of Credit Fee not required to be paid to any Defaulting Lender pursuant to clause (A) above, the Borrower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87" w:lineRule="exact"/>
        <w:rPr>
          <w:rFonts w:ascii="Times New Roman" w:cs="Times New Roman" w:eastAsia="Times New Roman" w:hAnsi="Times New Roman"/>
          <w:sz w:val="20"/>
          <w:szCs w:val="20"/>
          <w:color w:val="auto"/>
        </w:rPr>
      </w:pPr>
    </w:p>
    <w:p>
      <w:pPr>
        <w:jc w:val="both"/>
        <w:ind w:firstLine="1304"/>
        <w:spacing w:after="0" w:line="265" w:lineRule="auto"/>
        <w:tabs>
          <w:tab w:leader="none" w:pos="190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Reallocation of Participations to Reduce Fronting Exposure. So long as no Default or Event of Default has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occurred and is continuing, all or any part of such Defaulting Lender’s participation in Letters of Credit shall be reallocated among the Non-Defaulting Lenders in accordance with their respective Applicable Percentages (calculated without regard to such Defaulting Lender’s Revolving Commitment) but only to the extent that such reallocation does not cause the Total Exposure of any Non-Defaulting Lender to exceed such Non-Defaulting Lender’s Revolving Commitment. Subject to </w:t>
      </w:r>
      <w:r>
        <w:rPr>
          <w:rFonts w:ascii="Times New Roman" w:cs="Times New Roman" w:eastAsia="Times New Roman" w:hAnsi="Times New Roman"/>
          <w:sz w:val="19"/>
          <w:szCs w:val="19"/>
          <w:u w:val="single" w:color="auto"/>
          <w:color w:val="auto"/>
        </w:rPr>
        <w:t>Section 9.18</w:t>
      </w:r>
      <w:r>
        <w:rPr>
          <w:rFonts w:ascii="Times New Roman" w:cs="Times New Roman" w:eastAsia="Times New Roman" w:hAnsi="Times New Roman"/>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9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reallocation described in clause (A) above cannot, or can only partially, be effected, the Borrower shall within one Business Day following notice by the Administrative Agent, Cash Collateralize for the benefit of the applicable Issuing Bank only the Borrower’s obligations corresponding to such Defaulting Lender’s Letter of Credit Usage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09" w:right="339" w:bottom="1440" w:gutter="0" w:footer="0" w:header="0"/>
        </w:sectPr>
      </w:pPr>
    </w:p>
    <w:bookmarkStart w:id="72" w:name="page73"/>
    <w:bookmarkEnd w:id="72"/>
    <w:p>
      <w:pPr>
        <w:spacing w:after="0" w:line="18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 xml:space="preserve">giving effect to any partial reallocation pursuant to clause (A) above) in accordance with the procedures set forth in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for so long as such Letter of Credit Usage is outstanding;</w:t>
      </w:r>
    </w:p>
    <w:p>
      <w:pPr>
        <w:spacing w:after="0" w:line="146" w:lineRule="exact"/>
        <w:rPr>
          <w:sz w:val="20"/>
          <w:szCs w:val="20"/>
          <w:color w:val="auto"/>
        </w:rPr>
      </w:pPr>
    </w:p>
    <w:p>
      <w:pPr>
        <w:jc w:val="both"/>
        <w:ind w:left="660" w:firstLine="1292"/>
        <w:spacing w:after="0" w:line="258" w:lineRule="auto"/>
        <w:tabs>
          <w:tab w:leader="none" w:pos="259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Cash Collateralizes any portion of such Defaulting Lender’s Letter of Credit Usage pursuant to clause (B) above, the Borrower shall not be required to pay any fees to such Defaulting Lender pursuant to </w:t>
      </w:r>
      <w:r>
        <w:rPr>
          <w:rFonts w:ascii="Times New Roman" w:cs="Times New Roman" w:eastAsia="Times New Roman" w:hAnsi="Times New Roman"/>
          <w:sz w:val="20"/>
          <w:szCs w:val="20"/>
          <w:u w:val="single" w:color="auto"/>
          <w:color w:val="auto"/>
        </w:rPr>
        <w:t>Section 2.09(a)(ii)</w:t>
      </w:r>
      <w:r>
        <w:rPr>
          <w:rFonts w:ascii="Times New Roman" w:cs="Times New Roman" w:eastAsia="Times New Roman" w:hAnsi="Times New Roman"/>
          <w:sz w:val="20"/>
          <w:szCs w:val="20"/>
          <w:color w:val="auto"/>
        </w:rPr>
        <w:t xml:space="preserve"> with respect to such Defaulting Lender’s Letter of Credit Usage during the period such Defaulting Lender’s Letter of Credit Usage is Cash Collateralized;</w:t>
      </w:r>
    </w:p>
    <w:p>
      <w:pPr>
        <w:spacing w:after="0" w:line="185"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9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Letter of Credit Usage of the non-Defaulting Lenders is reallocated pursuant to clause (A) above, then the fees payable to the Lenders pursuant to </w:t>
      </w:r>
      <w:r>
        <w:rPr>
          <w:rFonts w:ascii="Times New Roman" w:cs="Times New Roman" w:eastAsia="Times New Roman" w:hAnsi="Times New Roman"/>
          <w:sz w:val="20"/>
          <w:szCs w:val="20"/>
          <w:u w:val="single" w:color="auto"/>
          <w:color w:val="auto"/>
        </w:rPr>
        <w:t>Section 2.09(a)(ii)</w:t>
      </w:r>
      <w:r>
        <w:rPr>
          <w:rFonts w:ascii="Times New Roman" w:cs="Times New Roman" w:eastAsia="Times New Roman" w:hAnsi="Times New Roman"/>
          <w:sz w:val="20"/>
          <w:szCs w:val="20"/>
          <w:color w:val="auto"/>
        </w:rPr>
        <w:t xml:space="preserve"> shall be adjusted in accordance with such non-Defaulting Lenders’ Applicable Percentages; and</w:t>
      </w:r>
    </w:p>
    <w:p>
      <w:pPr>
        <w:spacing w:after="0" w:line="167" w:lineRule="exact"/>
        <w:rPr>
          <w:rFonts w:ascii="Times New Roman" w:cs="Times New Roman" w:eastAsia="Times New Roman" w:hAnsi="Times New Roman"/>
          <w:sz w:val="20"/>
          <w:szCs w:val="20"/>
          <w:color w:val="auto"/>
        </w:rPr>
      </w:pPr>
    </w:p>
    <w:p>
      <w:pPr>
        <w:jc w:val="both"/>
        <w:ind w:left="660" w:firstLine="1292"/>
        <w:spacing w:after="0" w:line="257" w:lineRule="auto"/>
        <w:tabs>
          <w:tab w:leader="none" w:pos="26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Defaulting Lender’s Letter of Credit Usage is neither reallocated nor Cash Collateralized pursuant to clause (A) or (B) above, then, without prejudice to any rights or remedies of any Issuing Bank or any other Lender hereunder, all fees payable under </w:t>
      </w:r>
      <w:r>
        <w:rPr>
          <w:rFonts w:ascii="Times New Roman" w:cs="Times New Roman" w:eastAsia="Times New Roman" w:hAnsi="Times New Roman"/>
          <w:sz w:val="20"/>
          <w:szCs w:val="20"/>
          <w:u w:val="single" w:color="auto"/>
          <w:color w:val="auto"/>
        </w:rPr>
        <w:t>Section 2.09(a)(ii)</w:t>
      </w:r>
      <w:r>
        <w:rPr>
          <w:rFonts w:ascii="Times New Roman" w:cs="Times New Roman" w:eastAsia="Times New Roman" w:hAnsi="Times New Roman"/>
          <w:sz w:val="20"/>
          <w:szCs w:val="20"/>
          <w:color w:val="auto"/>
        </w:rPr>
        <w:t xml:space="preserve"> with respect to such Defaulting Lender’s Letter of Credit Usage shall be payable to the applicable Issuing Bank until and to the extent that such Letter of Credit Usage is reallocated and/or Cash Collateralized.</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the Administrative Agent and the Issuing Banks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respective Applicable Percentages,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7"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Bankruptcy Event with respect to a parent of any Lender shall occur following the date hereof and for so long as such event shall continue or any Issuing Bank has a good faith belief that any Lender has defaulted in fulfilling its obligations under one or more other agreements in which such Lender commits to extend credit, such Issuing Bank shall not be required to issue, amend or increase any Letter of Credit, unless such Issuing Bank shall have entered into arrangements with the Borrower or such Lender, reasonably satisfactory to such Issuing Bank, to defease any risk to it in respect of such Lender hereunder.</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Section 2.18 </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may by written notice to the Administrative Agent elect to request, prior to the Maturity Date, one or more increases to the existing Revolving Commitments (any such increase, the “</w:t>
      </w:r>
      <w:r>
        <w:rPr>
          <w:rFonts w:ascii="Times New Roman" w:cs="Times New Roman" w:eastAsia="Times New Roman" w:hAnsi="Times New Roman"/>
          <w:sz w:val="20"/>
          <w:szCs w:val="20"/>
          <w:b w:val="1"/>
          <w:bCs w:val="1"/>
          <w:color w:val="auto"/>
        </w:rPr>
        <w:t>New Commitments</w:t>
      </w:r>
      <w:r>
        <w:rPr>
          <w:rFonts w:ascii="Times New Roman" w:cs="Times New Roman" w:eastAsia="Times New Roman" w:hAnsi="Times New Roman"/>
          <w:sz w:val="20"/>
          <w:szCs w:val="20"/>
          <w:color w:val="auto"/>
        </w:rPr>
        <w:t xml:space="preserve">”), by an aggregate amount for all New Commitments not in excess of the Incremental Available Amount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determined as of the date of effectiveness of such New Commitments) and not less than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73" w:name="page74"/>
    <w:bookmarkEnd w:id="7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individually (or such lesser amount which shall be approved by the Administrative Agent or that shall constitute the remaining amount of New Commitments permitted to be incurred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at such time), and integral multiples of $25,000,000 in excess of that amount. Each such notice shall specify (A) the date (each, an “</w:t>
      </w:r>
      <w:r>
        <w:rPr>
          <w:rFonts w:ascii="Times New Roman" w:cs="Times New Roman" w:eastAsia="Times New Roman" w:hAnsi="Times New Roman"/>
          <w:sz w:val="20"/>
          <w:szCs w:val="20"/>
          <w:b w:val="1"/>
          <w:bCs w:val="1"/>
          <w:color w:val="auto"/>
        </w:rPr>
        <w:t>Increased Amount Date</w:t>
      </w:r>
      <w:r>
        <w:rPr>
          <w:rFonts w:ascii="Times New Roman" w:cs="Times New Roman" w:eastAsia="Times New Roman" w:hAnsi="Times New Roman"/>
          <w:sz w:val="20"/>
          <w:szCs w:val="20"/>
          <w:color w:val="auto"/>
        </w:rPr>
        <w:t xml:space="preserve">”) on which Borrower proposes that the New Commitments shall be effective, which shall be a date not less than 10 Business Days (or such shorter period as the Administrative Agent may agree in its reasonable discretion) after the date on which such notice is delivered to the Administrative Agent and which may be contingent upon the closing of an acquisition or other transaction and (B) the identity of each Lender or other Person that is an eligible assignee under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xml:space="preserve">, subject to approval thereof by the Administrative Agent and the Issuing Banks in the case of a Person that is not a Lender, to the extent such approval is required in the case of an assignment to such Person pursuant to such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xml:space="preserve"> (such approval not to be unreasonably withheld or delayed) (each, a “</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 xml:space="preserve">”), to whom Borrower proposes any portion of such New Commitments be allocated and the amounts of such allocations (it being understood that the identity of such Lenders or other Persons may be amended after the date of such notice so long as the approval requirements, if any, are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Lender approached to provide all or a portion of the New Commitments may elect or decline, in its sole discretion, to provide a New Commitment. Such New Commitments shall become effective as of such Increased Amount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(except as set forth in the parenthetical proviso to clause (1) below), (1) on such Increased Amount Date, each of the conditions set forth in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(with references therein to the “Effective Date” being deemed to refer instead to such Increased Amount Date and, in the case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4.02(b)</w:t>
      </w:r>
      <w:r>
        <w:rPr>
          <w:rFonts w:ascii="Times New Roman" w:cs="Times New Roman" w:eastAsia="Times New Roman" w:hAnsi="Times New Roman"/>
          <w:sz w:val="20"/>
          <w:szCs w:val="20"/>
          <w:color w:val="auto"/>
        </w:rPr>
        <w:t>, before and after giving effect to such New Commitment) shall be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proceeds of the Loans under such New Commitments are to be used to consummate a Limited Conditionality Acquisition, (x) no Specified Event of Default shall have occurred and be continuing as of the Increased Amount Date before and after giving effect to such New Commitments (it being understood that the requirements of </w:t>
      </w:r>
      <w:r>
        <w:rPr>
          <w:rFonts w:ascii="Times New Roman" w:cs="Times New Roman" w:eastAsia="Times New Roman" w:hAnsi="Times New Roman"/>
          <w:sz w:val="20"/>
          <w:szCs w:val="20"/>
          <w:u w:val="single" w:color="auto"/>
          <w:color w:val="auto"/>
        </w:rPr>
        <w:t>Section 4.02(b)</w:t>
      </w:r>
      <w:r>
        <w:rPr>
          <w:rFonts w:ascii="Times New Roman" w:cs="Times New Roman" w:eastAsia="Times New Roman" w:hAnsi="Times New Roman"/>
          <w:sz w:val="20"/>
          <w:szCs w:val="20"/>
          <w:color w:val="auto"/>
        </w:rPr>
        <w:t xml:space="preserve"> shall otherwise be complied with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(y) the requirements of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shall be subject to, if agreed to by the lenders providing such New Commitments, customary “SunGard” or other customary applicable “certain funds” conditionality provisions (including the accuracy of the representations and warranties contained in the applicable acquisition agreement as are material to the interests of the lenders providing such New Commitments, but only to the extent that the Borrower or any of its Affiliates has the right to terminate its obligations under such acquisition agreement as a result of the failure of such representation or warranty to be accurate)); (2) the New Commitments shall be effected pursuant to one or more Joinder Agreements executed and delivered by the Borrower, each Guarantor, if any, the New Lenders and the Administrative Agent, and each of which shall be recorded in the Register and each New Lender shall be subject to the requirements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(3) Borrower shall make any payments required pursuant to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in connection with the New Commitments; and (4) Borrower shall deliver or cause to be delivered any legal opinions or other documents reasonably requested by the Administrative Agent, the New Lenders or the Issuing Banks in connection with any such transaction.</w:t>
      </w:r>
    </w:p>
    <w:p>
      <w:pPr>
        <w:spacing w:after="0" w:line="182" w:lineRule="exact"/>
        <w:rPr>
          <w:sz w:val="20"/>
          <w:szCs w:val="20"/>
          <w:color w:val="auto"/>
        </w:rPr>
      </w:pPr>
    </w:p>
    <w:p>
      <w:pPr>
        <w:jc w:val="both"/>
        <w:ind w:firstLine="656"/>
        <w:spacing w:after="0" w:line="253" w:lineRule="auto"/>
        <w:tabs>
          <w:tab w:leader="none" w:pos="128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Increased Amount Date on which New Commitments are effective, subject to the satisfaction of the foregoing terms and conditions, (i) each of the Lenders shall assign to each of the New Lenders, and each of the New Lenders shall purchase from each of the Lenders, at the principal amount thereof (together with accrued interest), such interests in the Revolving Loans and Letter of Credit Usage outstanding on such Increased Amount Date as shall be necessary in order that, after giving effect to all such assignments and purchases, such Revolving Loans and participation interests in Letter of Credit Usage will be held by existing Lenders and New Lenders ratably in accordance with their Revolving Commitments after giving effect to the addition of such New Commitments to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74" w:name="page75"/>
    <w:bookmarkEnd w:id="74"/>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Commitments, (ii) each New Commitment shall be deemed for all purposes a Revolving Commitment and each Revolving Loan made thereunder (a “</w:t>
      </w:r>
      <w:r>
        <w:rPr>
          <w:rFonts w:ascii="Times New Roman" w:cs="Times New Roman" w:eastAsia="Times New Roman" w:hAnsi="Times New Roman"/>
          <w:sz w:val="20"/>
          <w:szCs w:val="20"/>
          <w:b w:val="1"/>
          <w:bCs w:val="1"/>
          <w:color w:val="auto"/>
        </w:rPr>
        <w:t>New Loan</w:t>
      </w:r>
      <w:r>
        <w:rPr>
          <w:rFonts w:ascii="Times New Roman" w:cs="Times New Roman" w:eastAsia="Times New Roman" w:hAnsi="Times New Roman"/>
          <w:sz w:val="20"/>
          <w:szCs w:val="20"/>
          <w:color w:val="auto"/>
        </w:rPr>
        <w:t>”) shall be deemed, for all purposes, a Revolving Loan, and (iii) each New Lender shall become a Lender for all purposes hereunder.</w:t>
      </w:r>
    </w:p>
    <w:p>
      <w:pPr>
        <w:spacing w:after="0" w:line="181" w:lineRule="exact"/>
        <w:rPr>
          <w:sz w:val="20"/>
          <w:szCs w:val="20"/>
          <w:color w:val="auto"/>
        </w:rPr>
      </w:pPr>
    </w:p>
    <w:p>
      <w:pPr>
        <w:jc w:val="both"/>
        <w:ind w:firstLine="656"/>
        <w:spacing w:after="0" w:line="281" w:lineRule="auto"/>
        <w:tabs>
          <w:tab w:leader="none" w:pos="128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notify the Lenders promptly upon receipt of the Borrower’s notice of each Increased Amount Date and in respect thereof (i) the New Commitments and the New Lenders, and (ii) the respective interests in such Lender’s Revolving Loans and participation interests in Letter of Credit Usage, in each case subject to the assignments contemplated by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jc w:val="both"/>
        <w:ind w:firstLine="656"/>
        <w:spacing w:after="0" w:line="251" w:lineRule="auto"/>
        <w:tabs>
          <w:tab w:leader="none" w:pos="1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and provisions (including pricing) of the New Loans shall be identical to the existing Loans. For the avoidance of doubt, and without limiting the generality of the foregoing, (x) the New Loans will not be guaranteed by any Person other than (1) the Guarantors or (2) any Person that shall, substantially concurrently with the incurrence of such New Loans, become a Guarantor and (y) the New Loans will not be secured by any assets unless such assets are substantially concurrently pledged to secure the Obligations on an equal and ratable basis. Notwithstanding anything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to the contrary, each Joinder Agreement may, without the consent of any other Lenders,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Section 2.19 </w:t>
      </w:r>
      <w:r>
        <w:rPr>
          <w:rFonts w:ascii="Times New Roman" w:cs="Times New Roman" w:eastAsia="Times New Roman" w:hAnsi="Times New Roman"/>
          <w:sz w:val="19"/>
          <w:szCs w:val="19"/>
          <w:u w:val="single" w:color="auto"/>
          <w:color w:val="auto"/>
        </w:rPr>
        <w:t>Extension of the Maturity Date</w:t>
      </w:r>
      <w:r>
        <w:rPr>
          <w:rFonts w:ascii="Times New Roman" w:cs="Times New Roman" w:eastAsia="Times New Roman" w:hAnsi="Times New Roman"/>
          <w:sz w:val="19"/>
          <w:szCs w:val="19"/>
          <w:color w:val="auto"/>
        </w:rPr>
        <w:t>. Not earlier than 60 days prior to, nor later than 10 Business Days prior to, the Maturity Date, the Borrower may, upon written notice (the “</w:t>
      </w:r>
      <w:r>
        <w:rPr>
          <w:rFonts w:ascii="Times New Roman" w:cs="Times New Roman" w:eastAsia="Times New Roman" w:hAnsi="Times New Roman"/>
          <w:sz w:val="19"/>
          <w:szCs w:val="19"/>
          <w:b w:val="1"/>
          <w:bCs w:val="1"/>
          <w:color w:val="auto"/>
        </w:rPr>
        <w:t>Extension Notice</w:t>
      </w:r>
      <w:r>
        <w:rPr>
          <w:rFonts w:ascii="Times New Roman" w:cs="Times New Roman" w:eastAsia="Times New Roman" w:hAnsi="Times New Roman"/>
          <w:sz w:val="19"/>
          <w:szCs w:val="19"/>
          <w:color w:val="auto"/>
        </w:rPr>
        <w:t xml:space="preserve">”) to the Administrative Agent (which shall promptly notify the Lenders), request an extension of the Maturity Date for up to one year;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more than two such extensions may be requested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If the conditions in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are met, the Maturity Date shall be extended to the date specified in such Extension Notice (which in no event shall be later than one year following the Maturity Date) for all Extending Lenders. If a Lender agrees, in its individual and sole discretion, to so extend its Revolving Commitment (an “</w:t>
      </w:r>
      <w:r>
        <w:rPr>
          <w:rFonts w:ascii="Times New Roman" w:cs="Times New Roman" w:eastAsia="Times New Roman" w:hAnsi="Times New Roman"/>
          <w:sz w:val="19"/>
          <w:szCs w:val="19"/>
          <w:b w:val="1"/>
          <w:bCs w:val="1"/>
          <w:color w:val="auto"/>
        </w:rPr>
        <w:t>Extending Lender</w:t>
      </w:r>
      <w:r>
        <w:rPr>
          <w:rFonts w:ascii="Times New Roman" w:cs="Times New Roman" w:eastAsia="Times New Roman" w:hAnsi="Times New Roman"/>
          <w:sz w:val="19"/>
          <w:szCs w:val="19"/>
          <w:color w:val="auto"/>
        </w:rPr>
        <w:t>”), it shall deliver to the Administrative Agent a written notice of its agreement to do so no later than 15 days after the date the applicable Extension Notice is received by the Administrative Agent (or such later date to which the Borrower and the Administrative Agent shall agree), and the Administrative Agent shall promptly thereafter notify the Borrower of such Extending Lender’s agreement to extend its Revolving Commitment (confirming the date of extension and the new Maturity Date (after giving effect to such extension) applicable to such Extending Lender). The Revolving Commitment of any Lender that fails to accept or respond to the Borrower’s request for extension of the Maturity Date (a “</w:t>
      </w:r>
      <w:r>
        <w:rPr>
          <w:rFonts w:ascii="Times New Roman" w:cs="Times New Roman" w:eastAsia="Times New Roman" w:hAnsi="Times New Roman"/>
          <w:sz w:val="19"/>
          <w:szCs w:val="19"/>
          <w:b w:val="1"/>
          <w:bCs w:val="1"/>
          <w:color w:val="auto"/>
        </w:rPr>
        <w:t>Declining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shall be terminated on the Maturity Date then in effect for such Lender (without regard to any extension by other Lenders) and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Maturity Date the Borrower shall pay in full the unpaid principal amount of all Loans owing to such Declining Lender, together with all accrued and unpaid interest thereon and all fees accrued and unpaid under this Agreement to the date of such payment of principal and all other amounts due to such Declining Lender under this Agreement. The Administrative Agent shall promptly notify each Extending Lender of the aggregate Revolving Commitments of the Declining Lenders. Each Extending Lender may offer to increase its respective Revolving Commitment by an amount not to exceed the aggregate amount of the Declining Lenders’ Revolving Commitments, and such Extending Lender shall deliver to the Administrative Agent a notice of its offer to so increase its Revolving Commitment no later than 30 days after the date the applicable Extension Notice is received by the Administrative Agent (or such later date to which the Borrower and the Administrative Agent shall agree). To the extent the aggregate amount of additional Revolving Commitments that the Extending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0"/>
          <w:szCs w:val="20"/>
          <w:color w:val="auto"/>
        </w:rPr>
        <w:t>Lenders offer pursuant to the preceding sentence exceeds the aggregate amount of the Declining Lenders’ Revolving Commitments, such additional Revolving Commitments shall be reduced on a pro rata basis. To the extent the aggregate amount of Revolving Commitments that the Extending Lenders have so offered to extend is less than the aggregate amount of Revolving Commitments that the Borrower has so requested to be extended, the Borrower shall have the right but not the obligation to require any Declining Lender to (and any such Declining Lender shall) assign in full its rights and obligations under this Agreement to one or more banks or other financial institutions (which may be, but need not be, one or more of the Extending Lenders) which at the time agree to, in the case of any such Person that is an Extending Lender, increase its Revolving Commitment and in the case of any other such Person (a “</w:t>
      </w:r>
      <w:r>
        <w:rPr>
          <w:rFonts w:ascii="Times New Roman" w:cs="Times New Roman" w:eastAsia="Times New Roman" w:hAnsi="Times New Roman"/>
          <w:sz w:val="20"/>
          <w:szCs w:val="20"/>
          <w:b w:val="1"/>
          <w:bCs w:val="1"/>
          <w:color w:val="auto"/>
        </w:rPr>
        <w:t>New Extending Lender</w:t>
      </w:r>
      <w:r>
        <w:rPr>
          <w:rFonts w:ascii="Times New Roman" w:cs="Times New Roman" w:eastAsia="Times New Roman" w:hAnsi="Times New Roman"/>
          <w:sz w:val="20"/>
          <w:szCs w:val="20"/>
          <w:color w:val="auto"/>
        </w:rPr>
        <w:t xml:space="preserve">”), become a party to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assignment is otherwise in compliance with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(ii) such Declining Lender receives payment in full of the unpaid principal amount of all Revolving Loans owing to such Declining Lender, together with all accrued and unpaid interest thereon and all fees accrued and unpaid under this Agreement to the date of such payment of principal and all other amounts due to such Declining Lender under this Agreement and (iii) any such assignment shall be effective on the date on or before the date the Maturity Date is so extended as may be specified by the Borrower and agreed to by the respective New Extending Lenders and Extending Lenders, as the case may be, and the Administrative Agent. As a condition precedent to such extension, the Borrower shall deliver to the Administrative Agent a certificate of the Borrower, dated as of the date of the Extension Notice, signed by a Responsible Officer of the Borrower (i) certifying and attaching the resolutions adopted by the Borrower and the Guarantors approving or consenting to such extension and (ii) certifying that, before and after giving effect to such extension, each of the conditions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shall be satisfied as of the date of the Extension Notice. Any extension pursuant to this Section 2.19 shall be effected pursuant to an Extension Agreement executed and delivered by the Borrower, the Extending Lenders, any New Extending Lenders and the Administrative Agent. Each Extension Agreement may, without the consent of any other Lenders, effect such amendments to this Agreement and the other Loan Documents as may be necessary or appropriate in the opinion of the Administrative Agent to effect the provision of this Section 2.19.</w:t>
      </w:r>
    </w:p>
    <w:p>
      <w:pPr>
        <w:spacing w:after="0" w:line="19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1" w:lineRule="auto"/>
        <w:tabs>
          <w:tab w:leader="none" w:pos="12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During the Availability Period, subject to the terms and conditions hereof, the Issuing Banks agree to issue Letters of Credit (or amend, extend or increase an outstanding Letter of Credit) at the request and for the account of the Borrower or any Subsidiary (the “</w:t>
      </w:r>
      <w:r>
        <w:rPr>
          <w:rFonts w:ascii="Times New Roman" w:cs="Times New Roman" w:eastAsia="Times New Roman" w:hAnsi="Times New Roman"/>
          <w:sz w:val="20"/>
          <w:szCs w:val="20"/>
          <w:b w:val="1"/>
          <w:bCs w:val="1"/>
          <w:color w:val="auto"/>
        </w:rPr>
        <w:t>Applicable Account Party</w:t>
      </w:r>
      <w:r>
        <w:rPr>
          <w:rFonts w:ascii="Times New Roman" w:cs="Times New Roman" w:eastAsia="Times New Roman" w:hAnsi="Times New Roman"/>
          <w:sz w:val="20"/>
          <w:szCs w:val="20"/>
          <w:color w:val="auto"/>
        </w:rPr>
        <w:t xml:space="preserve">”) in the aggregate Dollar Equivalent up to but not exceeding the Letter of Credit Sublimit and denominated in dollars or in a Permitted Foreign Currency;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 the stated face amount of each Letter of Credit shall not be less than $100,000 for Letters of Credit issued in dollars (or, in the case of a Letter of Credit issued in a Permitted Foreign Currency, the smallest amount of such Permitted Foreign Currency that is an integral multiple of 100,000 units of such currency and that has a Dollar Equivalent in excess of $100,000) or, in each case, such lesser amount as is acceptable to the applicable Issuing Bank; (ii) after giving effect to such issuance or increase, in no event shall (x) the Aggregate Total Exposure exceed the Revolving Commitments then in effect or (y) any Lender’s Total Exposure exceed such Lender’s Revolving Commitment; (iii) after giving effect to such issuance or increase, in no event shall the Letter of Credit Usage exceed the Letter of Credit Sublimit then in effect, (iv) after giving effect to such issuance or increase, unless otherwise agreed to by the applicable Issuing Bank in writing, in no event shall the Letter of Credit Usage with respect to the Letters of Credit issued by such Issuing Bank exceed the Letter of Credit Issuer Sublimit of such Issuing Bank then in effect, and (v) in no event shall any Letter of Credit have an expiration date later than the earlier of (A) the fifth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Maturity Date and (B) the date which is twelve months from the original date of issuance of such Letter of Credit. Subject to the foregoing, the applicable Issuing Bank may agree that a Letter of Credit will automatically be extended for one or more successive periods not to exceed one year each, unless the applicable Issuing Bank elects not to extend for any such additional period and provides notice to that effect to the Borrower and the Applicable Account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Issuing Bank shall not extend any such Letter of Credit if it has received written notice that an Event of Default has occurred and is continuing at the time such Issuing Bank must elect to allow such extension; </w:t>
      </w: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if any Lender is a Defaulting Lender, the Issuing Banks shall not be required to issue, amend, extend or increase any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Credit unless the applicable Issuing Bank has entered into arrangements satisfactory to it and the Borrower to eliminate such Issuing Bank’s risk with respect to the participation in Letters of Credit of such Defaulting Lender, including by Cash Collateralizing such Defaulting Lender’s Applicable Percentage of the Letter of Credit Usage at such time on terms satisfactory to the applicable Issuing Bank. Unless otherwise expressly agreed by the applicable Issuing Bank, the Borrower and the Applicable Account Party when a Letter of Credit is issued, the rules of the ISP 98 shall apply and shall be stated therein to apply to each Letter of Credit.</w:t>
      </w:r>
    </w:p>
    <w:p>
      <w:pPr>
        <w:spacing w:after="0" w:line="200" w:lineRule="exact"/>
        <w:rPr>
          <w:sz w:val="20"/>
          <w:szCs w:val="20"/>
          <w:color w:val="auto"/>
        </w:rPr>
      </w:pPr>
    </w:p>
    <w:p>
      <w:pPr>
        <w:jc w:val="both"/>
        <w:ind w:firstLine="656"/>
        <w:spacing w:after="0" w:line="248" w:lineRule="auto"/>
        <w:tabs>
          <w:tab w:leader="none" w:pos="128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w:t>
      </w:r>
      <w:r>
        <w:rPr>
          <w:rFonts w:ascii="Times New Roman" w:cs="Times New Roman" w:eastAsia="Times New Roman" w:hAnsi="Times New Roman"/>
          <w:sz w:val="20"/>
          <w:szCs w:val="20"/>
          <w:color w:val="auto"/>
        </w:rPr>
        <w:t xml:space="preserve">. Whenever an Applicable Account Party desires the issuance or amendment of a Letter of Credit, it shall deliver to each of the Administrative Agent and the applicable Issuing Bank an Application in use by the applicable Issuing Bank at that time no later than 1:00 p.m. (New York City time) at least five Business Days in advance of the proposed date of issuance or amendment or such shorter period as may be agreed to by the applicable Issuing Bank in any particular instance. Such Application shall be accompanied by documentary and other evidence of the proposed beneficiary’s identity as may reasonably be requested by the applicable Issuing Bank to enable the applicable Issuing Bank to verify the beneficiary’s identity or to comply with any applicable laws or regulations, including, without limitation, the USA PATRIOT Act or as otherwise customarily requested by the applicable Issuing Bank and shall specify the currency of such Letter of Credit. Upon satisfaction or waiver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subject to the terms and conditions set forth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the applicable Issuing Bank shall issue, amend, extend or increase the requested Letter of Credit subject to no violation of any of, and only in accordance with, the Issuing Bank’s standard operating procedures as in effect from time to time. If a Letter of Credit is requested in a currency other than dollars, the Issuing Bank shall not be required to issue such Letter of Credit if it does not issue Letters of Credit in such currency as of the requested issuance date. Upon the issuance of any Letter of Credit or amendment, extension or increase thereof, the applicable Issuing Bank shall promptly notify the Administrative Agent, and the Administrative Agent shall promptly notify each Lender with a Revolving Commitment of such issuance, which notice from the Administrative Agent shall be accompanied by a copy of such Letter of Credit or amendment, extension or increase thereof and the amount of such Lender’s respective participation in such Letter of Credit pursuant to </w:t>
      </w:r>
      <w:r>
        <w:rPr>
          <w:rFonts w:ascii="Times New Roman" w:cs="Times New Roman" w:eastAsia="Times New Roman" w:hAnsi="Times New Roman"/>
          <w:sz w:val="20"/>
          <w:szCs w:val="20"/>
          <w:u w:val="single" w:color="auto"/>
          <w:color w:val="auto"/>
        </w:rPr>
        <w:t>Section 2.20(e)</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of the Issuing Banks With Respect to Requests for Drawings and Payments</w:t>
      </w:r>
      <w:r>
        <w:rPr>
          <w:rFonts w:ascii="Times New Roman" w:cs="Times New Roman" w:eastAsia="Times New Roman" w:hAnsi="Times New Roman"/>
          <w:sz w:val="20"/>
          <w:szCs w:val="20"/>
          <w:color w:val="auto"/>
        </w:rPr>
        <w:t>. In determining whether to honor any drawing under any Letter of Credit by the beneficiary(ies)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As between the Borrower, the Applicable Account Party and the applicable Issuing Bank, the Borrower and the Applicable Account Party assume all risks of the acts and omissions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misuse of the Letters of Credit issued by the applicable Issuing Bank, by the respective beneficiaries of such Letters of Credit;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however, </w:t>
      </w:r>
      <w:r>
        <w:rPr>
          <w:rFonts w:ascii="Times New Roman" w:cs="Times New Roman" w:eastAsia="Times New Roman" w:hAnsi="Times New Roman"/>
          <w:sz w:val="19"/>
          <w:szCs w:val="19"/>
          <w:color w:val="auto"/>
        </w:rPr>
        <w:t>the foregoing does not limit any of the Borrower’s or the Applicable Account Party’s rights against any such beneficiary.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furtherance and not in limitation of the foregoing, an Issuing Bank shall not be responsible or have any liability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w:t>
      </w:r>
    </w:p>
    <w:p>
      <w:pPr>
        <w:spacing w:after="0" w:line="1" w:lineRule="exact"/>
        <w:rPr>
          <w:sz w:val="20"/>
          <w:szCs w:val="20"/>
          <w:color w:val="auto"/>
        </w:rPr>
      </w:pPr>
    </w:p>
    <w:p>
      <w:pPr>
        <w:jc w:val="both"/>
        <w:ind w:firstLine="8"/>
        <w:spacing w:after="0" w:line="262" w:lineRule="auto"/>
        <w:tabs>
          <w:tab w:leader="none" w:pos="30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or in translation; (vi) any loss or delay in the transmission or otherwise of any document required in order to make a drawing under any such Letter of Credit or of the proceeds thereof; (vii) the misapplication by any beneficiary of any such Letter of Credit of the proceeds of any drawing under such Letter of Credit; (viii) for any other action or inaction taken or suffered by such Issuing Bank under or in connection with any such Letter of Credit, if required or permitted under any applicable domestic or foreign law of letter of credit practice; or (ix) any consequences arising from causes beyond the control of such Issuing Bank, including any Governmental Acts; none of the above shall affect or impair, or prevent the vesting of, any of such Issuing Bank’s rights or powers hereunder or place such Issuing Bank under any liability to the Borrower. Without limiting the foregoing and in furtherance thereof, any action taken or omitted by an Issuing Bank under or in connection with the Letters of Credit issued by it or any documents and certificates delivered thereunder, if taken or omitted in “good faith” (as such term is defined in Article 5 of the New York Uniform Commercial Code), shall not give rise to any liability on the part of the Issuing Bank to the Borrower or any party to this Agreement. Notwithstanding anything to the contrary contained in this </w:t>
      </w:r>
      <w:r>
        <w:rPr>
          <w:rFonts w:ascii="Times New Roman" w:cs="Times New Roman" w:eastAsia="Times New Roman" w:hAnsi="Times New Roman"/>
          <w:sz w:val="19"/>
          <w:szCs w:val="19"/>
          <w:u w:val="single" w:color="auto"/>
          <w:color w:val="auto"/>
        </w:rPr>
        <w:t>Section 2.20(c)</w:t>
      </w:r>
      <w:r>
        <w:rPr>
          <w:rFonts w:ascii="Times New Roman" w:cs="Times New Roman" w:eastAsia="Times New Roman" w:hAnsi="Times New Roman"/>
          <w:sz w:val="19"/>
          <w:szCs w:val="19"/>
          <w:color w:val="auto"/>
        </w:rPr>
        <w:t>, the applicable Issuing Bank shall not be excused from liability to the Borrower or the Applicable Account Party to the extent of any direct damages (as opposed to special, indirect, consequential or punitive damages, claims in respect of which are hereby waived by the Borrower to the extent permitted by applicable law) suffered by the Borrower or the Applicable Account Party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the Issuing Bank (as determined by a final, non-appealable judgment of a court of competent jurisdiction), the Issuing Bank shall be deemed to have exercised care in each such determination.</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jc w:val="both"/>
        <w:ind w:firstLine="656"/>
        <w:spacing w:after="0" w:line="252" w:lineRule="auto"/>
        <w:tabs>
          <w:tab w:leader="none" w:pos="12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the Borrower of Amounts Drawn or Paid Under Letters of Credit</w:t>
      </w:r>
      <w:r>
        <w:rPr>
          <w:rFonts w:ascii="Times New Roman" w:cs="Times New Roman" w:eastAsia="Times New Roman" w:hAnsi="Times New Roman"/>
          <w:sz w:val="20"/>
          <w:szCs w:val="20"/>
          <w:color w:val="auto"/>
        </w:rPr>
        <w:t>. In the event the applicable Issuing Bank has determined to honor a drawing under a Letter of Credit, it shall promptly notify the Borrower, the Applicable Account Party and the Administrative Agent, and the Borrower shall reimburse (or cause the Applicable Account Party to reimburse) the applicable Issuing Bank on or before the Business Day immediately following the date on which such drawing is honored (the “</w:t>
      </w:r>
      <w:r>
        <w:rPr>
          <w:rFonts w:ascii="Times New Roman" w:cs="Times New Roman" w:eastAsia="Times New Roman" w:hAnsi="Times New Roman"/>
          <w:sz w:val="20"/>
          <w:szCs w:val="20"/>
          <w:b w:val="1"/>
          <w:bCs w:val="1"/>
          <w:color w:val="auto"/>
        </w:rPr>
        <w:t>Reimbursement Date</w:t>
      </w:r>
      <w:r>
        <w:rPr>
          <w:rFonts w:ascii="Times New Roman" w:cs="Times New Roman" w:eastAsia="Times New Roman" w:hAnsi="Times New Roman"/>
          <w:sz w:val="20"/>
          <w:szCs w:val="20"/>
          <w:color w:val="auto"/>
        </w:rPr>
        <w:t>”) in an amount in immediately available funds equal to the amount of such honored drawing, together with interest at the applicable rate provided in Section 2.10(h). If the Borrower or the Applicable Account Party fails to timely reimburse the applicable Issuing Bank on the Reimbursement Date, then (A) if the Unreimbursed Amount relates to a Letter of Credit denominated in a currency other than dollars or Euros, automatically and with no further action, the obligation to reimburse such Unreimbursed Amount shall be permanently converted into an obligation to reimburse the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09" w:right="339" w:bottom="1440" w:gutter="0" w:footer="0" w:header="0"/>
        </w:sectPr>
      </w:pPr>
    </w:p>
    <w:bookmarkStart w:id="78" w:name="page79"/>
    <w:bookmarkEnd w:id="78"/>
    <w:p>
      <w:pPr>
        <w:jc w:val="both"/>
        <w:spacing w:after="0" w:line="249" w:lineRule="auto"/>
        <w:rPr>
          <w:sz w:val="20"/>
          <w:szCs w:val="20"/>
          <w:color w:val="auto"/>
        </w:rPr>
      </w:pPr>
      <w:r>
        <w:rPr>
          <w:rFonts w:ascii="Times New Roman" w:cs="Times New Roman" w:eastAsia="Times New Roman" w:hAnsi="Times New Roman"/>
          <w:sz w:val="20"/>
          <w:szCs w:val="20"/>
          <w:color w:val="auto"/>
        </w:rPr>
        <w:t>Equivalent, determined using a rate of exchange selected by the applicable Issuing Bank calculated as of the date when such payment was due, of such Unreimbursed Amount and (B) the Administrative Agent shall promptly notify each Lender of the Reimbursement Date, the currency and amount of the unreimbursed drawing (the “</w:t>
      </w:r>
      <w:r>
        <w:rPr>
          <w:rFonts w:ascii="Times New Roman" w:cs="Times New Roman" w:eastAsia="Times New Roman" w:hAnsi="Times New Roman"/>
          <w:sz w:val="20"/>
          <w:szCs w:val="20"/>
          <w:b w:val="1"/>
          <w:bCs w:val="1"/>
          <w:color w:val="auto"/>
        </w:rPr>
        <w:t>Unreimbursed Amount</w:t>
      </w:r>
      <w:r>
        <w:rPr>
          <w:rFonts w:ascii="Times New Roman" w:cs="Times New Roman" w:eastAsia="Times New Roman" w:hAnsi="Times New Roman"/>
          <w:sz w:val="20"/>
          <w:szCs w:val="20"/>
          <w:color w:val="auto"/>
        </w:rPr>
        <w:t xml:space="preserve">”) (and the Dollar Equivalent thereof if the immediately preceding clause (A) is applicable), and the amount of such Lender’s Applicable Percentage thereof. In such event, the Borrower shall be deemed to have requested ABR Loans to be disbursed on the Reimbursement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ABR Loans, but subject to the amount of the unutilized portion of the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Borrowing Request). Any notice given by an Issuing Bank or the Administrative Agent pursuant to this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may be given by telephone if immediately confirmed in writing (which confirmation may be by telecopy or other electronic transmission);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 Anything contained herein to the contrary notwithstanding, (i) unless the Borrower (or the Applicable Account Party) shall have notified the Administrative Agent and the applicable Issuing Bank prior to 1:00 p.m. (New York City time) on the date such drawing is honored that the Borrower (or the Applicable Account Party) intends to reimburse the applicable Issuing Bank on such date for the amount of such honored drawing with funds other than the proceeds of Revolving Loans, the Borrower shall be deemed to have given a timely Borrowing Request to the Administrative Agent requesting Lenders with Revolving Commitments to make Revolving Loans that are ABR Loans on the Reimbursement Date in an amount equal to the amount of such honored drawing, and (ii) subject to satisfaction or waiver of the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Lenders with Revolving Commitments shall, on the Reimbursement Date, make Revolving Loans that are ABR Loans in the amount of the Dollar Equivalent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of such honored drawing, the proceeds of which shall be applied directly by the Administrative Agent to reimburse the applicable Issuing Bank for the amount of such honored drawing;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if for any reason proceeds of Revolving Loans are not received by the applicable Issuing Bank on the Reimbursement Date in an amount equal to the amount of such honored drawing, the Borrower shall (or shall cause the Applicable Account Party to) reimburse the applicable Issuing Bank, on demand, in an amount in immediately available funds equal to the excess of the amount of such honored drawing over the aggregate amount of such Revolving Loans, if any, which are so received. Nothing in this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shall be deemed to relieve any Lender with a Revolving Commitment from its obligation to make Revolving Loans on the terms and conditions set forth herein, and the Borrower shall retain any and all rights it may have against any such Lender resulting from the failure of such Lender to make such Revolving Loans under this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656"/>
        <w:spacing w:after="0" w:line="252" w:lineRule="auto"/>
        <w:tabs>
          <w:tab w:leader="none" w:pos="128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Purchase of Participations in Letters of Credit</w:t>
      </w:r>
      <w:r>
        <w:rPr>
          <w:rFonts w:ascii="Times New Roman" w:cs="Times New Roman" w:eastAsia="Times New Roman" w:hAnsi="Times New Roman"/>
          <w:sz w:val="20"/>
          <w:szCs w:val="20"/>
          <w:color w:val="auto"/>
        </w:rPr>
        <w:t>. Immediately upon the issuance or increase of each Letter of Credit, without any further action by any Person, the applicable Issuing Bank shall be deemed to have sold to each Lender and each Lender shall have been deemed to have purchased from such Issuing Bank a participation in such Letter of Credit and any drawings honored thereunder in an amount equal to such Lender’s Applicable Percentage (with respect to the Revolving Commitments) of the maximum amount which is or at any time may become available to be drawn thereunder (each such Lender purchasing a participation, a “</w:t>
      </w:r>
      <w:r>
        <w:rPr>
          <w:rFonts w:ascii="Times New Roman" w:cs="Times New Roman" w:eastAsia="Times New Roman" w:hAnsi="Times New Roman"/>
          <w:sz w:val="20"/>
          <w:szCs w:val="20"/>
          <w:b w:val="1"/>
          <w:bCs w:val="1"/>
          <w:color w:val="auto"/>
        </w:rPr>
        <w:t>Participating Lender</w:t>
      </w:r>
      <w:r>
        <w:rPr>
          <w:rFonts w:ascii="Times New Roman" w:cs="Times New Roman" w:eastAsia="Times New Roman" w:hAnsi="Times New Roman"/>
          <w:sz w:val="20"/>
          <w:szCs w:val="20"/>
          <w:color w:val="auto"/>
        </w:rPr>
        <w:t xml:space="preserve">”). In the event that the Borrower or the Applicable Account Party shall fail for any reason to reimburse the applicable Issuing Bank as provided in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the applicable Issuing Bank shall promptly notify the Administrative Agent who will notify each Participating Lender of the unreimbursed amount of such honored drawing and of such Lender’s respective participation therein based on such Lender’s Applicable Percentage of the Revolving Commitments. Each Participating Lender shall make available to the Administrative Agent,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79" w:name="page80"/>
    <w:bookmarkEnd w:id="79"/>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account of the applicable Issuing Bank, an amount equal to its respective participation, and in immediately available funds, no later than 1:00 p.m. (New York City time) on the first Business Day (under the laws of the jurisdiction in which the Principal Office of the Administrative Agent is located) after the date notified by the Administrative Agent. In the event that any Participating Lender fails to make available to the Administrative Agent on such Business Day the amount of such Lender’s participation in such Letter of Credit as provided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2.20(e)</w:t>
      </w:r>
      <w:r>
        <w:rPr>
          <w:rFonts w:ascii="Times New Roman" w:cs="Times New Roman" w:eastAsia="Times New Roman" w:hAnsi="Times New Roman"/>
          <w:sz w:val="19"/>
          <w:szCs w:val="19"/>
          <w:color w:val="auto"/>
        </w:rPr>
        <w:t xml:space="preserve">, the applicable Issuing Bank shall be entitled to recover such amount on demand from such Lender together with interest thereon for three Business Days at the rate customarily used by such Issuing Bank for the correction of errors among banks and thereafter at the Alternate Base Rate. Nothing in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 xml:space="preserve"> shall be deemed to prejudice the right of any Participating Lender to recover from the applicable Issuing Bank any amounts made available by such Lender to the applicable Issuing Bank pursuant to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in the event that the payment with respect to a Letter of Credit in respect of which payment was made by such Lender constituted gross negligence, bad faith or willful misconduct (as determined by a final, non-appealable judgment of a court of competent jurisdiction) on the part of such Issuing Bank. Each Lender acknowledges and agrees that its obligation to fund participations pursuant to this paragraph in respect of Letters of Credit is absolute and unconditional and shall not be affected by any circumstance whatsoever, including any amendment, extension, or increase of any Letter of Credit, the occurrence and continuance of a Default, any reduction or termination of the Commitments or any force majeure or other event that under any rule of law or uniform practices to which any Letter of Credit is subject (including Rule 3.13 and Rule 3.14 of ISP 98) permits a drawing to be made under such Letter of Credit after the expiration thereof or after the expiration or termination of the Commitments or any other circumstance or happening whatsoever, whether or not similar to any of the foregoing, including those set forth in the following paragraph (f), and that each such payment shall be made without any defense, offset, abatement, withholding or reduction whatsoever. Each Lender further acknowledges and agrees that, in issuing, amending, extending, or increasing any Letter of Credit, the applicable Issuing Bank shall be entitled to rely, and shall not incur any liability for relying, upon the representations and warranties of the Borrower deemed made pursuant to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unless, at least one Business Day prior to the time such Letter of Credit is issued, amended, extended, or increased (or, in the case of an automatic extension permitted pursuant to paragraph (a)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4.02(a) or </w:t>
      </w:r>
      <w:r>
        <w:rPr>
          <w:rFonts w:ascii="Times New Roman" w:cs="Times New Roman" w:eastAsia="Times New Roman" w:hAnsi="Times New Roman"/>
          <w:sz w:val="19"/>
          <w:szCs w:val="19"/>
          <w:u w:val="single" w:color="auto"/>
          <w:color w:val="auto"/>
        </w:rPr>
        <w:t>4.02(b)</w:t>
      </w:r>
      <w:r>
        <w:rPr>
          <w:rFonts w:ascii="Times New Roman" w:cs="Times New Roman" w:eastAsia="Times New Roman" w:hAnsi="Times New Roman"/>
          <w:sz w:val="19"/>
          <w:szCs w:val="19"/>
          <w:color w:val="auto"/>
        </w:rPr>
        <w:t xml:space="preserve"> would not be satisfied if such Letter of Credit were then issued, amended, extended, or increased (it being understood and agreed that, in the event any Issuing Bank shall have received any such notice, no Issuing Bank shall have any obligation to issue, amend, extend, or increase any Letter of Credit until and unless it shall be satisfied that the events and circumstances described in such notice shall have been cured or otherwise shall have ceased to exist). In the event the applicable Issuing Bank shall have been reimbursed by other Lenders pursuant to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 xml:space="preserve"> for all or any portion of any drawing honored by such Issuing Bank under a Letter of Credit, such Issuing Bank shall distribute to each Lender which has paid all amounts payable by it under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 xml:space="preserve"> with respect to such honored drawing such Lender’s Applicable Percentage of all payments subsequently received by such Issuing Bank from the Borrower or the Applicable Account Party in reimbursement of such honored drawing when such payments are received. Any such distribution shall be made to a Lender at its primary address set forth below its name on the Administrative Questionnaire or at such other address as such Lender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656"/>
        <w:spacing w:after="0" w:line="249" w:lineRule="auto"/>
        <w:tabs>
          <w:tab w:leader="none" w:pos="129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obligation of the Borrower and each Applicable Account Party to reimburse each Issuing Bank for drawings honored under the Letters of Credit issued by it and to repay any Revolving Loans made by Lenders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and the obligations of Lenders under </w:t>
      </w:r>
      <w:r>
        <w:rPr>
          <w:rFonts w:ascii="Times New Roman" w:cs="Times New Roman" w:eastAsia="Times New Roman" w:hAnsi="Times New Roman"/>
          <w:sz w:val="20"/>
          <w:szCs w:val="20"/>
          <w:u w:val="single" w:color="auto"/>
          <w:color w:val="auto"/>
        </w:rPr>
        <w:t>Section 2.20(e)</w:t>
      </w:r>
      <w:r>
        <w:rPr>
          <w:rFonts w:ascii="Times New Roman" w:cs="Times New Roman" w:eastAsia="Times New Roman" w:hAnsi="Times New Roman"/>
          <w:sz w:val="20"/>
          <w:szCs w:val="20"/>
          <w:color w:val="auto"/>
        </w:rPr>
        <w:t xml:space="preserve"> shall be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 any Applicable Account Party or any Lender may have at any time against a beneficiary or any transferee of any Letter of Credit (or any Persons for whom any such transferee may be acting), any Issuing Bank, any Lender or any other Person or, in the case of a Lender, against the Borrower, whether in connection herewith, the transactions contemplated herein or any unrelated transaction (including any underlying transaction between the Borrower or one of its Subsidiaries and the beneficiary(ies) for which any Letter of Credit was procured); (iii) any draft or other document presented under any Letter of Credit proving to be forged, fraudulent, invalid or insufficient in any respect or any statement therein being untrue or inaccurate in any respect; (iv) payment by the applicable Issuing Bank under any Letter of Credit against presentation of a draft or other document which does not substantially comply with the terms of such Letter of Credit; (v) any adverse change in the business, operations, properties, assets, condition (financial or otherwise) or prospects of the Borrower, any Applicable Account Party or any Subsidiaries or any other Person; (vi) any breach hereof or any other Loan Document by any party hereto or thereto; (vii) any force majeure or other event that under any rule of law or uniform practices to which any Letter of Credit is subject (including Rule 3.13 and Rule 3.14 of ISP 98) permits a drawing to be made under such Letter of Credit after the expiration thereof or after the expiration or termination of the Commitments, (viii) any other circumstance or happening whatsoever, whether or not similar to any of the foregoing; or (ix) the fact that an Event of Default or a Default shall have occurred and be continuing.</w:t>
      </w:r>
    </w:p>
    <w:p>
      <w:pPr>
        <w:spacing w:after="0" w:line="200"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Without duplication of any obligation of the Borrower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in addition to amounts payable as provided herein, the Borrower hereby agrees to protect, indemnify, pay and save and hold harmless the Issuing Banks from and against any and all claims, demands, liabilities, damages and losses, and all reasonable and documented costs, charges and out-of-pocket expenses (including reasonable fees, out-of-pocket expenses and disbursements of one primary counsel (with exceptions for conflicts of interest), one regulatory counsel and one local counsel in each relevant jurisdiction), which the Issuing Banks may incur or be subject to as a consequence, direct or indirect, of, or arising out of, in any way being connected with, or as a result of (A) any Letter of Credit, including without limitation, the use of the proceeds therefrom and any refusal by any Issuing Bank to honor a demand for payment under a Letter of Credit if the documents presented in connection with such demand do not strictly comply with the terms of such Letter of Credit, other than as a result of the gross negligence, bad faith or willful misconduct of such Issuing Bank as determined by a final, non-appealable judgment of a court of competent jurisdiction or (B) the failure of the applicable Issuing Bank to honor a drawing under any such Letter of Credit as a result of any Governmental Act. The Borrower will pay all amounts owing under this Section promptly after written demand therefor.</w:t>
      </w:r>
    </w:p>
    <w:p>
      <w:pPr>
        <w:spacing w:after="0" w:line="18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and Removal of an Issuing Bank</w:t>
      </w:r>
      <w:r>
        <w:rPr>
          <w:rFonts w:ascii="Times New Roman" w:cs="Times New Roman" w:eastAsia="Times New Roman" w:hAnsi="Times New Roman"/>
          <w:sz w:val="20"/>
          <w:szCs w:val="20"/>
          <w:color w:val="auto"/>
        </w:rPr>
        <w:t>. An Issuing Bank may resign as an Issuing Bank by providing at least 60 days prior written notice to the Administrative Agent, the Lenders and the Borrower. An Issuing Bank may be replaced at any time by written agreement among the Borrower, the Administrative Agent, the replaced Issuing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will be required if the replaced Issuing Bank has no Letters of Credit or reimbursement obligations with respect thereto outstanding), the other Issuing Banks, if any, and the successor Issuing Bank. The Administrative Agent shall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Lenders of any such replacement of such Issuing Bank. At the time any such replacement or resignation shall become effective, the Borrower shall pay all unpaid fees accrued for the account of the replaced or resigning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At the time any such resignation or replacement shall become effective, (a) the Borrower shall pay all unpaid fees accrued for the account of the replaced Issuing Bank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(b) the replaced Issuing Bank may at its option remain a party hereto to the extent that Letters of Credit issued by it remain outstanding and shall continue to have all the rights and obligations of an Issuing Bank under this Agreement with respect to Letters of Credit issued by it prior to such replacement or resignation. After the replacement or resignation of an Issuing Bank hereunder, the replaced Issuing Bank shall not be required to issue, amend, extend or increase any Letters of Credit.</w:t>
      </w:r>
    </w:p>
    <w:p>
      <w:pPr>
        <w:spacing w:after="0" w:line="196" w:lineRule="exact"/>
        <w:rPr>
          <w:sz w:val="20"/>
          <w:szCs w:val="20"/>
          <w:color w:val="auto"/>
        </w:rPr>
      </w:pPr>
    </w:p>
    <w:p>
      <w:pPr>
        <w:jc w:val="both"/>
        <w:ind w:firstLine="656"/>
        <w:spacing w:after="0" w:line="262" w:lineRule="auto"/>
        <w:tabs>
          <w:tab w:leader="none" w:pos="129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xml:space="preserve">. If any Event of Default shall occur and be continuing, on the Business Day that the Borrower receives notice from the Administrative Agent or the Required Lenders (or, if the maturity of the Loans has been accelerated, Lenders with Letter of Credit Usage representing greater than 50% of the total Letter of Credit Usage) demanding the deposit of Cash Collateral pursuant to this paragraph, the Borrower shall deposit in an account with the Administrative Agent, in the name of the Administrative Agent and for the benefit of the Lenders and the Issuing Banks, an amount in cash equal to the Agreed L/C Cash Collateral Amount plus any accrued and unpaid interest thereon; provided that (i) any such required Cash Collateral shall be made in dollars unless such Cash Collateral is attributable to undrawn Letters of Credit denominated in a Permitted Foreign Currency or outstanding Letter of Credit Disbursements made in a Permitted Foreign Currency (in which cash such Cash Collateral shall be deposited in the applicable Permitted Foreign Currency in an amount equal to the Agreed L/C Cash Collateral Amount of such undrawn Letters of Credit or outstanding Letter of Credit Disbursements) and (ii) the obligation to deposit such Cash Collateral shall become effective immediately, and such Cash Collateral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Such Cash Collateral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Cash Collateral, which investments shall be made at the option and sole discretion of the Administrative Agent and at the Borrower’s risk and expense, such Cash Collateral shall not bear interest. Interest or profits, if any, on such investments shall accumulate in such account. Moneys in such account shall be applied by the Administrative Agent to reimburse each Issuing Bank for any disbursements under Letters of Credit made by it and for which it has not been reimbursed and, to the extent not so applied, shall be held for the satisfaction of the reimbursement obligations of the Borrower for the Letter of Credit Usage at such time or, if the maturity of the Loans has been accelerated (but subject to the consent of Lenders with Letter of Credit Usage representing greater than 50% of the total Letter of Credit Usage),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(or as otherwise ordered by a court of competent jurisdiction) within five Business Days after all Events of Default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82" w:name="page83"/>
    <w:bookmarkEnd w:id="82"/>
    <w:p>
      <w:pPr>
        <w:ind w:firstLine="656"/>
        <w:spacing w:after="0" w:line="283" w:lineRule="auto"/>
        <w:tabs>
          <w:tab w:leader="none" w:pos="129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To the extent that any provision of any Application related to any Letter of Credit is inconsistent with the provisions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apply.</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Notwithstanding anything to the contrary herein, no Issuing Bank shall be required to issue, amend, extend or increase any Letter of Credit if the foregoing would violate one or more policies of such Issuing Bank applicable to letters of credit generally or if any order, judgment or decree of any Governmental Authority or arbitrator shall by its terms purport to enjoin or restrain such Issuing Bank from issuing such Letter of Credit, or request that such Issuing Bank refrain from issuing such Letter of Credit, or any Law applicable to such Issuing Bank shall prohibit the issuance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9"/>
          <w:szCs w:val="19"/>
          <w:color w:val="auto"/>
        </w:rPr>
        <w:t>Effect of Benchmark Transition Event</w:t>
      </w:r>
    </w:p>
    <w:p>
      <w:pPr>
        <w:spacing w:after="0" w:line="216" w:lineRule="exact"/>
        <w:rPr>
          <w:sz w:val="20"/>
          <w:szCs w:val="20"/>
          <w:color w:val="auto"/>
        </w:rPr>
      </w:pPr>
    </w:p>
    <w:p>
      <w:pPr>
        <w:ind w:right="20" w:firstLine="656"/>
        <w:spacing w:after="0" w:line="283"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if a Benchmark Transition Event and its related Benchmark Replacement Date have occurred prior to any setting of any Benchmark, then:</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w:t>
      </w:r>
    </w:p>
    <w:p>
      <w:pPr>
        <w:spacing w:after="0" w:line="18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Benchmark Replacement is Daily Simple SOFR, all interest payments will be payable on a monthly basis.</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will consult in good faith with the Borrower in advance of making any such Conforming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83" w:name="page84"/>
    <w:bookmarkEnd w:id="83"/>
    <w:p>
      <w:pPr>
        <w:spacing w:after="0" w:line="189" w:lineRule="exact"/>
        <w:rPr>
          <w:sz w:val="20"/>
          <w:szCs w:val="20"/>
          <w:color w:val="auto"/>
        </w:rPr>
      </w:pPr>
    </w:p>
    <w:p>
      <w:pPr>
        <w:jc w:val="both"/>
        <w:ind w:firstLine="656"/>
        <w:spacing w:after="0" w:line="252"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and the Lenders of (i) any occurrence of (A) a Benchmark Transition Event and (B) the Benchmark Replacement Date with respect thereto, (ii) the implementation of any Benchmark Replacement, (iii) the effectiveness of any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or Adjusted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request for a Term SOFR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3</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represents and warrants to the Lenders and the Issuing Banks that: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of the Borrower and its Restricted Subsidiaries is duly organized and validly existing. Each of the Borrower and its Restricted Subsidiaries (other than any Immaterial Subsidiary) is (to the extent the concept is applicable in such jurisdiction) in good standing under the laws of the jurisdiction of its organization, has all requisite power and authority to carry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20"/>
          <w:szCs w:val="20"/>
          <w:color w:val="auto"/>
        </w:rPr>
        <w:t>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None of the Borrower and its Restricted Subsidiaries is an EEA Financial Institution.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the Borrower’s and each Guarantor’s corporate or other organizational powers and have been duly authorized by all necessary corporate or other organizational and, if required, equity holder action. Each of the Borrower and the Guarantors has duly executed and delivered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The Transactions (a) do not require any consent or approval of, registration or filing with, or any other action by, any Governmental Authority, except those approvals, consents, registrations, filings or other actions, the failure of which to obtain or make could not reasonably be expected to have a Material Adverse Effect, (b) except as could not reasonably be expected to have a Material Adverse Effect, will not violate any applicable law or regulation or any order of any Governmental Authority, (c) will not violate any charter, by-laws or other organizational document of the Borrower or any of its Restricted Subsidiaries, (d) except as could not reasonably be expected to have a Material Adverse Effect, will not violate or result in a default under any indenture, agreement or other instrument (other than the agreements and instruments referred to in clause (c)) binding upon the Borrower or any of its Restricted Subsidiaries or its assets, or give rise to a right thereunder to require any payment to be made by the Borrower or any of its Restricted Subsidiaries and (e) will not result in the creation or imposition of any Lien on any asset of the Borrower or any of its Restricted Subsidiaries, except for Liens permitted under Section 6.02 or otherwise in accordance with the terms hereunder.</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has heretofore furnished to the Administrative Agent its consolidated balance sheet and statements of income, stockholders equity and cash flows as of and for the fiscal years ended December 31, 2024, and December 31, 2025, in each case, audited by PricewaterhouseCoopers LLP, independent public accountants. Such financial statements present fairly, in all material respects, the financial position and results of operations and cash flows of the Borrower and its consolidated Restricted Subsidiaries as of such dates and for such periods in accordance with GAAP.</w:t>
      </w:r>
    </w:p>
    <w:p>
      <w:pPr>
        <w:spacing w:after="0" w:line="174" w:lineRule="exact"/>
        <w:rPr>
          <w:sz w:val="20"/>
          <w:szCs w:val="20"/>
          <w:color w:val="auto"/>
        </w:rPr>
      </w:pPr>
    </w:p>
    <w:p>
      <w:pPr>
        <w:ind w:right="80" w:firstLine="656"/>
        <w:spacing w:after="0" w:line="257"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2025, no event, development or circumstance exists or has occurred that has had or could reasonably be expected to have a material adverse effect on (x) the business, property, financial condition or results of operations of the Borrower and its Restricted Subsidiaries, taken as a whole or (y) the rights of or remedies available to the Agents and the Lenders under this Agreement, any Guaranty or any Holdings Guaranty (other than as a result of an action taken or not taken that is solely in the control of the Administrative Agent).</w:t>
      </w:r>
    </w:p>
    <w:p>
      <w:pPr>
        <w:spacing w:after="0" w:line="18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Each of the Borrower and its Restricted Subsidiaries has good title to, or valid leasehold interests in or rights to use, all its real and personal property material to its business, except for minor defects in title that do not interfere with its ability to conduct its business as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85" w:name="page86"/>
    <w:bookmarkEnd w:id="85"/>
    <w:p>
      <w:pPr>
        <w:spacing w:after="0" w:line="283" w:lineRule="auto"/>
        <w:rPr>
          <w:sz w:val="20"/>
          <w:szCs w:val="20"/>
          <w:color w:val="auto"/>
        </w:rPr>
      </w:pPr>
      <w:r>
        <w:rPr>
          <w:rFonts w:ascii="Times New Roman" w:cs="Times New Roman" w:eastAsia="Times New Roman" w:hAnsi="Times New Roman"/>
          <w:sz w:val="20"/>
          <w:szCs w:val="20"/>
          <w:color w:val="auto"/>
        </w:rPr>
        <w:t>conducted or to utilize such properties for their intended purposes and except as would not reasonably be expected to result in a Material Adverse Effect.</w:t>
      </w:r>
    </w:p>
    <w:p>
      <w:pPr>
        <w:spacing w:after="0" w:line="146" w:lineRule="exact"/>
        <w:rPr>
          <w:sz w:val="20"/>
          <w:szCs w:val="20"/>
          <w:color w:val="auto"/>
        </w:rPr>
      </w:pPr>
    </w:p>
    <w:p>
      <w:pPr>
        <w:jc w:val="both"/>
        <w:ind w:firstLine="656"/>
        <w:spacing w:after="0" w:line="253" w:lineRule="auto"/>
        <w:tabs>
          <w:tab w:leader="none" w:pos="12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its Restricted Subsidiaries owns, or is licensed to use, all trademarks, trade names, copyrights, patents, software, domain names, trade secrets, know-how and other similar proprietary or intellectual property rights, including any registrations and applications for registration of, and all goodwill associated with, the foregoing, material to or necessary to its business as currently conducted, and the operation of such business or the use of any of the foregoing intellectual property rights by the Borrower and its Restricted Subsidiaries does not infringe upon, misappropriate, or otherwise violate the rights of any other Person, except for any such infringements, misappropriations, or violations that, individually or in the aggregate, could not reasonably be expected to result in a Material Adverse Effect.</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Litigation and Environmental Matters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color w:val="auto"/>
        </w:rPr>
        <w:t xml:space="preserve"> There are no actions, suits or proceedings by or before any arbitrator or Governmental Authority pending against or, to the knowledge of the Borrower, threatened in writing against or affecting the Borrower or any of its Restricted Subsidiaries (i) that could reasonably be expected, individually or in the aggregate, to result in a Material Adverse Effect or</w:t>
      </w:r>
    </w:p>
    <w:p>
      <w:pPr>
        <w:spacing w:after="0" w:line="3"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involve this Agreement, any other Loan Document or the Transactions.</w:t>
      </w:r>
    </w:p>
    <w:p>
      <w:pPr>
        <w:spacing w:after="0" w:line="20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matter that, individually or in the aggregate, could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 No Default</w:t>
      </w:r>
      <w:r>
        <w:rPr>
          <w:rFonts w:ascii="Times New Roman" w:cs="Times New Roman" w:eastAsia="Times New Roman" w:hAnsi="Times New Roman"/>
          <w:sz w:val="20"/>
          <w:szCs w:val="20"/>
          <w:color w:val="auto"/>
        </w:rPr>
        <w:t>. Each of the Borrower and its Restricted Subsidiaries is in compliance with all laws, rules, regulations and orders of any Governmental Authority applicable to it or its property, except where the failure to do so, individually or in the aggregate, could not reasonably be expected to result in a Material Adverse Effect. No Default has occurred and is continuing.</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None of the Borrower or any Guarantor is or is required to be registered as an “investment company” under the Investment Company Act of 1940.</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None of the Borrower or any Restricted Subsidiary is engaged in the business of purchasing or carrying, or extending credit for the purpose of purchasing or carrying, margin stock (within the meaning of Regulation U issued by the Board), and no proceeds of any Loan or any Letter of Credit will be used to purchase or carry any margin stock or to extend credit to others for the purpose of purchasing or carrying any margin stock in violation of Regulation U or Regulation X issued by the Board and all official rulings and interpretations thereunder or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Except as could not reasonably be expected to result in a Material Adverse Effect, (i) each of the Borrower and its Restricted Subsidiaries has timely filed or caused to be filed all Tax returns and reports required to have been filed with respect to income, properties or operations of the Borrower and its Restricted Subsidiaries, (ii) such returns accurately reflect in all material respects all liability for Taxes of the Borrower and its Subsidiaries as a whole for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20"/>
          <w:szCs w:val="20"/>
          <w:color w:val="auto"/>
        </w:rPr>
        <w:t>covered thereby and (iii) each of the Borrower and its Restricted Subsidiaries has paid or caused to be paid all Taxes required to have been paid by it, except Taxes that are being contested in good faith by appropriate proceedings and, to the extent required by GAAP, for which the Borrower or such Restricted Subsidiary, as applicable, has set aside on its books adequate reserves in accordance with GAAP.</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sets forth each Plan as of the Effective Date. Each Plan is in compliance in form and operation with its terms and with ERISA and the Code (including without limitation the Code provisions compliance with which is necessary for any intended favorable tax treatment) and all other applicable laws and regulations, except, in each case, where any failure to comply could not reasonably be expected to result in a Material Adverse Effect.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other than as could not, individually or in the aggregate with all other ERISA Events, reasonably be expected to result in a Material Adverse Effect.</w:t>
      </w:r>
    </w:p>
    <w:p>
      <w:pPr>
        <w:spacing w:after="0" w:line="182" w:lineRule="exact"/>
        <w:rPr>
          <w:sz w:val="20"/>
          <w:szCs w:val="20"/>
          <w:color w:val="auto"/>
        </w:rPr>
      </w:pPr>
    </w:p>
    <w:p>
      <w:pPr>
        <w:ind w:firstLine="656"/>
        <w:spacing w:after="0" w:line="283"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exists no Unfunded Pension Liability with respect to any Plan, except as could not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Borrower, any Restricted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claims pending against or involving a Plan (other than routine claims for benefits) or, to the knowledge of the Borrower, any Restricted Subsidiary or any ERISA Affiliate, threatened, which would reasonably be expected to be asserted successfully against any Plan and, if so asserted successfully, would reasonably be expected, either individually or in the aggregate, to result in a Material Adverse Effect.</w:t>
      </w:r>
    </w:p>
    <w:p>
      <w:pPr>
        <w:spacing w:after="0" w:line="18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its Restricted Subsidiaries and its ERISA Affiliates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could not reasonably be expected to result in a Material Adverse Effect.</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Plan which is subject to Section 412 of the Code or Section 302 of ERISA has applied for or received an extension of any amortization period, within the meaning of Section 412 of the Code or Section 302 or 304 of ERISA. The Borrower, any Restricted Subsidiary, and any ERISA Affiliate have not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Borrower, any Restricted Subsidiary or any ERISA Affiliate have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20"/>
          <w:szCs w:val="20"/>
          <w:color w:val="auto"/>
        </w:rPr>
        <w:t>reasonably expect to incur any liability to PBGC except as could not reasonably be expected to result in material liability, save for any liability for premiums due in the ordinary course or other liability which could not reasonably be expected to result in material liability, and no lien imposed under the Code or ERISA on the assets of the Borrower or any Restricted Subsidiary or any ERISA Affiliate exists or, to the knowledge of the Borrower, is likely to arise on account of any Plan. None of the Borrower, any Restricted Subsidiary or any ERISA Affiliate has engaged in a transaction that could be subject to Section 4069 or 4212(c) of ERISA.</w:t>
      </w:r>
    </w:p>
    <w:p>
      <w:pPr>
        <w:spacing w:after="0" w:line="192" w:lineRule="exact"/>
        <w:rPr>
          <w:sz w:val="20"/>
          <w:szCs w:val="20"/>
          <w:color w:val="auto"/>
        </w:rPr>
      </w:pPr>
    </w:p>
    <w:p>
      <w:pPr>
        <w:jc w:val="both"/>
        <w:ind w:firstLine="656"/>
        <w:spacing w:after="0" w:line="252" w:lineRule="auto"/>
        <w:tabs>
          <w:tab w:leader="none" w:pos="129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could not reasonably be expected to result in a material liability. All contributions required to be made with respect to a Non-U.S. Plan have been timely made, except as could not reasonably be expected to result in a Material Adverse Effect. Neither the Borrower nor any of its Restricted Subsidiaries has incurred any material obligation in connection with the termination of, or withdrawal from, any Non-U.S. Plan. The present value of the accrued benefit liabilities (whether or not vested) under each Non-U.S. Plan, determined as of the end of the Borrower’s most recently ended fiscal year on the basis of actuarial assumptions, each of which is reasonable, did not exceed the current value of the assets of such Non-U.S. Plan allocable to such benefit liabilities, except as could not reasonably be expected to result in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as of the Effective Date that the assets of the Borrower involved in the transactions contemplated by this Agreement do not constitute “plan assets” (within the meaning of 29 CFR § 2510.3-101, as modified by Section 3(42) of ERISA) of one or more Benefit Plans.</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All written information and data provided in formal presentations or in any meeting with Lenders (other than any projected financial information and other forward-looking information and other than information of a general economic or industry specific nature) furnished by or on behalf of the Borrower to the Administrative Agent or any Lender in connection with the negotiation of this Agreement or delivered hereunder, as modified or supplemented by other information so furnished and when taken in combination with the Borrower’s public filings with the Securities and Exchange Commission and taken as a whole, does not contain any material misstatement of fact or omit to state any material fact necessary to make the statements therein, in light of the circumstances under which they were made, not materially misleading;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projected financial information, the Borrower represents only that such information was prepared in good faith based upon assumptions believed to be reasonable at the time furnished (it being understood that such projected financial information is subject to significant uncertainties and contingencies, any of which are beyond the Borrower’s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3.13</w:t>
      </w:r>
      <w:r>
        <w:rPr>
          <w:rFonts w:ascii="Times New Roman" w:cs="Times New Roman" w:eastAsia="Times New Roman" w:hAnsi="Times New Roman"/>
          <w:sz w:val="20"/>
          <w:szCs w:val="20"/>
          <w:color w:val="auto"/>
        </w:rPr>
        <w:t xml:space="preserve"> sets forth as of the Effective Date a list of all Subsidiaries and the percentage ownership (directly or indirectly) of the Borrower therein. Except as could not, individually or in the aggregate, reasonably be expected to result in a Material Adverse Effect, the shares of capital stock or other ownership interests of all Restricted Subsidiaries of the Borrower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fully paid and non-assessable, if applicable, and are owned by the Borrower, directly or indirectly, free and clear of all Liens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 of the Effective Date, the Borrower and the Restricted Subsidiaries, taken as a whole, are, and after giving effect to the incurrence of any Indebtedness and obligations being incurred in connection herewith will be, Solvent.</w:t>
      </w:r>
    </w:p>
    <w:p>
      <w:pPr>
        <w:spacing w:after="0" w:line="1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Anti-Terrorism Law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To the extent applicable, neither the Borrower nor any of its Subsidiaries is in violation of any legal requirement relating to U.S. economic sanctions or any laws with respect to terrorism or money laundering, including Executive Order No. 13224 on Terrorist Financing effective September 24, 2001 (the “</w:t>
      </w:r>
      <w:r>
        <w:rPr>
          <w:rFonts w:ascii="Times New Roman" w:cs="Times New Roman" w:eastAsia="Times New Roman" w:hAnsi="Times New Roman"/>
          <w:sz w:val="20"/>
          <w:szCs w:val="20"/>
          <w:b w:val="1"/>
          <w:bCs w:val="1"/>
          <w:color w:val="auto"/>
        </w:rPr>
        <w:t>Executive Order</w:t>
      </w:r>
      <w:r>
        <w:rPr>
          <w:rFonts w:ascii="Times New Roman" w:cs="Times New Roman" w:eastAsia="Times New Roman" w:hAnsi="Times New Roman"/>
          <w:sz w:val="20"/>
          <w:szCs w:val="20"/>
          <w:color w:val="auto"/>
        </w:rPr>
        <w:t>”), the USA PATRIOT Act, the laws comprising or implementing the Bank Secrecy Act to the extent applicable and the laws administered by the United States Treasury Department’s Office of Foreign Assets Control (each as from time to time in effect) (collectively, “</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56"/>
        <w:spacing w:after="0" w:line="258" w:lineRule="auto"/>
        <w:tabs>
          <w:tab w:leader="none" w:pos="128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(w) the Borrower, any of its Subsidiaries, or any of the Borrower’s directors or officers, or (x) to the knowledge of the Borrower, any of the directors or officers of any of the Borrower’s Subsidiaries, or (y) to the knowledge of the Borrower, any of the employees of the Borrower or its Subsidiaries, or (z) to the knowledge of the Borrower, any agent of the Borrower or any Subsidiary that will act in any capacity in connection with or benefit from the credit facility established hereby, is any of the following:</w:t>
      </w:r>
    </w:p>
    <w:p>
      <w:pPr>
        <w:spacing w:after="0" w:line="18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that is listed in the annex to, or is otherwise subject to the provisions of, the Executive Order;</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761"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owned or controlled by, or acting for or on behalf of, any Person that is listed in the annex to, or is otherwise subject to the provisions of, the Executive Order;</w:t>
      </w:r>
    </w:p>
    <w:p>
      <w:pPr>
        <w:spacing w:after="0" w:line="159" w:lineRule="exact"/>
        <w:rPr>
          <w:rFonts w:ascii="Times New Roman" w:cs="Times New Roman" w:eastAsia="Times New Roman" w:hAnsi="Times New Roman"/>
          <w:sz w:val="20"/>
          <w:szCs w:val="20"/>
          <w:color w:val="auto"/>
        </w:rPr>
      </w:pPr>
    </w:p>
    <w:p>
      <w:pPr>
        <w:ind w:left="1880" w:hanging="576"/>
        <w:spacing w:after="0"/>
        <w:tabs>
          <w:tab w:leader="none" w:pos="188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with which any Lender is prohibited from dealing or otherwise engaging in any transaction by any Anti-</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Terrorism Law;</w:t>
      </w:r>
    </w:p>
    <w:p>
      <w:pPr>
        <w:spacing w:after="0" w:line="207"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that commits, threatens or conspires to commit or supports “terrorism” as defined in the Executive Order; or</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Sanctioned Country or a Sanctioned Person.</w:t>
      </w:r>
    </w:p>
    <w:p>
      <w:pPr>
        <w:spacing w:after="0" w:line="229"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4"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Borrower nor any of its Subsidiaries (i) conducts any business with, or engages in making or receiving any contribution of funds, goods or services to or for the benefit of, a Person described in </w:t>
      </w:r>
      <w:r>
        <w:rPr>
          <w:rFonts w:ascii="Times New Roman" w:cs="Times New Roman" w:eastAsia="Times New Roman" w:hAnsi="Times New Roman"/>
          <w:sz w:val="19"/>
          <w:szCs w:val="19"/>
          <w:u w:val="single" w:color="auto"/>
          <w:color w:val="auto"/>
        </w:rPr>
        <w:t>Section 3.15(b)(i)-(v)</w:t>
      </w:r>
      <w:r>
        <w:rPr>
          <w:rFonts w:ascii="Times New Roman" w:cs="Times New Roman" w:eastAsia="Times New Roman" w:hAnsi="Times New Roman"/>
          <w:sz w:val="19"/>
          <w:szCs w:val="19"/>
          <w:color w:val="auto"/>
        </w:rPr>
        <w:t xml:space="preserve"> above, except as permitted under U.S. law,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applicable Anti-Terrorism Law. Neither the Borrower nor its Subsidiaries nor</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29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Borrower’s directors or officers or (y) to the Borrower’s knowledge, any of the directors or officers of any of the Borrower’s Subsidiaries or any Affiliate, employee, agent or representative of the Borrower or any of its Subsidiaries has with respect to the business of the Borrower or its Subsidiaries taken or will take any action in furtherance of an offer, payment, promise to pay, or authorization or approval of the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20"/>
          <w:szCs w:val="20"/>
          <w:color w:val="auto"/>
        </w:rPr>
        <w:t>giving of money, property, gifts or anything else of value, directly or indirectly, to any person while knowing that all or some portion of the money or value will be offered, given, or promised to anyone to improperly influence official action, to obtain or retain business or otherwise to secure any improper advantage, in each case in violation in any material respect of any applicable Anti-Corruption Law.</w:t>
      </w:r>
    </w:p>
    <w:p>
      <w:pPr>
        <w:spacing w:after="0" w:line="181" w:lineRule="exact"/>
        <w:rPr>
          <w:sz w:val="20"/>
          <w:szCs w:val="20"/>
          <w:color w:val="auto"/>
        </w:rPr>
      </w:pPr>
    </w:p>
    <w:p>
      <w:pPr>
        <w:jc w:val="both"/>
        <w:ind w:firstLine="656"/>
        <w:spacing w:after="0" w:line="258"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not use, and will not permit any of its Subsidiaries to use, the proceeds of the Loans or any Letter of Credit or otherwise make available such proceeds or Letters of Credit to any Person described in </w:t>
      </w:r>
      <w:r>
        <w:rPr>
          <w:rFonts w:ascii="Times New Roman" w:cs="Times New Roman" w:eastAsia="Times New Roman" w:hAnsi="Times New Roman"/>
          <w:sz w:val="20"/>
          <w:szCs w:val="20"/>
          <w:u w:val="single" w:color="auto"/>
          <w:color w:val="auto"/>
        </w:rPr>
        <w:t>Section 3.15(b)(i)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for the purpose of financing the activities of any Person described in </w:t>
      </w:r>
      <w:r>
        <w:rPr>
          <w:rFonts w:ascii="Times New Roman" w:cs="Times New Roman" w:eastAsia="Times New Roman" w:hAnsi="Times New Roman"/>
          <w:sz w:val="20"/>
          <w:szCs w:val="20"/>
          <w:u w:val="single" w:color="auto"/>
          <w:color w:val="auto"/>
        </w:rPr>
        <w:t>Section 3.15(b)(i)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or in any other manner that would violate any Anti-Terrorism Laws or applicable Sanctions.</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implemented and maintains in effect policies and procedures designed to promote compliance by the Borrower, its Subsidiaries and their respective directors, officers, employees and agents with applicable Anti-Terrorism Laws, applicable Anti-Corruption Laws and applicable Sanctions, and the Borrower, its Subsidiaries and the officers and directors of the Borrower and, to the knowledge of the Borrower, each of the officers and directors of any of the Borrower’s Subsidiaries and each of the employees and agents of the Borrower and its Subsidiaries, are in compliance with applicable Anti-Terrorism Laws, applicable Anti-Corruption Laws and applicable Sanctions with respect to the business of the Borrower or its Subsidiaries.</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suit or proceeding is pending or, to the knowledge of the Borrower, threatened in writing, by or before any court or governmental or regulatory authorities or any arbitrator against the Borrower or any of its Subsidiaries for its or their violation in any material respect of applicable Anti-Corruption Laws.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FCPA; Sanctions</w:t>
      </w:r>
      <w:r>
        <w:rPr>
          <w:rFonts w:ascii="Times New Roman" w:cs="Times New Roman" w:eastAsia="Times New Roman" w:hAnsi="Times New Roman"/>
          <w:sz w:val="20"/>
          <w:szCs w:val="20"/>
          <w:color w:val="auto"/>
        </w:rPr>
        <w:t>. No part of the proceeds of the Loans or any Letter of Credit will be used by the Borrower or any of its Subsidiaries, directly or, to the Borrower’s or any Subsidiary’s knowledge, indirectly, (a) in furtherance of an offer, payment, promise to pay, or authorization of the payment or giving of money, or anything else of value, to any Person in violation of any applicable Anti-Corruption Laws, (b) for the purpose of funding, financing or facilitating any unauthorized activities, business or transaction of or with any Person, or in any country or territory that, at the time of such funding, financing or facilitating, is a Sanctioned Person or Sanctioned Country or (c) in any manner that would result in the violation of any Sanctions applicable to any party hereto. Since April 24, 2019, neither the Borrower nor any of its Subsidiaries has knowingly engaged in, is now knowingly engaged in, or will engage in, any unauthorized dealings or unauthorized transactions with any Sanctioned Person or Sanctioned Country.</w:t>
      </w:r>
    </w:p>
    <w:p>
      <w:pPr>
        <w:spacing w:after="0" w:line="18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Neither the Borrower nor any of its Subsidiaries is a “covered foreign person” engaging in a “covered activity”, as such terms are used in the Outbound Investment Rules.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As of the Effective Date, the information included in the Beneficial Ownership Certification, if applicable, is true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90" w:name="page91"/>
    <w:bookmarkEnd w:id="90"/>
    <w:p>
      <w:pPr>
        <w:ind w:left="4980"/>
        <w:spacing w:after="0"/>
        <w:rPr>
          <w:sz w:val="20"/>
          <w:szCs w:val="20"/>
          <w:color w:val="auto"/>
        </w:rPr>
      </w:pPr>
      <w:r>
        <w:rPr>
          <w:rFonts w:ascii="Times New Roman" w:cs="Times New Roman" w:eastAsia="Times New Roman" w:hAnsi="Times New Roman"/>
          <w:sz w:val="20"/>
          <w:szCs w:val="20"/>
          <w:color w:val="auto"/>
        </w:rPr>
        <w:t>ARTICLE 4</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56"/>
        <w:spacing w:after="0" w:line="261"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each party hereto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Note executed by the Borrower in favor of each Lender requesting a Note in advance of the Effective Date.</w:t>
      </w:r>
    </w:p>
    <w:p>
      <w:pPr>
        <w:spacing w:after="0" w:line="172"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favorable written opinion (addressed to the Administrative Agent, the Issuing Banks and the Lenders and dated the Effective Date) of Cooley LLP, counsel for the Borrower in form and substance reasonably satisfactory to the Administrative Agent. The Borrower hereby requests such counsel to deliver such opinion.</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certified copies of the resolutions of the board of directors of the Borrower and the Guarantors approving the transactions contemplated by the Loan Documents to which each such Loan Party is a party and the execution and delivery of such Loan Documents to be delivered by such Loan Party on the Effective Date, and all documents evidencing other necessary organizational action and governmental approvals, if any, with respect to the Loan Documents and (ii) all other organizational documentation reasonably requested by the Administrative Agent relating to the formation, organization, existence and good standing of the Guarantors and the Borrower and authorization of the transactions contemplated hereby.</w:t>
      </w:r>
    </w:p>
    <w:p>
      <w:pPr>
        <w:spacing w:after="0" w:line="17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of the Secretary or an Assistant Secretary of the Borrower and each Guarantor certifying the names and true signatures of the officers of such entity authorized to sign the Loan Documents to which it is a party, to be delivered by such entity on the Effective Date and the other documents to be delivered hereunder on the Effective Date.</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(i) a certificate, dated the Effective Date and signed on behalf of the Borrower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President, a Vice President or a Financial Officer of the Borrower, confirming compliance with the conditions set forth in paragraphs</w:t>
      </w:r>
    </w:p>
    <w:p>
      <w:pPr>
        <w:spacing w:after="0" w:line="6" w:lineRule="exact"/>
        <w:rPr>
          <w:sz w:val="20"/>
          <w:szCs w:val="20"/>
          <w:color w:val="auto"/>
        </w:rPr>
      </w:pPr>
    </w:p>
    <w:p>
      <w:pPr>
        <w:jc w:val="both"/>
        <w:ind w:firstLine="8"/>
        <w:spacing w:after="0" w:line="251" w:lineRule="auto"/>
        <w:tabs>
          <w:tab w:leader="none" w:pos="29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(b)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of the Effective Date, and (ii) a solvency certificate, dated the Effective Date and signed on behalf of the Borrower by a Financial Officer of the Borrower, certifying that, as of the Effective Date, the Borrower and the Restricted Subsidiaries, taken as a whole, are, and after giving effect to the incurrence of any Indebtedness and obligations being incurred in connection herewith will be, Solvent.</w:t>
      </w:r>
    </w:p>
    <w:p>
      <w:pPr>
        <w:spacing w:after="0" w:line="190"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8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the Administrative Agent and the Arrangers shall have received all fees required to be paid by the Borrower on the Effective Date, and all expenses required to be reimbursed by the Borrower for which invoices have been presented at least three Business Days prior to the Effective Date, on or before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91" w:name="page92"/>
    <w:bookmarkEnd w:id="91"/>
    <w:p>
      <w:pPr>
        <w:ind w:firstLine="656"/>
        <w:spacing w:after="0" w:line="258"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reasonable request of any Lender made at least ten (10) Business Days prior to the Effective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(3) Business Days prior to the Effective Date.</w:t>
      </w:r>
    </w:p>
    <w:p>
      <w:pPr>
        <w:spacing w:after="0" w:line="172" w:lineRule="exact"/>
        <w:rPr>
          <w:rFonts w:ascii="Times New Roman" w:cs="Times New Roman" w:eastAsia="Times New Roman" w:hAnsi="Times New Roman"/>
          <w:sz w:val="20"/>
          <w:szCs w:val="20"/>
          <w:color w:val="auto"/>
        </w:rPr>
      </w:pPr>
    </w:p>
    <w:p>
      <w:pPr>
        <w:ind w:right="360" w:firstLine="656"/>
        <w:spacing w:after="0" w:line="268" w:lineRule="auto"/>
        <w:tabs>
          <w:tab w:leader="none" w:pos="129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two Business Days prior to the Effective Date, any Borrower that qualifies as a “legal entity customer” under the Beneficial Ownership Regulation shall deliver, to each Lender that so requests, a Beneficial Ownership Certification in relation to such Borrower.</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audited consolidated financial statements of the Borrower for the annual period ended December 31, 2025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financial statements shall be deemed to have been delivered on February 26, 2026).</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The Administrative Agent shall notify the Borrower and the Lenders of the Effective Date, and such notice shall be conclusive and binding. Without limiting the generality of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xml:space="preserve">. Except as expressly set forth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the obligation of each Lender to make a Loan on the occasion of any Borrowing, and of the Issuing Banks to issue, amend, review or extend any Letter of Credit, is subject to the satisfaction of the following conditions:</w:t>
      </w:r>
    </w:p>
    <w:p>
      <w:pPr>
        <w:spacing w:after="0" w:line="161" w:lineRule="exact"/>
        <w:rPr>
          <w:sz w:val="20"/>
          <w:szCs w:val="20"/>
          <w:color w:val="auto"/>
        </w:rPr>
      </w:pPr>
    </w:p>
    <w:p>
      <w:pPr>
        <w:jc w:val="both"/>
        <w:ind w:firstLine="656"/>
        <w:spacing w:after="0" w:line="251" w:lineRule="auto"/>
        <w:tabs>
          <w:tab w:leader="none" w:pos="12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set forth in this Agreement and the other Loan Documents shall be true and correct in all material respects on and as of the date of such Borrowing, or the date of issuance, amendment, extension or increase of such Letter of Credit, as applicable, except that (i) for purposes of this Section, the representations and warranties contained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or words of similar effect in the text thereof, they shall be true and correct in all respects.</w:t>
      </w:r>
    </w:p>
    <w:p>
      <w:pPr>
        <w:spacing w:after="0" w:line="195"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or issuance, amendment, extension or increase of a Letter of Credit, as applicable, no Default or Event of Default shall have occurred and be continuing.</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Borrowing Request.</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Banks shall have received all documentation and assurances required under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otherwise as shall be reasonably required by it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Borrowing or issuance, amendment, extension or increase of a Letter of Credit, as applicable, shall be deemed to constitute a representation and warranty by the Borrower that the conditions specified in paragraphs (a) and (b)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have been satisfied as of the date thereof.</w:t>
      </w:r>
    </w:p>
    <w:p>
      <w:pPr>
        <w:spacing w:after="0" w:line="18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5</w:t>
      </w:r>
    </w:p>
    <w:p>
      <w:pPr>
        <w:spacing w:after="0" w:line="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the cancellation or expiration or Cash Collateralization of all Letters of Credit on terms reasonably satisfactory to the applicable Issuing Bank in an amount equal to the Agreed L/C Cash Collateral Amount of all Letter of Credit Usage, the Borrower covenants and agrees with the Lenders that: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Financial Statements; Other Information</w:t>
      </w:r>
      <w:r>
        <w:rPr>
          <w:rFonts w:ascii="Times New Roman" w:cs="Times New Roman" w:eastAsia="Times New Roman" w:hAnsi="Times New Roman"/>
          <w:sz w:val="20"/>
          <w:szCs w:val="20"/>
          <w:color w:val="auto"/>
        </w:rPr>
        <w:t>. The Borrower will furnish to the Administrative Agent (for distribution to each Lender):</w:t>
      </w:r>
    </w:p>
    <w:p>
      <w:pPr>
        <w:spacing w:after="0" w:line="160" w:lineRule="exact"/>
        <w:rPr>
          <w:sz w:val="20"/>
          <w:szCs w:val="20"/>
          <w:color w:val="auto"/>
        </w:rPr>
      </w:pPr>
    </w:p>
    <w:p>
      <w:pPr>
        <w:jc w:val="both"/>
        <w:ind w:firstLine="656"/>
        <w:spacing w:after="0" w:line="264" w:lineRule="auto"/>
        <w:tabs>
          <w:tab w:leader="none" w:pos="1286"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commencing with the fiscal year ending December 31, 2026, within 90 days after each fiscal year end of the Borrower, its audited consolidated balance sheet and related statements of operations, stockholders’ equity and cash flows as of the end of and for such year, setting forth in each case in comparative form the figures for the previous fiscal year, all reported on by PricewaterhouseCoopers LLP, or other independent public accountants of recognized national standing (without a “going concern” or like qualification or exception (other than any exception, explanatory paragraph or qualification related to (i) the maturity of the Commitments and the Loans at the Maturity Date,</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32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potential inability to satisfy a financial maintenance covenant on a future date or in a future period, or (iii) the activities, operations, financial results, assets or liabilities of any Unrestricted Subsidiary)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and (II) commencing with the fiscal year ending December 31, 2027, within 135 days after the beginning each fiscal year, a consolidated annual budget for such fiscal year consisting of a projected income statement (collectively, the “</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which Budget shall in each case be accompanied by the statement of a Financial Officer of the Borrower to the effect that the Budget is based on assumptions believed by the Borrower to be reasonable as of the date of delivery thereof;</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with the fiscal quarter ended March 31, 2026, 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any delivery of financial statements under clause (a) or (b) above, a compliance certificate of a Financial Officer of the Borrower in substantially the form of </w:t>
      </w:r>
      <w:r>
        <w:rPr>
          <w:rFonts w:ascii="Times New Roman" w:cs="Times New Roman" w:eastAsia="Times New Roman" w:hAnsi="Times New Roman"/>
          <w:sz w:val="20"/>
          <w:szCs w:val="20"/>
          <w:u w:val="single" w:color="auto"/>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attached hereto (i) certifying as to whether a Default has occurred and is continuing as of the date thereof and, if a Default has occurred and is continuing as of the date thereof,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20"/>
          <w:szCs w:val="20"/>
          <w:u w:val="single" w:color="auto"/>
          <w:color w:val="auto"/>
        </w:rPr>
        <w:t>Section 6.01(o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6.08(k)</w:t>
      </w:r>
      <w:r>
        <w:rPr>
          <w:rFonts w:ascii="Times New Roman" w:cs="Times New Roman" w:eastAsia="Times New Roman" w:hAnsi="Times New Roman"/>
          <w:sz w:val="20"/>
          <w:szCs w:val="20"/>
          <w:color w:val="auto"/>
        </w:rPr>
        <w:t xml:space="preserve"> as of the last day of the applicable fiscal quarter or fiscal year for which such financial statements are being delivered, and (iii) if and to the extent that any change in GAAP that has occurred since the date of the audited financial statements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had an impact on such financial statements, specifying the effect of such change on the financial statements accompanying such certificate;</w:t>
      </w:r>
    </w:p>
    <w:p>
      <w:pPr>
        <w:spacing w:after="0" w:line="192" w:lineRule="exact"/>
        <w:rPr>
          <w:sz w:val="20"/>
          <w:szCs w:val="20"/>
          <w:color w:val="auto"/>
        </w:rPr>
      </w:pPr>
    </w:p>
    <w:p>
      <w:pPr>
        <w:jc w:val="both"/>
        <w:ind w:firstLine="656"/>
        <w:spacing w:after="0" w:line="253" w:lineRule="auto"/>
        <w:tabs>
          <w:tab w:leader="none" w:pos="128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same become publicly available, copies of all periodic and other reports, proxy statements and other materials filed by Holdings, the Borrower or any Restricted Subsidiary with the SEC, or any Governmental Authority succeeding to any or all of the functions of said Commission, or with any national securities exchange, as the case may be, in each case that is not otherwise required to be delivered to the Administrative Agent pursuant 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information shall be deemed to have been delivered on the date on which such information has been posted on the Borrower’s website on the Internet on any investor relations page at http://www.instacart.com (or any successor page) or at http://www.sec.gov;</w:t>
      </w:r>
    </w:p>
    <w:p>
      <w:pPr>
        <w:spacing w:after="0" w:line="1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in writing (including any electronic message) therefor, such other information regarding the operations, business affairs and financial condition of Holdings, the Borrower or any Restricted Subsidiary, or compliance with the terms of this Agreement or any other Loan Document, as the Administrative Agent or any Lender (through the Administrative Agent) may reasonably request.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Information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 xml:space="preserve"> may be delivered electronically and if so delivered, shall be deemed to have been delivered on the date (i) on which the Borrower posts such information, or provides a link thereto on the Borrower’s website on the Internet on any investor relations page at http://www.instacart.com (or any successor page) or at http://www.sec.gov; or (ii) on which such information is posted on the Borrower’s behalf on an Internet or intranet website, if any, to which the Lenders and the Administrative Agent have been granted access (whether a commercial, third-party website or whether sponsored by the Administrative Agent).</w:t>
      </w:r>
    </w:p>
    <w:p>
      <w:pPr>
        <w:spacing w:after="0" w:line="1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to the Administrative Agent (for distribution to each Lender)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prompt written notice after a Responsible Officer of the Borrower obtains knowledge of the following:</w:t>
      </w:r>
    </w:p>
    <w:p>
      <w:pPr>
        <w:spacing w:after="0" w:line="207"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the Borrower or any Restricted Subsidiary thereof that could reasonably be expected to result in a Material Adverse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94" w:name="page95"/>
    <w:bookmarkEnd w:id="94"/>
    <w:p>
      <w:pPr>
        <w:ind w:left="1300" w:hanging="644"/>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could reasonably be expected to result in, a Material Adverse Effect.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statement of a Responsible Officer or other executive officer of the Borrower setting forth the details of the event or development requiring such notice and any action taken or proposed to be taken with respect thereto.</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The Borrower will, and will cause each of its Restricted Subsidiaries (other than any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foregoing shall not prohibit any merger, consolidation, liquidation or dissolution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and (ii) none of the Borrower or any of its Restricted Subsidiaries (other than any Immaterial Subsidiaries) shall be required to preserve, renew or keep in full force and effect its rights, licenses, permits, privileges or franchises where failure to do so could not reasonably be expected to result in a Material Adverse Effect.</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The Borrower will, and will cause each of its Restricted Subsidiaries to, pay all Tax liabilities, including all Taxes imposed upon it or each such Restricted Subsidiary, or its and their respective income, profits, properties or operations that, if unpaid, could reasonably be expected to result in a Material Adverse Effect, before the same shall become delinquent or in default, and all lawful claims other than Tax liabilities that, if unpaid, would become a Lien upon any properties of the Borrower or any of its Restricted Subsidiaries not otherwise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in both cases except where the validity or amount thereof is being contested in good faith by appropriate proceedings and to the extent required by GAAP, the Borrower or such Restricted Subsidiary has set aside on its books adequate reserves with respect thereto in accordance with GAAP.</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Maintenance of Properties; Insurance</w:t>
      </w:r>
      <w:r>
        <w:rPr>
          <w:rFonts w:ascii="Times New Roman" w:cs="Times New Roman" w:eastAsia="Times New Roman" w:hAnsi="Times New Roman"/>
          <w:sz w:val="20"/>
          <w:szCs w:val="20"/>
          <w:color w:val="auto"/>
        </w:rPr>
        <w:t>. The Borrower will, and will cause each of its Restricted Subsidiaries to, (a) keep and maintain all property used in the conduct of its business in good working order and condition, ordinary wear and tear and casualty events excepted, except to the extent that failure to do so could not reasonably be expected to have a Material Adverse Effect and</w:t>
      </w:r>
    </w:p>
    <w:p>
      <w:pPr>
        <w:spacing w:after="0" w:line="2" w:lineRule="exact"/>
        <w:rPr>
          <w:sz w:val="20"/>
          <w:szCs w:val="20"/>
          <w:color w:val="auto"/>
        </w:rPr>
      </w:pPr>
    </w:p>
    <w:p>
      <w:pPr>
        <w:ind w:firstLine="8"/>
        <w:spacing w:after="0" w:line="260" w:lineRule="auto"/>
        <w:tabs>
          <w:tab w:leader="none" w:pos="29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insurance with financially sound and reputable insurance companies in such amounts and against such risks as are customarily maintained by companies engaged in the same or similar businesses operating in the same or similar locations.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The Borrower will, and will cause each of its Restricted Subsidiaries to, keep proper books of record and account in which entries full, true and correct in all material respects are made and are sufficient to prepare financial statements in accordance with GAAP. Notwithstanding anything to the contrary in this Section, none of the Borrower or any of its Restricted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any third party contract legally binding on Borrower or its Restricted Subsidiaries, or (iii) is subject to attorney, client or similar privilege or constitutes attorney work-product.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ERISA-Related Information</w:t>
      </w:r>
      <w:r>
        <w:rPr>
          <w:rFonts w:ascii="Times New Roman" w:cs="Times New Roman" w:eastAsia="Times New Roman" w:hAnsi="Times New Roman"/>
          <w:sz w:val="20"/>
          <w:szCs w:val="20"/>
          <w:color w:val="auto"/>
        </w:rPr>
        <w:t xml:space="preserve">. The Borrower shall supply to the Administrative Agent (in sufficient copies for all the Lenders, if the Administrative Agent so requests): (a) promptly and in any event within fifteen (15) days after the Borrower, any Restricted Subsidiary or any ERISA Affiliate files a Schedule B (or such other schedule as contains actuarial information) to IRS Form 5500 in respect of a Plan with Unfunded Pension Liabilities, a copy of such IRS Form 5500 (including the Schedule B); (b) promptly and in any event within 30 days after the Borrower, any Restricted Subsidiary or any ERISA Affiliate knows or has reason to know that any ERISA Event has occurred, a certificate of the most senior financial officer of the Borrower describing such ERISA Event and the action, if any, proposed to be taken with respect to such ERISA Event and a copy of any notice filed with the PBGC or the IRS pertaining to such ERISA Event and any notices received by such Borrower, Restricted Subsidiary, or ERISA Affiliate from the PBGC or any other governmental agency with respect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ERISA Events under paragraph (b) of the definition thereof, in no event shall notice be given later than the occurrence of the ERISA Event; (c) promptly, and in any event within 30 days, after becoming aware that there has been (i) a material increase in Unfunded Pension Liabilities (taking into account only Pension Plans with positive Unfunded Pension Liabilities) since the date the representations hereunder are given or deemed given, or from any prior notice, as applicable; (ii) the existence of potential withdrawal liability under Section 4201 of ERISA, if the Borrower, any Restricted Subsidiary and the ERISA Affiliates were to withdraw completely from any and all Multiemployer Plans, (iii) the adoption of, or the commencement of contributions to, any Plan subject to Title IV of ERISA or Section 412 of the Code or Section 302 of ERISA by the Borrower, any Restricted Subsidiary or any ERISA Affiliate, or (iv) the adoption of any amendment to a Plan subject to Title IV of ERISA or Section 412 of the Code or Section 302 of ERISA which results in a material increase in contribution obligations of the Borrower, any Restricted Subsidiary or any ERISA Affiliate, a detailed written description thereof from the most senior financial officer of the Borrower; and (d) if, at any time after the Effective Date, the Borrower, any Restricted Subsidiary or any ERISA Affiliate maintains, or contributes to (or incurs an obligation to contribute to), a Pension Plan or Multiemployer Plan which is not set forth in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then the Borrower shall deliver to the Administrative Agent an updated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as soon as practicable, and in any event within 20 days after the Borrower, such Restricted Subsidiary or such ERISA Affiliate maintains, or contributes to (or incurs an obligation to contribute to), thereto.</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Borrower will, and will cause each of its Restricted Subsidiaries to, comply with all laws, rules, regulations and orders of any Governmental Authority applicable to it or its property, except where the failure to do so, individually or in the aggregate, could not reasonably be expected to result in a Material Adverse Effect. The Borrower will maintain in effect and use reasonable measures to enforce policies and procedures designed to promote compliance by the Borrower, its Subsidiaries and their respective directors, officers, employees and agents with applicable Anti-Corruption Laws, applicable Anti-Terrorism Laws and applicable Sanctions.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Loans will be used only for working capital and general corporate purposes, including, without limitation, for stock repurchases under stock repurchase programs approved by the Borrower and for acquisitions not prohibited hereunder. No part of the proceeds of any Loan and no Letter of Credit or proceeds of any Letter of Credit will be used, whether directly or indirectly, for any purpose that entails a violation of any of the Regulations of the Board, including Regulations T, U and X.</w:t>
      </w:r>
    </w:p>
    <w:p>
      <w:pPr>
        <w:spacing w:after="0" w:line="196" w:lineRule="exact"/>
        <w:rPr>
          <w:sz w:val="20"/>
          <w:szCs w:val="20"/>
          <w:color w:val="auto"/>
        </w:rPr>
      </w:pPr>
    </w:p>
    <w:p>
      <w:pPr>
        <w:jc w:val="both"/>
        <w:ind w:right="20" w:firstLine="648"/>
        <w:spacing w:after="0" w:line="290"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Additional Guarantors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If, as of the date of the most recently available financial statements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the case may be, any Subsidiary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20"/>
          <w:szCs w:val="20"/>
          <w:color w:val="auto"/>
        </w:rPr>
        <w:t>have become a Material Domestic Subsidiary (or shall be otherwise designated as a Material Domestic Subsidiary by the Borrower hereunder) at least 30 days prior to the date of delivery, then the Borrower shall, within 30 days (or such longer period of time as the Administrative Agent may agree in its sole discretion) after delivery of such financial statements, (i) cause such Material Domestic Subsidiary to enter into a Guaranty, or, if a Guaranty has previously been entered into by a Material Domestic Subsidiary (and remains in effect), a joinder agreement to such Guaranty in form and substance reasonably satisfactory to the Administrative Agent and (ii) deliver to the Administrative Agent, each Issuing Bank and each Lender all documentation and other information required by bank regulatory authorities under applicable “know-your-customer” and anti-money laundering rules and regulations, including the USA PATRIOT Act.</w:t>
      </w:r>
    </w:p>
    <w:p>
      <w:pPr>
        <w:spacing w:after="0" w:line="179" w:lineRule="exact"/>
        <w:rPr>
          <w:sz w:val="20"/>
          <w:szCs w:val="20"/>
          <w:color w:val="auto"/>
        </w:rPr>
      </w:pPr>
    </w:p>
    <w:p>
      <w:pPr>
        <w:jc w:val="both"/>
        <w:ind w:firstLine="656"/>
        <w:spacing w:after="0" w:line="258" w:lineRule="auto"/>
        <w:tabs>
          <w:tab w:leader="none" w:pos="128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the Administrative Agent, the Administrative Agent shall receive an opinion of counsel for the Borrower in form and substance reasonably satisfactory to the Administrative Agent in respect of matters reasonably requested by the Administrative Agent relating to any Guaranty or joinder agreement, amendments and supplements delivered pursuant to this Section, dated as of the date of such Guaranty or joinder agreement, amendments and supplements.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Substantially concurrently with any Permitted Holdco Transaction, (i) the Borrower shall cause Holdings to enter into a Holdings Guaranty in form and substance reasonably satisfactory to the Administrative Agent, (ii) the Administrative Agent shall receive the documentation required under Section 4.01(e) and Section 4.01(f) as if Holdings had been a Guarantor on the Effective Date (provided that references therein to the “Effective Date” shall be deemed references to the effective date of such Holdings Guaranty), (iii) the Administrative Agent and each Lender shall receive all documentation and other information required by bank regulatory authorities under applicable “know-your-customer” and anti-money laundering rules and regulations, including the USA Patriot Act, (iv) the Administrative Agent shall receive an opinion of counsel for the Borrower in form and substance reasonably satisfactory to the Administrative Agent in respect of matters reasonably requested by the Administrative Agent relating to any Holdings Guaranty dated as of the date of such Holdings Guaranty.</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Post-Closing</w:t>
      </w:r>
      <w:r>
        <w:rPr>
          <w:rFonts w:ascii="Times New Roman" w:cs="Times New Roman" w:eastAsia="Times New Roman" w:hAnsi="Times New Roman"/>
          <w:sz w:val="20"/>
          <w:szCs w:val="20"/>
          <w:color w:val="auto"/>
        </w:rPr>
        <w:t xml:space="preserve">. The Borrower shall execute and deliver the documents and complete the tasks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in each case within the time limits specified on such schedule subject to the extension by the Administrative Agent in its sole discretion.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Beneficial Ownership Regulations</w:t>
      </w:r>
      <w:r>
        <w:rPr>
          <w:rFonts w:ascii="Times New Roman" w:cs="Times New Roman" w:eastAsia="Times New Roman" w:hAnsi="Times New Roman"/>
          <w:sz w:val="20"/>
          <w:szCs w:val="20"/>
          <w:color w:val="auto"/>
        </w:rPr>
        <w:t>. Promptly following any request therefor, the Borrower will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5.14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Designation of Restricted and Unrestricted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may designate any Subsidiary, including a newly acquired or created Subsidiary, to be an Unrestricted Subsidiary if it meets the following qualifications:</w:t>
      </w:r>
    </w:p>
    <w:p>
      <w:pPr>
        <w:spacing w:after="0" w:line="137" w:lineRule="exact"/>
        <w:rPr>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Subsidiary does not own any Equity Interest of any Guarantor or any other Restricted Subsidiary;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6"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97" w:name="page98"/>
    <w:bookmarkEnd w:id="97"/>
    <w:p>
      <w:pPr>
        <w:ind w:right="20" w:firstLine="1304"/>
        <w:spacing w:after="0" w:line="283" w:lineRule="auto"/>
        <w:tabs>
          <w:tab w:leader="none" w:pos="19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or other credit support thereof by the Borrower, any Guarantor or any other Restricted Subsidiary is permitted under Section 6.01 or Section 6.08;</w:t>
      </w:r>
    </w:p>
    <w:p>
      <w:pPr>
        <w:spacing w:after="0" w:line="146" w:lineRule="exact"/>
        <w:rPr>
          <w:rFonts w:ascii="Times New Roman" w:cs="Times New Roman" w:eastAsia="Times New Roman" w:hAnsi="Times New Roman"/>
          <w:sz w:val="20"/>
          <w:szCs w:val="20"/>
          <w:color w:val="auto"/>
        </w:rPr>
      </w:pPr>
    </w:p>
    <w:p>
      <w:pPr>
        <w:ind w:right="20" w:firstLine="1304"/>
        <w:spacing w:after="0" w:line="283" w:lineRule="auto"/>
        <w:tabs>
          <w:tab w:leader="none" w:pos="19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such designation, no Event of Default shall have occurred and be continuing or would result from such designation; and</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may be designated as an Unrestricted Subsidiary if it is a “restricted subsidiary” or a “guarantor” (or any similar designation) for any other Indebtedness of the Borrower, any Guarantor or their respective Restricted Subsidiaries.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Once so designated, the Subsidiary will remain an Unrestricted Subsidiary, subject to subsection (b). Notwithstanding the foregoing, in no event shall (x) any Subsidiary be designated as an Unrestricted Subsidiary if, on the date of and after giving effect to such designation, such Unrestricted Subsidiary (or any Subsidiary thereof) would own (or hold an exclusive license with respect to) any Material Intellectual Property and (y) any Unrestricted Subsidiary hold any Indebtedness or Equity Interests of, or have a Lien on any material assets of, the Borrower or any Restricted Subsidiary.</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designation of any Subsidiary as an Unrestricted Subsidiary shall constitute an Investment by the Borrower therein at the date of designation in an amount equal to the fair market value as of such date of the Borrower’s or its Restricted Subsidiary’s (as applicable) Investment(s) made on or after such designation date therein (valued at the fair market value of such designated Subsidiary’s assets less liabilities, determined as at such date of designation). The designation of any Unrestricted Subsidiary as a Restricted Subsidiary shall constitute a return on any Investment by the Borrower in Unrestricted Subsidiaries pursuant to the preceding sentence in an amount equal to the fair market value at the date of such designation of the Borrower’s or its Restricted Subsidiary’s (as applicable) Investment in such Subsidiary. For all purposes hereunder, the designation of a Subsidiary as an Unrestricted Subsidiary shall be deemed to constitute a concurrent designation of any Subsidiary of such Subsidiary as an Unrestricted Subsidiary.</w:t>
      </w:r>
    </w:p>
    <w:p>
      <w:pPr>
        <w:spacing w:after="0" w:line="182"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Restricted Subsidiary becoming an Unrestricted Subsidiary,</w:t>
      </w:r>
    </w:p>
    <w:p>
      <w:pPr>
        <w:spacing w:after="0" w:line="215"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4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existing Indebtedness of the Borrower, any Guarantor or its Restricted Subsidiaries held by it will be deemed incurred at that time, and all Liens on property of the Borrower, any Guarantor or its Restricted Subsidiaries held by it will be deemed incurred at that time;</w:t>
      </w:r>
    </w:p>
    <w:p>
      <w:pPr>
        <w:spacing w:after="0" w:line="16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existing transactions between it and the Borrower, any Guarantor or any Restricted Subsidiary will be deemed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into at that time;</w:t>
      </w:r>
    </w:p>
    <w:p>
      <w:pPr>
        <w:spacing w:after="0" w:line="200" w:lineRule="exact"/>
        <w:rPr>
          <w:rFonts w:ascii="Times New Roman" w:cs="Times New Roman" w:eastAsia="Times New Roman" w:hAnsi="Times New Roman"/>
          <w:sz w:val="20"/>
          <w:szCs w:val="20"/>
          <w:color w:val="auto"/>
        </w:rPr>
      </w:pPr>
    </w:p>
    <w:p>
      <w:pPr>
        <w:ind w:firstLine="1304"/>
        <w:spacing w:after="0" w:line="283" w:lineRule="auto"/>
        <w:tabs>
          <w:tab w:leader="none" w:pos="194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released at that time from the Loan Documents to which it is a party and all related security interests on its property shall be released; and</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will cease to be subject to the provisions of this Agreement as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98" w:name="page99"/>
    <w:bookmarkEnd w:id="98"/>
    <w:p>
      <w:pPr>
        <w:jc w:val="both"/>
        <w:ind w:firstLine="656"/>
        <w:spacing w:after="0" w:line="261" w:lineRule="auto"/>
        <w:tabs>
          <w:tab w:leader="none" w:pos="128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designate an Unrestricted Subsidiary to be a Restricted Subsidiary if the designation would not cause an Event of Default. Upon an Unrestricted Subsidiary becoming, or being deemed to become, a Restricted Subsidiary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5.15(b)</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its Indebtedness will be deemed incurred at that time for purposes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Liens on its property will be deemed incurred at that time for purposes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304"/>
        <w:spacing w:after="0" w:line="283" w:lineRule="auto"/>
        <w:tabs>
          <w:tab w:leader="none" w:pos="194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it is a Material Domestic Subsidiary of the Borrower, it shall be required to become a Guarantor pursuant to this Agreement within the time frame set forth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will thenceforward be subject to the provisions of this Agreement as a Restricted Subsidiary.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6</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terminated and the principal of and interest on each Loan and all fees payable hereunder have been paid in full and the cancellation or expiration with no pending drawings or Cash Collateralization of all Letters of Credit on terms reasonably satisfactory to the applicable Issuing Bank in an amount equal to the Agreed L/C Cash Collateral Amount of all Letter of Credit Usage, the Borrower covenants and agrees with the Lenders that:</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The Borrower will not, and will not permit any of its Restricted Subsidiaries, to create, incur or assume, or otherwise become or remain directly or indirectly liable with respect to any Indebtedness, except:</w:t>
      </w:r>
    </w:p>
    <w:p>
      <w:pPr>
        <w:spacing w:after="0" w:line="160" w:lineRule="exact"/>
        <w:rPr>
          <w:sz w:val="20"/>
          <w:szCs w:val="20"/>
          <w:color w:val="auto"/>
        </w:rPr>
      </w:pPr>
    </w:p>
    <w:p>
      <w:pPr>
        <w:ind w:left="1300" w:hanging="644"/>
        <w:spacing w:after="0"/>
        <w:tabs>
          <w:tab w:leader="none" w:pos="1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Guaranteed Obligations under the Loan Documents, the Guaranteed Hedge Agreements, and Guaranteed Cash Management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w:t>
      </w:r>
    </w:p>
    <w:p>
      <w:pPr>
        <w:spacing w:after="0" w:line="207"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any refinancing refundings, renewals or extensions thereof that do not increase the outstanding principal amount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67" w:lineRule="auto"/>
        <w:tabs>
          <w:tab w:leader="none" w:pos="1286"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constituting Capital Lease Obligations, equipment leases and Purchase Money Indebtedness and loans incurred to acquire or improve equipment or other physical plant or real property of the Borrower or any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such Indebtedness does not exceed the purchase price plus expenses of the asset or assets acquired (or the improvement thereon, as applicable) and</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Liens that secure such Indebtedness do not apply to any other property or assets of the Borrower or its Restricted Subsidiaries; </w:t>
      </w: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the aggregate principal amount of Indebtedness permitted by this clause (c) shall not exceed, at any time outstanding,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$1,000,000,000;</w:t>
      </w:r>
    </w:p>
    <w:p>
      <w:pPr>
        <w:spacing w:after="0" w:line="171" w:lineRule="exact"/>
        <w:rPr>
          <w:rFonts w:ascii="Times New Roman" w:cs="Times New Roman" w:eastAsia="Times New Roman" w:hAnsi="Times New Roman"/>
          <w:sz w:val="20"/>
          <w:szCs w:val="20"/>
          <w:color w:val="auto"/>
        </w:rPr>
      </w:pPr>
    </w:p>
    <w:p>
      <w:pPr>
        <w:ind w:firstLine="656"/>
        <w:spacing w:after="0" w:line="287" w:lineRule="auto"/>
        <w:tabs>
          <w:tab w:leader="none" w:pos="12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or any Restricted Subsidiary to the Borrower or any other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such Indebtedness shall be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656"/>
        <w:spacing w:after="0" w:line="253" w:lineRule="auto"/>
        <w:tabs>
          <w:tab w:leader="none" w:pos="12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Borrower or any Restricted Subsidiary arising from (i) agreements providing for indemnification, adjustment of purchase price or similar obligations, (ii) the deferred purchase price of property or services, earnouts and holdbacks) and (iii) guaranties or letters of credit, surety bonds or performance bonds securing the performance of the Borrower or any such Subsidiary pursuant to such agreements, in each case, in connection with acquisitions and permitted Investments in or permitted dispositions of any business or assets (including stock of a Subsidiary);</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29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any Swap Agreements and other hedging transaction entered into for the purpose of hedging risks associated with the operations of the Borrower or a Guarantor and their respective Subsidiaries and not for speculative purposes;</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 its Restricted Subsidiaries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clause (k)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or a Guarantor of Indebtedness of the Borrower or another Guarantor, or Guarantees by a Restricted Subsidiary that is not a Guarantor of Indebtedness of the Borrower or any other Restricted Subsidiary with respect, in each case, to Indebtedness otherwise permitted to be incurred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 Indebtedness that is being guaranteed is unsecured and/or subordinated to the Obligations, the Guarantee shall also be unsecured and/or subordinated to the Obligations;</w:t>
      </w:r>
    </w:p>
    <w:p>
      <w:pPr>
        <w:spacing w:after="0" w:line="18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Subsidiary (or of any Person not previously a Subsidiary that is merged or consolidated with or into a Subsidiary in a transaction permitted hereunder) after the date hereof, and refinancing of any such Indebtedness;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 such Indebtedness exists at the time such Person becomes a Subsidiary (or is so merged or consolidated) and is not created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contemplation of or in connection with such Person becoming a Subsidiary (or such merger or consolidation) and (ii) the aggregate principal amount of all such outstanding Indebtedness permitted by this clause (i) is unlimited so long as the Borrower’s Total Gross Leverage calculated after giving effect thereto is not more than such Total Gross Leverage as in effect immediately prior to the consummation of such acquisition and the assumption of acquired Indebtedness;</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2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owing to insurance companies to finance insurance premiums or (ii) take or pay obligations contained in supply arrangements, in each case under clause (i) or (ii), in the ordinary course of business;</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or in connection with any commercial credit card program, payment processing or other similar programs, arising in the ordinary course of business, including the Marqeta Obligations;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incentive, non-compete, consulting, deferred compensation or other similar arrangements entered into in the ordinary course of business with an officer or employee of the Borrower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100" w:name="page101"/>
    <w:bookmarkEnd w:id="100"/>
    <w:p>
      <w:pPr>
        <w:ind w:firstLine="656"/>
        <w:spacing w:after="0" w:line="283" w:lineRule="auto"/>
        <w:tabs>
          <w:tab w:leader="none" w:pos="128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treasury, cash management, cash pooling and netting services, automatic clearinghouse arrangements, overdraft protections and otherwise in connection with securities accounts and deposit accounts;</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bank guarantees or similar instruments issued to support performance obligations and trade letters of credit (other than obligations in respect of other Indebtedness) in the ordinary course of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not otherwise permitted by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 in an aggregate principal amount outstanding at any one time not exceeding $750,000,000 and (ii) an amount such that, at the time of incurrence thereof and immediately after giving effect thereto, the Total Gross Leverage Ratio would not exceed 4.00 to 1.00;</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or bankers’ acceptances in an aggregate principal or face amount not exceeding</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$150,000,000;</w:t>
      </w:r>
    </w:p>
    <w:p>
      <w:pPr>
        <w:spacing w:after="0" w:line="200"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 Indebtedness in respect of </w:t>
      </w:r>
      <w:r>
        <w:rPr>
          <w:rFonts w:ascii="Times New Roman" w:cs="Times New Roman" w:eastAsia="Times New Roman" w:hAnsi="Times New Roman"/>
          <w:sz w:val="20"/>
          <w:szCs w:val="20"/>
          <w:u w:val="single" w:color="auto"/>
          <w:color w:val="auto"/>
        </w:rPr>
        <w:t>Sections 6.01(b)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6.01(c)</w:t>
      </w:r>
      <w:r>
        <w:rPr>
          <w:rFonts w:ascii="Times New Roman" w:cs="Times New Roman" w:eastAsia="Times New Roman" w:hAnsi="Times New Roman"/>
          <w:sz w:val="20"/>
          <w:szCs w:val="20"/>
          <w:color w:val="auto"/>
        </w:rPr>
        <w:t xml:space="preserve">, Section 6.01(i), </w:t>
      </w:r>
      <w:r>
        <w:rPr>
          <w:rFonts w:ascii="Times New Roman" w:cs="Times New Roman" w:eastAsia="Times New Roman" w:hAnsi="Times New Roman"/>
          <w:sz w:val="20"/>
          <w:szCs w:val="20"/>
          <w:u w:val="single" w:color="auto"/>
          <w:color w:val="auto"/>
        </w:rPr>
        <w:t>6.01(o)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6.01(p)</w:t>
      </w:r>
      <w:r>
        <w:rPr>
          <w:rFonts w:ascii="Times New Roman" w:cs="Times New Roman" w:eastAsia="Times New Roman" w:hAnsi="Times New Roman"/>
          <w:sz w:val="20"/>
          <w:szCs w:val="20"/>
          <w:color w:val="auto"/>
        </w:rPr>
        <w:t xml:space="preserve"> (it being understood that such Refinancing Indebtedness shall be taken into account in future determinations of Indebtedness incurred pursuant to such sections for purposes of any cap set forth therein);</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guarantees of the Borrower and its Restricted Subsidiaries in the ordinary course of business primarily guaranteeing performance of contractual obligations of the Borrower or its Restricted Subsidiaries to a third party and not for the purpose of guaranteeing payment of Indebtedness; and</w:t>
      </w:r>
    </w:p>
    <w:p>
      <w:pPr>
        <w:spacing w:after="0" w:line="181" w:lineRule="exact"/>
        <w:rPr>
          <w:rFonts w:ascii="Times New Roman" w:cs="Times New Roman" w:eastAsia="Times New Roman" w:hAnsi="Times New Roman"/>
          <w:sz w:val="20"/>
          <w:szCs w:val="20"/>
          <w:color w:val="auto"/>
        </w:rPr>
      </w:pPr>
    </w:p>
    <w:p>
      <w:pPr>
        <w:ind w:right="20" w:firstLine="656"/>
        <w:spacing w:after="0" w:line="283" w:lineRule="auto"/>
        <w:tabs>
          <w:tab w:leader="none" w:pos="128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Incremental Equivalent Debt in an aggregate principal amount not to exceed the Incremental Available Amount </w:t>
      </w: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any amounts incurred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904"/>
        <w:spacing w:after="0" w:line="251" w:lineRule="auto"/>
        <w:rPr>
          <w:sz w:val="20"/>
          <w:szCs w:val="20"/>
          <w:color w:val="auto"/>
        </w:rPr>
      </w:pPr>
      <w:r>
        <w:rPr>
          <w:rFonts w:ascii="Times New Roman" w:cs="Times New Roman" w:eastAsia="Times New Roman" w:hAnsi="Times New Roman"/>
          <w:sz w:val="20"/>
          <w:szCs w:val="20"/>
          <w:color w:val="auto"/>
        </w:rPr>
        <w:t xml:space="preserve">In addition, for purposes of calculating compliance with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in no event will the amount of any Indebtedness be required to be included more than once despite the fact that more than one Person is or becomes liable with respect to any related Indebtedness (or any credit support provided therefor). Notwithstanding the foregoing, (i) no Permitted Bond Hedge Transaction shall constitute Indebtedness of the Borrower or any Subsidiary and (ii) no obligations of the Borrower under any Permitted Warrant Transaction shall constitute Indebtedness, except to the extent it is accounted for as a liability under GAAP. For purposes hereof, the amount of any Convertible Notes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Borrower will not, and will not permit any Restricted Subsidiary to, create, incur, assume or permit to exist any Lien securing Indebtedness on any property or asset now owned or hereafter acquired by it, without effectively providing that the Obligations shall be equally and ratably secured until such time as such Lien is no longer outstanding, except:</w:t>
      </w:r>
    </w:p>
    <w:p>
      <w:pPr>
        <w:spacing w:after="0" w:line="181"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101" w:name="page102"/>
    <w:bookmarkEnd w:id="101"/>
    <w:p>
      <w:pPr>
        <w:jc w:val="both"/>
        <w:ind w:left="-20" w:firstLine="656"/>
        <w:spacing w:after="0" w:line="269" w:lineRule="auto"/>
        <w:tabs>
          <w:tab w:leader="none" w:pos="126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property or asset of the Borrower or any Restricted Subsidiary existing on the date hereof and set forth in </w:t>
      </w:r>
      <w:r>
        <w:rPr>
          <w:rFonts w:ascii="Times New Roman" w:cs="Times New Roman" w:eastAsia="Times New Roman" w:hAnsi="Times New Roman"/>
          <w:sz w:val="19"/>
          <w:szCs w:val="19"/>
          <w:u w:val="single" w:color="auto"/>
          <w:color w:val="auto"/>
        </w:rPr>
        <w:t>Schedule 6.02</w:t>
      </w:r>
      <w:r>
        <w:rPr>
          <w:rFonts w:ascii="Times New Roman" w:cs="Times New Roman" w:eastAsia="Times New Roman" w:hAnsi="Times New Roman"/>
          <w:sz w:val="19"/>
          <w:szCs w:val="19"/>
          <w:color w:val="auto"/>
        </w:rPr>
        <w:t xml:space="preserve"> and any modifications, renewals and extensions thereof and any Lien granted as a replacement or substitute therefor; provided that (i) such Lien shall not apply to any other property or asset of the Borrower or any Restricted Subsidiary other than improvements thereon or proceeds thereof, and (ii) such Lien shall secure only those obligations which it secures on the date hereof and any refinancing, extension, renewal or replacement thereof that does not increase the outstanding principal amount thereof except by an amount equal to a premium or other amount paid, and fees and expenses incurred, in connection with such refinancing, extensions, renewals or replacements;</w:t>
      </w:r>
    </w:p>
    <w:p>
      <w:pPr>
        <w:spacing w:after="0" w:line="177" w:lineRule="exact"/>
        <w:rPr>
          <w:rFonts w:ascii="Times New Roman" w:cs="Times New Roman" w:eastAsia="Times New Roman" w:hAnsi="Times New Roman"/>
          <w:sz w:val="19"/>
          <w:szCs w:val="19"/>
          <w:color w:val="auto"/>
        </w:rPr>
      </w:pPr>
    </w:p>
    <w:p>
      <w:pPr>
        <w:jc w:val="both"/>
        <w:ind w:left="-20" w:firstLine="656"/>
        <w:spacing w:after="0" w:line="251" w:lineRule="auto"/>
        <w:tabs>
          <w:tab w:leader="none" w:pos="126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existing on any property or asset prior to the acquisition thereof by the Borrower or any Restricted Subsidiary or existing on any property or asset of any Person that becomes a Restricted Subsidiary after the date hereof prior to the time such Person becomes a Restricted Subsidiary; provided that (i) such Lien is not created in contemplation of or in connection with such acquisition or such Person becoming a Restricted Subsidiary, as the case may be, (ii) such Lien shall not apply to any other property or assets of the Borrower or any Restricted Subsidiary, and (iii) such Lien shall secure only those obligations which it secures on the date of such acquisition or the date such Person becomes a Restricted Subsidiary, as the case may be, and any refinancing, extension, renewal or replacement thereof that does not increase the outstanding principal amount thereof except by an amount equal to a premium or other amount paid, and fees and expenses incurred, in connection with such refinancing, extensions, renewals or replacements;</w:t>
      </w:r>
    </w:p>
    <w:p>
      <w:pPr>
        <w:spacing w:after="0" w:line="181" w:lineRule="exact"/>
        <w:rPr>
          <w:rFonts w:ascii="Times New Roman" w:cs="Times New Roman" w:eastAsia="Times New Roman" w:hAnsi="Times New Roman"/>
          <w:sz w:val="20"/>
          <w:szCs w:val="20"/>
          <w:color w:val="auto"/>
        </w:rPr>
      </w:pPr>
    </w:p>
    <w:p>
      <w:pPr>
        <w:jc w:val="both"/>
        <w:ind w:left="-20" w:firstLine="656"/>
        <w:spacing w:after="0" w:line="251" w:lineRule="auto"/>
        <w:tabs>
          <w:tab w:leader="none" w:pos="126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fixed or capital assets acquired, constructed, financed or improved by the Borrower or any Restricted Subsidiary in an aggregate principal amount at any time outstanding not to exceed $1,000,000,000;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security interests secure Indebtedness that is permitted pursuant to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(ii) such security interests and the Indebtedness secured thereby are initially incurred prior to or within 270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the Borrower or any Restricted Subsidiary other than additions, accessions, parts, attachments or improvements thereon or proceeds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clauses (ii) and (iii) shall not apply to any Refinancing Indebtedness pursuant to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hereof or any Lien securing such Refinancing Indebtedness;</w:t>
      </w:r>
    </w:p>
    <w:p>
      <w:pPr>
        <w:spacing w:after="0" w:line="195" w:lineRule="exact"/>
        <w:rPr>
          <w:rFonts w:ascii="Times New Roman" w:cs="Times New Roman" w:eastAsia="Times New Roman" w:hAnsi="Times New Roman"/>
          <w:sz w:val="20"/>
          <w:szCs w:val="20"/>
          <w:color w:val="auto"/>
        </w:rPr>
      </w:pPr>
    </w:p>
    <w:p>
      <w:pPr>
        <w:ind w:left="-20" w:firstLine="656"/>
        <w:spacing w:after="0" w:line="283" w:lineRule="auto"/>
        <w:tabs>
          <w:tab w:leader="none" w:pos="126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sublicenses, leases or subleases granted to others not interfering in any material respect with the business of the Borrower and its Restricted Subsidiaries, taken as a whole;</w:t>
      </w:r>
    </w:p>
    <w:p>
      <w:pPr>
        <w:spacing w:after="0" w:line="146" w:lineRule="exact"/>
        <w:rPr>
          <w:rFonts w:ascii="Times New Roman" w:cs="Times New Roman" w:eastAsia="Times New Roman" w:hAnsi="Times New Roman"/>
          <w:sz w:val="20"/>
          <w:szCs w:val="20"/>
          <w:color w:val="auto"/>
        </w:rPr>
      </w:pPr>
    </w:p>
    <w:p>
      <w:pPr>
        <w:ind w:left="-20" w:firstLine="656"/>
        <w:spacing w:after="0" w:line="283" w:lineRule="auto"/>
        <w:tabs>
          <w:tab w:leader="none" w:pos="127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and title of a lessor or licensor under any lease, license, sublease or sublicense entered into by the Borrower or any Restricted Subsidiary in the ordinary course of its business and other statutory and common law landlords’ Liens under leases;</w:t>
      </w:r>
    </w:p>
    <w:p>
      <w:pPr>
        <w:spacing w:after="0" w:line="146" w:lineRule="exact"/>
        <w:rPr>
          <w:rFonts w:ascii="Times New Roman" w:cs="Times New Roman" w:eastAsia="Times New Roman" w:hAnsi="Times New Roman"/>
          <w:sz w:val="20"/>
          <w:szCs w:val="20"/>
          <w:color w:val="auto"/>
        </w:rPr>
      </w:pPr>
    </w:p>
    <w:p>
      <w:pPr>
        <w:ind w:left="-20" w:firstLine="656"/>
        <w:spacing w:after="0" w:line="283" w:lineRule="auto"/>
        <w:tabs>
          <w:tab w:leader="none" w:pos="126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159" w:lineRule="exact"/>
        <w:rPr>
          <w:rFonts w:ascii="Times New Roman" w:cs="Times New Roman" w:eastAsia="Times New Roman" w:hAnsi="Times New Roman"/>
          <w:sz w:val="20"/>
          <w:szCs w:val="20"/>
          <w:color w:val="auto"/>
        </w:rPr>
      </w:pPr>
    </w:p>
    <w:p>
      <w:pPr>
        <w:ind w:left="-20" w:firstLine="656"/>
        <w:spacing w:after="0" w:line="269" w:lineRule="auto"/>
        <w:tabs>
          <w:tab w:leader="none" w:pos="126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joint venture or minority investment by the Borrower or any Subsidiary in any Person, any put and call arrangements related to its Equity Interests set forth in applicable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20"/>
          </w:cols>
          <w:pgMar w:left="340" w:top="14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venture’s or other Person’s organizational documents or any related joint venture, shareholders, investor rights or similar agreement;</w:t>
      </w:r>
    </w:p>
    <w:p>
      <w:pPr>
        <w:spacing w:after="0" w:line="229" w:lineRule="exact"/>
        <w:rPr>
          <w:sz w:val="20"/>
          <w:szCs w:val="20"/>
          <w:color w:val="auto"/>
        </w:rPr>
      </w:pPr>
    </w:p>
    <w:p>
      <w:pPr>
        <w:ind w:firstLine="656"/>
        <w:spacing w:after="0" w:line="269" w:lineRule="auto"/>
        <w:tabs>
          <w:tab w:leader="none" w:pos="12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to finance insurance premiums owing in the ordinary course of business to the extent such financing is not prohibited hereunder;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earnest money deposits of cash or Cash Equivalents made in connection with any acquisition not prohibited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20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and Cash Equivalents or other securities on deposit in one or more accounts maintained by the Borrower or any Restricted Subsidiary, in each case granted in the ordinary course of business in favor of the banks, securities intermediaries or other depository institutions with which such accounts are maintained, securing amounts owing to such institutions with respect to cash management and operating account arrangements;</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2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the nature of the right of setoff in favor of counterparties to contractual agreements not otherwise prohibited hereunder with the Borrower or any of its Restricted Subsidiaries in the ordinary course of business;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Equity Interests of Excluded Subsidiaries;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and deposits securing obligations under Swap Agreements and any other Indebtedness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6.01(f)</w:t>
      </w:r>
      <w:r>
        <w:rPr>
          <w:rFonts w:ascii="Times New Roman" w:cs="Times New Roman" w:eastAsia="Times New Roman" w:hAnsi="Times New Roman"/>
          <w:sz w:val="20"/>
          <w:szCs w:val="20"/>
          <w:color w:val="auto"/>
        </w:rPr>
        <w:t xml:space="preserve"> entered to hedge or mitigate commercial risk and not for speculative purposes;</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reimbursement obligations with respect to standby or commercial letters of credit which encumber documents and other property relating to such letters of credit or cash collateral not in excess of 105% of the face amount thereof and products and proceeds thereof, in each case, not to exceed an aggregate amount of $150,000,000;</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Loan Parties;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6.01(k), 6.01(n), Section 6.01(m) and Section 6.01(p)</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in an aggregate principal amount at any time outstanding not to exceed the greater of (x) $250,000,000 and (y) 25% of Consolidated Adjusted EBITDA.</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(a) The Borrower will not, and will not permit any Restricted Subsidiary to, (x) merge into or consolidate with any other Person, or permit any other Person to merge into or consolidate with it, (y) sell, transfer, license, lease, enter into any sale-leaseback transactions with respect to, or otherwise dispose of (in one transaction or in a series of transactions) all or substantially all of the assets of, the Borrower and the Restricted Subsidiaries, taken as a whole, or all or substantially all of the stock of any of the Borrower’s Restricted Subsidiaries (in each case, whether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owned or hereafter acquired) or (z) liquidate or dissolve, except that, if at the time thereof and immediately after giving effect thereto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 shall have occurred and be continuing:</w:t>
      </w:r>
    </w:p>
    <w:p>
      <w:pPr>
        <w:spacing w:after="0" w:line="200" w:lineRule="exact"/>
        <w:rPr>
          <w:sz w:val="20"/>
          <w:szCs w:val="20"/>
          <w:color w:val="auto"/>
        </w:rPr>
      </w:pPr>
    </w:p>
    <w:p>
      <w:pPr>
        <w:ind w:right="20" w:firstLine="1304"/>
        <w:spacing w:after="0" w:line="283" w:lineRule="auto"/>
        <w:tabs>
          <w:tab w:leader="none" w:pos="177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or any other Person may merge into or consolidate with the Borrower in a transaction in which the Borrower is the surviving corporation;</w:t>
      </w:r>
    </w:p>
    <w:p>
      <w:pPr>
        <w:spacing w:after="0" w:line="146"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the Borrower) may merge into or consolidate with any Restricted Subsidiary in a transaction in which the surviving entity is a Restricted Subsidiary (provided that any such merger or consolidation involving a Guarantor must result in a Guarantor as the surviving entity);</w:t>
      </w:r>
    </w:p>
    <w:p>
      <w:pPr>
        <w:spacing w:after="0" w:line="16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7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may sell, transfer, license, lease or otherwise dispose of its assets to the Borrower or to another Restricted Subsidiary; provided that any such disposition under this clause (iii) that is made to a Restricted Subsidiary that is not a Loan Party shall in no event be permitted if it would comprise all or substantially all of the assets of the Borrower and its Restricted Subsidiaries, taken as a whole;</w:t>
      </w:r>
    </w:p>
    <w:p>
      <w:pPr>
        <w:spacing w:after="0" w:line="18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may sell, transfer, license, lease or otherwise dispose of its assets to any other Loan Party;</w:t>
      </w:r>
    </w:p>
    <w:p>
      <w:pPr>
        <w:spacing w:after="0" w:line="21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acquisition, any Restricted Subsidiary may merge into or consolidate with any other Person, so long as the Person surviving such merger or consolidation shall be a Restricted Subsidiary (provided that any such merger or consolidation involving a Guarantor must result in a Guarantor as the surviving entity);</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2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Subsidiary is a Guarantor, the entity receiving the assets of such Subsidiary upon such liquidation shall also be a Guarantor;</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8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may merge into or consolidate with any other Person in a transaction not otherwise prohibited hereunder and all or substantially all of the Equity Interests of any Restricted Subsidiary may be sold, transferred or otherwise disposed of, so long as the aggregate consideration received in respect of all such mergers or consolidations, sales, transfers or other disposals pursuant to this clause (vii) shall not exceed the greater of (a) $600,000,000 and (b) 15% of Total Assets as of the date of the definitive agreement for such merger, consolidation, sale, transfer or other disposal is executed;</w:t>
      </w:r>
    </w:p>
    <w:p>
      <w:pPr>
        <w:spacing w:after="0" w:line="191" w:lineRule="exact"/>
        <w:rPr>
          <w:rFonts w:ascii="Times New Roman" w:cs="Times New Roman" w:eastAsia="Times New Roman" w:hAnsi="Times New Roman"/>
          <w:sz w:val="20"/>
          <w:szCs w:val="20"/>
          <w:color w:val="auto"/>
        </w:rPr>
      </w:pPr>
    </w:p>
    <w:p>
      <w:pPr>
        <w:ind w:left="1900" w:hanging="596"/>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Permitted Holdco Transaction may be consummated; and</w:t>
      </w:r>
    </w:p>
    <w:p>
      <w:pPr>
        <w:spacing w:after="0" w:line="21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may be dissolved, wound-up or liquidated or any Restricted Subsidiary may merge into or consolidate with any other Person and all or substantially all of the Equity Interests or assets of any Restricted Subsidiary may be sold, transferred or otherwise disposed of, in each case, if such dissolution, winding up, liquidation, sale, transfer or other disposition does not constitute a sale, transfer or other disposition of all or substantially of the assets of the Borrower and its Restricted Subsidiaries, taken as a whole, if such liquidation, winding up, dissolution, sale, transfer or other disposition is not materially disadvantageous to the Lenders (as determined by the Borrower in good faith) and would not be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656"/>
        <w:spacing w:after="0" w:line="253" w:lineRule="auto"/>
        <w:tabs>
          <w:tab w:leader="none" w:pos="111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of its Restricted Subsidiaries to, engage to any material extent in any business other than businesses of the type conducted by the Borrower and its Restricted Subsidiaries on the date of execution of this Agreement and businesses reasonably related, complementary, ancillary or incidental thereto, which businesses, for the avoidance of doubt, may include or relate to, but not be limited to, the operation of a platform to connect end users with retailers, brands and shoppers for the advertisement, purchase and delivery of goods.</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07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including the foregoing, none of Borrower or any Guarantor shall be permitted to assign, sell, exclusively license or otherwise dispose of any Material Intellectual Property to any Unrestricted Subsidiary.</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will not request any Borrowing, and the Borrower shall not use, and shall procure that its Subsidiaries and its or their respective directors, officers, employees and agents shall not use, the proceeds of any Loan or issuance of any Letter of Credit (a) in furtherance of an offer, payment, promise to pay, or authorization of the payment or giving of money, or anything else of value, to any Person in violation of any applicable Anti-Corruption Laws, (b) for the purpose of funding, financing or facilitating any activities, business or transaction of or with any Person, or in any country or territory that, at the time of such funding, financing or facilitating, is a Sanctioned Person or Sanctioned Country or (c) in any manner that would result in the violation of any Sanctions applicable to any party hereto.</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The Borrower will not permit the Total Net Leverage Ratio, determined as of the end of each of its fiscal quarters ending after the Effective Date to be greater than 4.50 to 1.00;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at the Borrower’s option, upon the occurrence of a Material Acquisition, for each of the four fiscal quarters of the Borrower ended immediately following such Material Acquisition (including the fiscal quarter in which such Material Acquisition was consummated) (such period of increase, a “</w:t>
      </w:r>
      <w:r>
        <w:rPr>
          <w:rFonts w:ascii="Times New Roman" w:cs="Times New Roman" w:eastAsia="Times New Roman" w:hAnsi="Times New Roman"/>
          <w:sz w:val="20"/>
          <w:szCs w:val="20"/>
          <w:b w:val="1"/>
          <w:bCs w:val="1"/>
          <w:color w:val="auto"/>
        </w:rPr>
        <w:t>Leverage Increase Period</w:t>
      </w:r>
      <w:r>
        <w:rPr>
          <w:rFonts w:ascii="Times New Roman" w:cs="Times New Roman" w:eastAsia="Times New Roman" w:hAnsi="Times New Roman"/>
          <w:sz w:val="20"/>
          <w:szCs w:val="20"/>
          <w:color w:val="auto"/>
        </w:rPr>
        <w:t xml:space="preserve">”), the ratio set forth above shall be increased to 5.50 to 1.00;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 for at least one fiscal quarter of the Borrower immediately following the expiration of each Leverage Increase Period, the Total Net Leverage Ratio as of the end of such fiscal quarter shall not be greater than 4.50 to 1.00 prior to giving effect to another Leverage Increase Period, and (b) there shall be no more than three (3) Leverage Increase Periods during the term of this Agreement.</w:t>
      </w:r>
    </w:p>
    <w:p>
      <w:pPr>
        <w:spacing w:after="0" w:line="19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The Borrower will not, and will not permit any Restricted Subsidiary to declare, make or pay, directly or indirectly, any Restricted Payments with respect to the Borrower or any of its Restricted Subsidiaries, except:</w:t>
      </w:r>
    </w:p>
    <w:p>
      <w:pPr>
        <w:spacing w:after="0" w:line="146" w:lineRule="exact"/>
        <w:rPr>
          <w:sz w:val="20"/>
          <w:szCs w:val="20"/>
          <w:color w:val="auto"/>
        </w:rPr>
      </w:pPr>
    </w:p>
    <w:p>
      <w:pPr>
        <w:jc w:val="both"/>
        <w:ind w:firstLine="656"/>
        <w:spacing w:after="0" w:line="258" w:lineRule="auto"/>
        <w:tabs>
          <w:tab w:leader="none" w:pos="12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of the Borrower may make Restricted Payments to the Borrower or to any direct or indirect wholly-owned Restricted Subsidiary of the Borrower, and any non-wholly-owned Restricted Subsidiary may make Restricted Payments to the Borrower or any of its other Restricted Subsidiaries and to each other owner of Equity Interests of such Restricted Subsidiary ratably based on their relative ownership interests of the relevant class of Equity Interests;</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declare and make dividends payable solely in additional shares of Qualified Equity Interests and may exchange Equity Interests for its Qualified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05" w:name="page106"/>
    <w:bookmarkEnd w:id="105"/>
    <w:p>
      <w:pPr>
        <w:jc w:val="both"/>
        <w:ind w:firstLine="656"/>
        <w:spacing w:after="0" w:line="258"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(x) repurchase fractional shares of its Equity Interests arising out of stock dividends, splits or combinations, business combinations or conversions of convertible securities (including Convertible Notes) or exercises of warrants or options, (y) “net exercise” or “net share settle” warrants or options or (z) make cash settlement payments upon the exercise of warrants or options to purchase its Equity Interests;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redeem or otherwise cancel Equity Interests or rights in respect thereof granted to (or make payments on behalf of) directors, officers, management, employees or other providers of services to the Borrower and its Subsidiaries (i) in an amount required to satisfy tax withholding obligations relating to the vesting, settlement or exercise of such Equity Interests or rights or (ii) upon the death, disability, retirement or termination of employment or services;</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make Restricted Payments pursuant to and in accordance with (i) stock incentive plans, (ii) stock option plans, (iii) stock buyback agreements, plans or programs, (iv) bonus plans, (v) compensation plans or (vi) other benefit plans or agreements for officers, directors, management, employees or other eligible service providers of the Borrower or its Subsidiaries;</w:t>
      </w:r>
    </w:p>
    <w:p>
      <w:pPr>
        <w:spacing w:after="0" w:line="172" w:lineRule="exact"/>
        <w:rPr>
          <w:rFonts w:ascii="Times New Roman" w:cs="Times New Roman" w:eastAsia="Times New Roman" w:hAnsi="Times New Roman"/>
          <w:sz w:val="20"/>
          <w:szCs w:val="20"/>
          <w:color w:val="auto"/>
        </w:rPr>
      </w:pPr>
    </w:p>
    <w:p>
      <w:pPr>
        <w:jc w:val="both"/>
        <w:ind w:right="260" w:firstLine="656"/>
        <w:spacing w:after="0" w:line="258" w:lineRule="auto"/>
        <w:tabs>
          <w:tab w:leader="none" w:pos="129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Restricted Subsidiary may make Restricted Payments not otherwise permitted under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using the proceeds of any issuance of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Restricted Payment and the issuance of Equity Interests (or in the case of a dividend or a Restricted Payment pursuant to an accelerated share repurchase agreement, forward purchase contract or similar agreement, the declaration date or the entry into such agreement, as applicable) are substantially concurrent;</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as applicable, may make payments in connection with any Permitted Bond Hedge Transaction or any Permitted Warrant Transaction, as applicable;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make additional Restricted Payments not otherwise permitted in clauses (a) through (g) above, so long as the aggregate amount of Restricted Payments made pursuant to this clause (h) shall not to exceed $500,000,000;</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make Restricted Payments so long as (i) if at the time thereof and immediately after giving effect thereto no Default or Event of Default shall have occurred and be continuing, and (ii) the Borrower’s Liquidity is at least $250,000,000 after giving pro forma effect to any such Restricted Payments.</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6.08</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The Borrower will not, and will not permit any Restricted Subsidiary to, make any Investments, except:</w:t>
      </w:r>
    </w:p>
    <w:p>
      <w:pPr>
        <w:spacing w:after="0" w:line="216"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06" w:name="page107"/>
    <w:bookmarkEnd w:id="106"/>
    <w:p>
      <w:pPr>
        <w:ind w:right="20" w:firstLine="656"/>
        <w:spacing w:after="0" w:line="283"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date hereof and set forth in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 and any refinancing, refunding, renewal or extension of any such Investment that does not increase the amount thereof;</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or loans to officers, directors and employees of the Borrower and its Subsidiaries for reasonable and customary travel, entertainment, relocation and similar ordinary business purposes;</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Borrower or such Restricted Subsidiary in the form of Cash Equivalents;</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the Borrower in any Restricted Subsidiary and Investments of any Restricted Subsidiary in the Borrower or in another Restricted Subsidiary;</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an Investment, transactions otherwise permitted by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 and Investments made pursuant to employment and severance arrangements of officers and employees in the ordinary course of business and transactions pursuant to stock option plans and employee benefit plans and arrangements in the ordinary course of business;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advances in respect of transfer pricing and cost-sharing arrangements (i.e. “cost-plus” arrangements) and associated “true-up” payments, in each case, that are in the ordinary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of any Permitted Bond Hedge Transaction, the sale of any Permitted Warrant Transaction and the performance by the Borrower, Holdings, or any Restricted Subsidiary of its obligations under any Permitted Bond Hedge Transaction and/or any Permitted Warrant Transaction;</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or the holding of receivables in the ordinary course of business; and</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(1) in an aggregate amount not to exceed an amount equal to the greater of (x) $1,000,000,000 and (y) 100% of Consolidated Adjusted EBITDA of the Borrower and its Subsidiaries as of the most recently ended Measurement Period and (2) an amount such that, at the time of incurrence thereof and immediately after giving effect thereto, the Total Gross Leverage Ratio would not exceed 4.00 to 1.00.</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The Borrower will not, and will not permit any Restricted Subsidiary to, sell, lease or otherwise transfer any property or assets to, or purchase, lease or otherwise acquire any property or assets from, or otherwise engage in any other transaction with, any of its Affiliates except:</w:t>
      </w:r>
    </w:p>
    <w:p>
      <w:pPr>
        <w:spacing w:after="0" w:line="161" w:lineRule="exact"/>
        <w:rPr>
          <w:sz w:val="20"/>
          <w:szCs w:val="20"/>
          <w:color w:val="auto"/>
        </w:rPr>
      </w:pPr>
    </w:p>
    <w:p>
      <w:pPr>
        <w:jc w:val="both"/>
        <w:ind w:firstLine="656"/>
        <w:spacing w:after="0" w:line="261" w:lineRule="auto"/>
        <w:tabs>
          <w:tab w:leader="none" w:pos="128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such transaction with a total consideration of greater than $75,000,000, such transaction must be on terms and conditions not less favorable to the Borrower such Restricted Subsidiary than could be obtained on an arm’s-length basis from unrelated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656"/>
        <w:spacing w:after="0" w:line="261"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reasonable directors’ fees, customary out-of-pocket expense reimbursement, indemnities (including the provision of directors and officers insurance), compensation arrangements (including bonuses) and severance arrangements for members of the board of directors, officers or other employees of the Borrower or any of its Subsidiaries;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Borrower and its Restricted Subsidiaries;</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suppliers, joint venture partners or purchasers or sellers of goods and services, in each case in the ordinary course of business and otherwise not prohibited hereby;</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and Investments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loans or advances to employees, officers and directors and (ii) payroll, travel and similar advances to employees, officers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directors;</w:t>
      </w:r>
    </w:p>
    <w:p>
      <w:pPr>
        <w:spacing w:after="0" w:line="200"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issuances of securities or other payments, awards or grants in cash, securities or otherwise pursuant to, or the funding of, employment agreements, employment offer letters, stock options, and stock ownership plans;</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or from, and transactions with, joint ventures (to the extent any such joint venture is only an Affiliate as a result of investments by the Borrower and the Restricted Subsidiaries in such joint venture) in the ordinary course of business;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with a total consideration of $75,000,000 or less.</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7</w:t>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1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(each,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shall occur:</w:t>
      </w:r>
    </w:p>
    <w:p>
      <w:pPr>
        <w:spacing w:after="0" w:line="233" w:lineRule="exact"/>
        <w:rPr>
          <w:sz w:val="20"/>
          <w:szCs w:val="20"/>
          <w:color w:val="auto"/>
        </w:rPr>
      </w:pPr>
    </w:p>
    <w:p>
      <w:pPr>
        <w:jc w:val="both"/>
        <w:ind w:firstLine="656"/>
        <w:spacing w:after="0" w:line="261" w:lineRule="auto"/>
        <w:tabs>
          <w:tab w:leader="none" w:pos="128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(i) any principal of any Loan when and as the same shall become due and payable, whether at the due date thereof or at a date fixed for prepayment thereof or otherwise; or (ii) when due any amount payable to the applicable Issuing Bank in reimbursement of any drawing under any Letter of Credit;</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payable under any of the Loan Documents, when and as the same shall become due and payable, and such failure shall continue unremedied for a period of five Business Days;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656"/>
        <w:spacing w:after="0" w:line="261"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Holdings, shall fail to observe or perform any covenant, condition or agreement contained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(solely with respect to the Borrower’s or, if applicable, Holding’s existence),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the Borrower or any Restricted Subsidiary shall fail to observe or perform any covenant, condition or agreement contained in any of the Loan Documents (other than those specified in clause (a), (b) or (d)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and such failure shall continue unremedied for a period of 30 days after notice thereof from the Administrative Agent to the Borrower (which notice will be given at the request of any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Borrower or any Restricted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grace period, if any;</w:t>
      </w:r>
    </w:p>
    <w:p>
      <w:pPr>
        <w:spacing w:after="0" w:line="185" w:lineRule="exact"/>
        <w:rPr>
          <w:rFonts w:ascii="Times New Roman" w:cs="Times New Roman" w:eastAsia="Times New Roman" w:hAnsi="Times New Roman"/>
          <w:sz w:val="20"/>
          <w:szCs w:val="20"/>
          <w:color w:val="auto"/>
        </w:rPr>
      </w:pPr>
    </w:p>
    <w:p>
      <w:pPr>
        <w:jc w:val="both"/>
        <w:ind w:firstLine="656"/>
        <w:spacing w:after="0" w:line="248"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but with all applicable grace periods in respect of such event or condition under the documentation representing such Material Indebtedness having expired)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(g) shall not apply to (w) any requirement to, or any offer to, repurchase, prepay or redeem Indebtedness of a Person acquired in an acquisition permitted hereunder, to the extent such offer is required as a result of, or in connection with, such acquisition, (x) secured Indebtedness that becomes due as a result of the voluntary sale or transfer of the property or assets securing such Indebtedness, (y) any event or condition giving rise to any redemption, repurchase, conversion or settlement (or right to redeem, require repurchase, convert or settle) with respect to any Convertible Notes or other convertible debt instrument (including any termination of any related Swap Agreement) pursuant to its terms unless such redemption, repurchase, conversion or settlement results from a default thereunder or an event of the type that constitutes an Event of Default or (z) an early payment requirement, unwinding or termination with respect to any Swap Agreement except an early payment, unwinding or termination that results from a default or non-compliance thereunder by the Borrower or any Restricted Subsidiary, or another event of the type that would constitute an Event of Default, provided further that if such holder or holders of such Material Indebtedness or any trustee or agent has waived the default or event of default arising from such event or condition under such Material Indebtedness, then the Event of Default under this clause (g) shall also be deemed waived;</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Holdings, the Borrower or any Restricted Subsidiary (other than any Immaterial Subsidiary) or its debts, or of a substantial part of its assets, under any Debtor Relief Law or (ii) the appointment of a receiver, trustee, custodian, sequestrator, conservator or similar official for Holdings, the Borrower or any Restricted Subsidiary (other than any Immaterial Subsidiary) or for a substantial part of its assets, and, in any such case, such proceeding or petition shall continue undismissed for 60 days or an order or decree approving or ordering any of the foregoing shall be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09" w:name="page110"/>
    <w:bookmarkEnd w:id="109"/>
    <w:p>
      <w:pPr>
        <w:jc w:val="both"/>
        <w:ind w:firstLine="656"/>
        <w:spacing w:after="0" w:line="253" w:lineRule="auto"/>
        <w:tabs>
          <w:tab w:leader="none" w:pos="129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may otherwise be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Holdings, the Borrower or any Restricted Subsidiary (other than any Immaterial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Restricted Subsidiary (other than any Immaterial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Borrower or any Restricted Subsidiary (other than any Immaterial Subsidiary) shall become unable, admit in writing its inability or fail generally to pay its debts as they become due;</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excess of $150,000,000 in the aggregate shall be rendered against Holdings, the Borrower or any Restricted Subsidiary (other than any Immaterial Subsidiary) or any combination thereof (to the extent not paid or covered by a reputable and solvent independent third-party insurance company which has not disputed coverage) and the same shall remain undischarged or unpaid for a period of 30 consecutive days after such payment is due and during which execution shall not be effectively stayed or pending appeal, or any action shall be legally taken by a judgment creditor to attach or levy upon any assets of Holdings, the Borrower or any Restricted Subsidiary to enforce any such judgment and such action shall not be stayed;</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ERISA Events shall have occurred, other than as would not reasonably be expected to result, individually or in the aggregate, in a Material Adverse Effect;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Document, at any time after its execution and delivery and for any reason other than as expressly permitted hereunder or thereunder, solely as a result of acts or omissions by the Administrative Agent or any Lender, or satisfaction in full of all the obligations hereunder or thereunder, ceases to be in full force and effect; or any Loan Party contests in any manner the validity or enforceability of any Loan Document,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with respect to the Borrower or Holdings, described in clause (h), (i) or (j)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w:t>
      </w:r>
      <w:r>
        <w:rPr>
          <w:rFonts w:ascii="Times New Roman" w:cs="Times New Roman" w:eastAsia="Times New Roman" w:hAnsi="Times New Roman"/>
          <w:sz w:val="20"/>
          <w:szCs w:val="20"/>
          <w:color w:val="auto"/>
        </w:rPr>
        <w:t>),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 obligations of the Issuing Banks to issue any Letter of Credit, and thereupon the Commitments and the obligations of the Issuing Banks to issue any Letter of Credit shall terminate immediately, and (ii) (A)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(B) require that the Borrower Cash Collateralize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Letters of Credit in the amount of the Agreed L/C Cash Collateral Amount of the then Letter of Credit Usage; and, in the case of any event with respect to the Borrower or Holdings, described in clause (h), (i) or (j)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the Commitments and the obligations of the Issuing Banks to issue any Letter of Credit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xml:space="preserve">. After the exercise of remedies provided for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after the Loans have automatically become immediately due and payable and the Letter of Credit Usage shall have automatically been required to be Cash Collateralized as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any amounts received on account of the Guaranteed Obligations shall be applied by the Administrative Agent in the following order:</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Guaranteed Obligations constituting fees, indemnities, expenses and other amounts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than principal and interest but including fees, charges and disbursements of counsel to the Administrative Agent and the Issuing Banks and amounts payable pursuant to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payable to the Administrative Agent and each Issuing Bank in their respective capacity as such; ratably among them in proportion to the respective amounts described in this clause First payable to them;</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of that portion of the Guaranteed Obligations constituting fees, indemnities and other amounts (other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principal, interest and fees payable to the Lenders (including fees, charges and disbursements of counsel to the respective Lenders and amounts payable pursuant to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Guaranteed Obligations constituting accrued and unpaid fees and interest on the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Letter of Credit Usage and other Guaranteed Obligations, ratably among the Lenders and the Issuing Bank in proportion to the respective amounts described in this clause Third held by them;</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Guaranteed Obligations constituting (x) unpaid principal of the Loans, (y) Letter of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Usage comprised of drawings under Letters of Credit honored by the applicable Issuing Bank and not theretofore reimbursed by or on behalf of the Borrower and (z) face amounts or Swap Termination Value under Guaranteed Hedge Agreements or Cash Management Obligations, ratably among the Guaranteed Parties in proportion to the respective amounts described in this clause Fourth held by them;</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the Administrative Agent for the account of the applicable Issuing Bank, to Cash Collateralize that portion of Letter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Credit Usage comprised of the aggregate undrawn amount of Letters of Credit at the Agreed L/C Cash Collateral Amount; and</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Guaranteed Obligations have been indefeasibly paid in full, to the Borrower or as otherwise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required by law.</w:t>
      </w:r>
    </w:p>
    <w:p>
      <w:pPr>
        <w:spacing w:after="0" w:line="16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2.20(i)</w:t>
      </w:r>
      <w:r>
        <w:rPr>
          <w:rFonts w:ascii="Times New Roman" w:cs="Times New Roman" w:eastAsia="Times New Roman" w:hAnsi="Times New Roman"/>
          <w:sz w:val="20"/>
          <w:szCs w:val="20"/>
          <w:color w:val="auto"/>
        </w:rPr>
        <w:t>, amounts used to Cash Collateralize the aggregate undrawn amount of Letters of Credit pursuant to clause Fifth above shall be applied to satisfy drawings under such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20"/>
          <w:szCs w:val="20"/>
          <w:color w:val="auto"/>
        </w:rPr>
        <w:t>Credit as they occur. If any amount remains on deposit as Cash Collateral after all Letters of Credit have either been fully drawn or expired, such remaining amount shall be applied to the other Guaranteed Obligations, if any, in the order set forth above, and thereafter applied as provided in clause “Last” above.</w:t>
      </w:r>
    </w:p>
    <w:p>
      <w:pPr>
        <w:spacing w:after="0" w:line="18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8</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u w:val="single" w:color="auto"/>
          <w:color w:val="auto"/>
        </w:rPr>
        <w:t>THE AGENTS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Appointment of the Administrative Agent</w:t>
      </w:r>
      <w:r>
        <w:rPr>
          <w:rFonts w:ascii="Times New Roman" w:cs="Times New Roman" w:eastAsia="Times New Roman" w:hAnsi="Times New Roman"/>
          <w:sz w:val="20"/>
          <w:szCs w:val="20"/>
          <w:color w:val="auto"/>
        </w:rPr>
        <w:t>. Each Lender (in its capacities as a Lender and a potential Hedge Bank or Cash Management Bank) and each Issuing Bank hereby irrevocably designates and appoints Morgan Stanley Senior Funding, Inc. as the Administrative Agent hereunder and under the other Loan Documents, and each Lender and each Issuing Bank hereby authorizes Morgan Stanley Senior Funding, Inc. to act as the Administrative Agent in accordance with the terms hereof and the other Loan Documents.</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Powers and Duties</w:t>
      </w:r>
      <w:r>
        <w:rPr>
          <w:rFonts w:ascii="Times New Roman" w:cs="Times New Roman" w:eastAsia="Times New Roman" w:hAnsi="Times New Roman"/>
          <w:sz w:val="20"/>
          <w:szCs w:val="20"/>
          <w:color w:val="auto"/>
        </w:rPr>
        <w:t>. Each Lender irrevocably authorizes the Administrative Agent to take such action on such Lender’s behalf and to exercise such powers, rights and remedies hereunder and under the other Loan Documents as are specifically delegated or granted to the Administrative Agent by the terms hereof and thereof, together with such powers, rights and remedies as are reasonably incidental thereto. Anything herein to the contrary notwithstanding, the Administrative Agent shall have only those powers, duties and responsibilities under this Agreement or any of the other Loan Documents except in its capacity, as applicable, as the Administrative Agent, a Lender or an Issuing Bank hereunder. The Administrative Agent may exercise such powers, rights and remedies and perform such duties by or through its Related Parties. No Agent shall have, by reason hereof or any of the other Loan Documents, a fiduciary relationship in respect of any Lender or any other Person; and nothing herein or any of the other Loan Documents, expressed or implied, is intended to or shall be so construed as to impose upon any Agent any obligations in respect hereof or any of the other Loan Documents except as expressly set forth herein or therein. Each Lender authorizes and delegates to the Administrative Agent authority to enter into such security and pledge agreements and/or any intercreditor or subordination agreements in connection with equally ratably securing the Obligations.</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General Immunity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No Agent nor any of its Related Parties shall be (i)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Loan Party to any Agent or any Lender in connection with the Loan Documents and the transactions contemplated thereby or for the financial condition or business affairs of any Loan Party or any other Person liable for the payment of any Guaranteed Obligations, (ii)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(iii) required to make any disclosures with respect to the foregoing. No Agent shall be deemed to have knowledge or notice of the occurrence of any Default or Event of Default hereunder unless such Agent has received written notice from a Lender or the Borrower referring to this Agreement, describing such Default or Event of Default and stating that such notice is a “notice of default”. No Agent nor any of its Related Parties shall, except as expressly set forth herein and in the other Loan Documents, have any duty to disclose, and shall not be liable for the failure to disclose, any information relating to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61" w:lineRule="auto"/>
        <w:rPr>
          <w:sz w:val="20"/>
          <w:szCs w:val="20"/>
          <w:color w:val="auto"/>
        </w:rPr>
      </w:pPr>
      <w:r>
        <w:rPr>
          <w:rFonts w:ascii="Times New Roman" w:cs="Times New Roman" w:eastAsia="Times New Roman" w:hAnsi="Times New Roman"/>
          <w:sz w:val="20"/>
          <w:szCs w:val="20"/>
          <w:color w:val="auto"/>
        </w:rPr>
        <w:t>any of its Affiliates that is communicated to or obtained by the Person serving as an Agent or any of its Affiliates in any capacity. Anything contained herein to the contrary notwithstanding, the Administrative Agent shall not have any liability arising from confirmations of the amount of outstanding Loans or the component amounts thereof.</w:t>
      </w:r>
    </w:p>
    <w:p>
      <w:pPr>
        <w:spacing w:after="0" w:line="181" w:lineRule="exact"/>
        <w:rPr>
          <w:sz w:val="20"/>
          <w:szCs w:val="20"/>
          <w:color w:val="auto"/>
        </w:rPr>
      </w:pPr>
    </w:p>
    <w:p>
      <w:pPr>
        <w:jc w:val="both"/>
        <w:ind w:firstLine="656"/>
        <w:spacing w:after="0" w:line="249"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Agent nor any of its Related Parties shall be liable to Lenders for any action taken or omitted by any Agent under or in connection with any of the Loan Documents except to the extent caused by such Person’s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upon receipt of such instructions from Required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any Agent as a result of such Agent acting or (where so instructed) refraining from acting hereunder or any of the other Loan Documents in accordance with the instructions of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Each Agent may perform any and all of its duties and exercise its rights and powers under this Agreement or under any other Loan Document by or through any one or more sub-agents appointed by such Agent, provided that any such appointment of a sub-agent, other than to a Lender or an Affiliate of a Lender (other than any Disqualified Institution), shall require the express written consent of the Borrower and provided that, for the avoidance of doubt, each sub-agent shall become bound by, and subject to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Each Agent and any such sub-agent may perform any and all of its duties and exercise its rights and powers by or through its respective Related Parties. The exculpatory, indemnification and other provisions of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xml:space="preserve"> shall apply to any the Related Parties of each Agent and shall apply to their respective activities in connection with the syndication of the credit facilities provided for herein as well as activities as an Agent. All of the rights, benefits, and privileges (including the exculpatory and indemnification provisions) of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xml:space="preserve"> shall apply to any such sub-agent and to the Related Parties of any such sub-agent, and shall apply to their respective activities as sub-agent as if such sub-agent and its Affiliates were named herein. Notwithstanding anything herein to the contrary, with respect to each sub-agent appointed by an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69" w:lineRule="auto"/>
        <w:rPr>
          <w:sz w:val="20"/>
          <w:szCs w:val="20"/>
          <w:color w:val="auto"/>
        </w:rPr>
      </w:pPr>
      <w:r>
        <w:rPr>
          <w:rFonts w:ascii="Times New Roman" w:cs="Times New Roman" w:eastAsia="Times New Roman" w:hAnsi="Times New Roman"/>
          <w:sz w:val="19"/>
          <w:szCs w:val="19"/>
          <w:color w:val="auto"/>
        </w:rPr>
        <w:t>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Agent that appointed it and not to any Loan Party, Lender or any other Person and no Loan Party, Lender or any other Person shall have any rights, directly or indirectly, as a third party beneficiary or otherwise, against such sub-agent. No Agent shall be responsible for the negligence or misconduct of any sub-agents except to the extent that a court of competent jurisdiction determines in a final and non-appealable judgment that such Agent acted with gross negligence, bad faith or willful misconduct in the selection of such sub-agent.</w:t>
      </w:r>
    </w:p>
    <w:p>
      <w:pPr>
        <w:spacing w:after="0" w:line="162" w:lineRule="exact"/>
        <w:rPr>
          <w:sz w:val="20"/>
          <w:szCs w:val="20"/>
          <w:color w:val="auto"/>
        </w:rPr>
      </w:pPr>
    </w:p>
    <w:p>
      <w:pPr>
        <w:jc w:val="both"/>
        <w:ind w:firstLine="656"/>
        <w:spacing w:after="0" w:line="258" w:lineRule="auto"/>
        <w:tabs>
          <w:tab w:leader="none" w:pos="1284"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be responsible or have any liability for, or have any duty to ascertain, inquire into, monitor or enforce, compliance with the provisions hereof relating to Disqualified Institutions. Without limiting the generality of the foregoing, no Agent shall</w:t>
      </w:r>
    </w:p>
    <w:p>
      <w:pPr>
        <w:ind w:left="300" w:hanging="292"/>
        <w:spacing w:after="0"/>
        <w:tabs>
          <w:tab w:leader="none" w:pos="30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obligated to ascertain, monitor or inquire as to whether any Lender or Participant or prospective Lender or Participant is a Disqualified</w:t>
      </w:r>
    </w:p>
    <w:p>
      <w:pPr>
        <w:spacing w:after="0" w:line="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Institution or (y) have any liability with respect to or arising out of any assignment or participation of Commitments or Loans, or disclosure of confidential information, to any Disqualified Institution.</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Administrative Agent Entitled to Act as Lender</w:t>
      </w:r>
      <w:r>
        <w:rPr>
          <w:rFonts w:ascii="Times New Roman" w:cs="Times New Roman" w:eastAsia="Times New Roman" w:hAnsi="Times New Roman"/>
          <w:sz w:val="20"/>
          <w:szCs w:val="20"/>
          <w:color w:val="auto"/>
        </w:rPr>
        <w:t>. The agency hereby created shall in no way impair or affect any of the rights and 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shall, unless the context clearly otherwise indicates, include each Agent in its individual capacity. Any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Borrower for services in connection herewith and otherwise without having to account for the same to Lenders.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Lenders’ Representations, Warranties and Acknowledgment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Each Lender and each Issuing Bank expressly acknowledges that neither the Agents nor any of their respective Related Parties have made any representations or warranties to it and that no act by any Agent hereafter taken, including any review of the affairs of a Loan Party or any of its Affiliates, shall be deemed to constitute any representation or warranty by any Agent to any Lender or any Issuing Bank. Each Lender and each Issuing Bank represents and warrants that it has made its own independent investigation of the financial condition and affairs of the Borrower and its Subsidiaries in connection with Loans and/or Letters of Credit issued hereunder and that it has made and shall continue to make its own appraisal of, and investigation into, the business, operations, property, financial and other condition and the creditworthiness of the Borrower and its Affiliates. Each Lender and each Issuing Bank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No Agent shall have any duty or responsibility, either initially or on a continuing basis,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67" w:lineRule="auto"/>
        <w:rPr>
          <w:sz w:val="20"/>
          <w:szCs w:val="20"/>
          <w:color w:val="auto"/>
        </w:rPr>
      </w:pPr>
      <w:r>
        <w:rPr>
          <w:rFonts w:ascii="Times New Roman" w:cs="Times New Roman" w:eastAsia="Times New Roman" w:hAnsi="Times New Roman"/>
          <w:sz w:val="19"/>
          <w:szCs w:val="19"/>
          <w:color w:val="auto"/>
        </w:rPr>
        <w:t>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 Each Lender and each Issuing</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Bank represents and warrants that </w:t>
      </w:r>
      <w:r>
        <w:rPr>
          <w:rFonts w:ascii="Times New Roman" w:cs="Times New Roman" w:eastAsia="Times New Roman" w:hAnsi="Times New Roman"/>
          <w:sz w:val="21"/>
          <w:szCs w:val="21"/>
          <w:color w:val="auto"/>
        </w:rPr>
        <w:t>(i)</w:t>
      </w:r>
      <w:r>
        <w:rPr>
          <w:rFonts w:ascii="Times New Roman" w:cs="Times New Roman" w:eastAsia="Times New Roman" w:hAnsi="Times New Roman"/>
          <w:sz w:val="20"/>
          <w:szCs w:val="20"/>
          <w:color w:val="auto"/>
        </w:rPr>
        <w:t xml:space="preserve"> the Loan Documents set forth the terms of a commercial lending facility and </w:t>
      </w:r>
      <w:r>
        <w:rPr>
          <w:rFonts w:ascii="Times New Roman" w:cs="Times New Roman" w:eastAsia="Times New Roman" w:hAnsi="Times New Roman"/>
          <w:sz w:val="21"/>
          <w:szCs w:val="21"/>
          <w:color w:val="auto"/>
        </w:rPr>
        <w:t>(ii)</w:t>
      </w:r>
      <w:r>
        <w:rPr>
          <w:rFonts w:ascii="Times New Roman" w:cs="Times New Roman" w:eastAsia="Times New Roman" w:hAnsi="Times New Roman"/>
          <w:sz w:val="20"/>
          <w:szCs w:val="20"/>
          <w:color w:val="auto"/>
        </w:rPr>
        <w:t xml:space="preserve"> it is engaged in the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 and/or any Loan Party, or for the purpose of making, acquiring, purchasing or holding any other type of financial instrument as security. Each Lender also acknowledges and agrees that it will not assert any claim under federal or state securities law or otherwise in contravention of this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53" w:lineRule="auto"/>
        <w:tabs>
          <w:tab w:leader="none" w:pos="128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an Assignment and Assumption, an Extension Agreement or a Joinder Agreement and funding its Loans, if applicable, on the Effective Date, or by the funding of any New Loans, as the case may be, shall be deemed to have acknowledged receipt of, and consented to and approved, each Loan Document and each other document required to be approved by any Agent, any Issuing Bank or the Lenders, as applicable on the Effective Date, the effective date of such Assignment and Assumption or as of the date of funding of such New Loans.</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8.06 </w:t>
      </w:r>
      <w:r>
        <w:rPr>
          <w:rFonts w:ascii="Times New Roman" w:cs="Times New Roman" w:eastAsia="Times New Roman" w:hAnsi="Times New Roman"/>
          <w:sz w:val="20"/>
          <w:szCs w:val="20"/>
          <w:u w:val="single" w:color="auto"/>
          <w:color w:val="auto"/>
        </w:rPr>
        <w:t>Right to Indemnity</w:t>
      </w:r>
      <w:r>
        <w:rPr>
          <w:rFonts w:ascii="Times New Roman" w:cs="Times New Roman" w:eastAsia="Times New Roman" w:hAnsi="Times New Roman"/>
          <w:sz w:val="20"/>
          <w:szCs w:val="20"/>
          <w:color w:val="auto"/>
        </w:rPr>
        <w:t xml:space="preserve">. Each Lender, in proportion to its Applicable Percentage, severally agrees to indemnify each Agent, to the extent that such Agent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(it being understood and agreed that no action taken in accordance with the directions of the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shall constitute gross negligence or willful misconduct).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no event shall this sentence require any Lender to indemnify any Agent against any liability, obligation, loss, damage, penalty, action, judgment, suit, cost, expense or disbursement in excess of such Lender’s Applicable Percentage thereof;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this sentence shall not be deemed to require any Lender to indemnify any Agent against any liability, obligation, loss, damage, penalty, action, judgment, suit, cost, expense or disbursement described in the proviso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15" w:name="page116"/>
    <w:bookmarkEnd w:id="115"/>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8.07</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286"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to resign at any time by giving prior written notice thereof to Lenders and Borrower. The Administrative Agent shall have the right to appoint a financial institution to act as the Administrative Agent hereunder, subject to the written consent of the Borrower and the reasonable satisfaction of the Required Lenders, and Administrative Agent’s resignation shall become effective on the earliest of (i) 30 days after delivery of the notice of resignation (regardless of whether a successor has been appointed or not), (ii) the acceptance of such successor Administrative Agent by the Borrower and the Required Lenders and the acceptance of being Administrative Agent by such successor, or (iii) such other date, if any, agreed to by the Required Lenders. Upon any such notice of resignation, if a successor Administrative Agent has not already been appointed by the retiring Administrative Agent, the Required Lenders shall have the right, with the written consent of the Borrower, to appoint a successor Administrative Agent.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(c) of the definition thereof, the Required Lenders may, to the extent permitted by applicable law, by notice in writing to the Borrower and such Person remove such Person as Administrative Agent and, with the prior written consent of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b w:val="1"/>
          <w:b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92"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6"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neither the Required Lenders nor Administrative Agent have appointed a successor Administrative Agent or such successor has not accepted such appointment within 30 days after delivery of notice of resignation by the retiring Administrative Agent or the Removal Effective Date, the Required Lenders shall be deemed to have succeeded to and become vested with all the rights, powers, privileges and duties of the retiring or removed Administrative Agent until such time, if any, as the Required Lenders appoint a successor Administrative Agent and such successor accepts such appointment. Upon the acceptance of any appointment as Administrative Agent hereunder by a successor Administrative Agent, that successor Administrative Agent shall thereupon succeed to and become vested with all the rights, powers, privileges and duties of the retiring or removed Administrative Agent and the retiring or removed Administrative Agent shall promptly (i) transfer to such successor Administrative Agent all sums held under the Loan Documents, together with all records and other documents necessary or appropriate in connection with the performance of the duties of the successor Administrative Agent under the Loan Documents, and (ii) take such other actions, as may be necessary or appropriate in connection with the assignment to such successor Administrative Agent of the Loan Documents, whereupon such retiring or removed Administrative Agent shall be discharged from its duties and obligations hereunder or under the other Loan Documents (if not already discharged therefrom as provided above in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After any retiring or removed Administrative Agent’s resignation or removal hereunder as Administrative Agent, the provisions of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shall inure to its benefit as to any actions taken or omitted to be taken by it while it was Administrative Agent hereunder.</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8.08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Each Lender and each Issuing Bank hereby further authorizes Administrative Agent, on behalf of and for the benefit of the Lenders and the Issuing Banks, to be the agent for and representative of the Lenders with respect to the Holdings Guaranty, the Guaranty and the other Loan Documents. Subject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without further written consent or authorization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Lender or any Issuing Bank, Administrative Agent may execute any documents or instruments necessary to release any Guarantor from the Guaranty pursuant to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or with respect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have otherwise consented.</w:t>
      </w:r>
    </w:p>
    <w:p>
      <w:pPr>
        <w:spacing w:after="0" w:line="181" w:lineRule="exact"/>
        <w:rPr>
          <w:sz w:val="20"/>
          <w:szCs w:val="20"/>
          <w:color w:val="auto"/>
        </w:rPr>
      </w:pPr>
    </w:p>
    <w:p>
      <w:pPr>
        <w:jc w:val="both"/>
        <w:ind w:firstLine="656"/>
        <w:spacing w:after="0" w:line="253" w:lineRule="auto"/>
        <w:tabs>
          <w:tab w:leader="none" w:pos="128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contained in any of the Loan Documents to the contrary notwithstanding, the Borrower, the Administrative Agent, each Issuing Bank and each Lender hereby agree that none of the Lenders or the Issuing Banks shall have any right individually to enforce the Holdings Guaranty or the Guaranty, it being understood and agreed that all powers, rights and remedies hereunder and under any of the Loan Documents may be exercised solely by the Administrative Agent, for the benefit of the Lenders and the Issuing Bank in accordance with the terms hereof and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any other Loan Document, when all Guaranteed Obligations (other than Hedging Obligations in respect of any Guaranteed Hedge Agreements and Cash Management Obligations in respect of any Guaranteed Cash Management Agreements and contingent indemnification obligations not yet accrued and payable) have been paid in full and all Commitments have terminated or expired, upon request of the Borrower, Administrative Agent shall take such actions as shall be required to release all guarantee obligations provided for in any Loan Document. Any such release of guarantee obligations shall be deemed subject to the provision that such guarantee obligations shall be reinstated if after such release any portion of any payment in respect of the Guaranteed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Borrower or any Guarantor or any substantial part of its property, or otherwise, all as though such payment had not been made.</w:t>
      </w:r>
    </w:p>
    <w:p>
      <w:pPr>
        <w:spacing w:after="0" w:line="19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8.09</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2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(x) notifies a Lender, Issuing Bank, or any Person who has received funds on behalf of a Lender or Issuing Bank (any such Lender, Issuing Bank or other recipient (and each of their respective successors and assigns), a “</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immediately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58" w:lineRule="auto"/>
        <w:rPr>
          <w:sz w:val="20"/>
          <w:szCs w:val="20"/>
          <w:color w:val="auto"/>
        </w:rPr>
      </w:pPr>
      <w:r>
        <w:rPr>
          <w:rFonts w:ascii="Times New Roman" w:cs="Times New Roman" w:eastAsia="Times New Roman" w:hAnsi="Times New Roman"/>
          <w:sz w:val="20"/>
          <w:szCs w:val="20"/>
          <w:color w:val="auto"/>
        </w:rPr>
        <w:t>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2" w:lineRule="exact"/>
        <w:rPr>
          <w:sz w:val="20"/>
          <w:szCs w:val="20"/>
          <w:color w:val="auto"/>
        </w:rPr>
      </w:pPr>
    </w:p>
    <w:p>
      <w:pPr>
        <w:jc w:val="both"/>
        <w:ind w:firstLine="656"/>
        <w:spacing w:after="0" w:line="253"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then in each such case:</w:t>
      </w:r>
    </w:p>
    <w:p>
      <w:pPr>
        <w:spacing w:after="0" w:line="180" w:lineRule="exact"/>
        <w:rPr>
          <w:rFonts w:ascii="Times New Roman" w:cs="Times New Roman" w:eastAsia="Times New Roman" w:hAnsi="Times New Roman"/>
          <w:sz w:val="20"/>
          <w:szCs w:val="20"/>
          <w:color w:val="auto"/>
        </w:rPr>
      </w:pPr>
    </w:p>
    <w:p>
      <w:pPr>
        <w:jc w:val="both"/>
        <w:ind w:firstLine="1304"/>
        <w:spacing w:after="0" w:line="281" w:lineRule="auto"/>
        <w:tabs>
          <w:tab w:leader="none" w:pos="1942"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64"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4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or Issuing Bank shall (and shall cause any other recipient that receives funds on its respective behalf to) promptly (and, in all events, within one (1)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(b).</w:t>
      </w:r>
    </w:p>
    <w:p>
      <w:pPr>
        <w:spacing w:after="0" w:line="17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For the avoidance of doubt, the failure to deliver a notice to the Administrative Agent pursuant to this (b) shall not have any effect on a Payment Recipient’s obligations pursuant to (a) or on whether or not an Erroneous Payment has been made.</w:t>
      </w:r>
    </w:p>
    <w:p>
      <w:pPr>
        <w:spacing w:after="0" w:line="146" w:lineRule="exact"/>
        <w:rPr>
          <w:sz w:val="20"/>
          <w:szCs w:val="20"/>
          <w:color w:val="auto"/>
        </w:rPr>
      </w:pPr>
    </w:p>
    <w:p>
      <w:pPr>
        <w:jc w:val="both"/>
        <w:ind w:firstLine="656"/>
        <w:spacing w:after="0" w:line="258" w:lineRule="auto"/>
        <w:tabs>
          <w:tab w:leader="none" w:pos="128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w:t>
      </w:r>
    </w:p>
    <w:p>
      <w:pPr>
        <w:spacing w:after="0" w:line="185" w:lineRule="exact"/>
        <w:rPr>
          <w:rFonts w:ascii="Times New Roman" w:cs="Times New Roman" w:eastAsia="Times New Roman" w:hAnsi="Times New Roman"/>
          <w:sz w:val="20"/>
          <w:szCs w:val="20"/>
          <w:color w:val="auto"/>
        </w:rPr>
      </w:pPr>
    </w:p>
    <w:p>
      <w:pPr>
        <w:jc w:val="both"/>
        <w:ind w:firstLine="656"/>
        <w:spacing w:after="0" w:line="281" w:lineRule="auto"/>
        <w:tabs>
          <w:tab w:leader="none" w:pos="1284"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0"/>
          <w:szCs w:val="20"/>
          <w:color w:val="auto"/>
        </w:rPr>
        <w:t>the case of any Payment Recipient who has received funds on behalf of a Lender or Issuing Bank, to the rights and interests of such Lender or Issuing Bank, as the case may be) under the Loan Documents with respect to such amount (the “</w:t>
      </w:r>
      <w:r>
        <w:rPr>
          <w:rFonts w:ascii="Times New Roman" w:cs="Times New Roman" w:eastAsia="Times New Roman" w:hAnsi="Times New Roman"/>
          <w:sz w:val="20"/>
          <w:szCs w:val="20"/>
          <w:b w:val="1"/>
          <w:bCs w:val="1"/>
          <w:color w:val="auto"/>
        </w:rPr>
        <w:t>Erroneous Payment Subrogation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Rights</w:t>
      </w:r>
      <w:r>
        <w:rPr>
          <w:rFonts w:ascii="Times New Roman" w:cs="Times New Roman" w:eastAsia="Times New Roman" w:hAnsi="Times New Roman"/>
          <w:sz w:val="20"/>
          <w:szCs w:val="20"/>
          <w:color w:val="auto"/>
        </w:rPr>
        <w:t>”) and (y) an Erroneous Payment shall not pay, prepay, repay, discharge or otherwise satisfy any Obligations owed by the Borrower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other Loan Party; provided that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making a payment on the Obligations.</w:t>
      </w:r>
    </w:p>
    <w:p>
      <w:pPr>
        <w:spacing w:after="0" w:line="196" w:lineRule="exact"/>
        <w:rPr>
          <w:sz w:val="20"/>
          <w:szCs w:val="20"/>
          <w:color w:val="auto"/>
        </w:rPr>
      </w:pPr>
    </w:p>
    <w:p>
      <w:pPr>
        <w:jc w:val="both"/>
        <w:ind w:firstLine="656"/>
        <w:spacing w:after="0" w:line="258" w:lineRule="auto"/>
        <w:tabs>
          <w:tab w:leader="none" w:pos="12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8.10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To the extent required by any applicable law, Administrative Agent may withhold from any payment to any Lender or any Issuing Bank an amount equivalent to any applicable withholding Tax. If the IRS or any other Governmental Authority asserts a claim that Administrative Agent did not properly withhold Tax from amounts paid to or for the account of any Lender or any Issuing Bank because the appropriate form was not delivered or was not properly executed or because such Lender or such Issuing Bank failed to notify Administrative Agent of a change in circumstance which rendered the exemption from, or reduction of, withholding Tax ineffective or for any other reason, or if Administrative Agent reasonably determines that a payment was made to a Lender or an Issuing Bank pursuant to this Agreement without deduction of applicable withholding Tax from such payment, such Lender or such Issuing Bank, as the case may be, shall indemnify Administrative Agent fully for all amounts paid, directly or indirectly, by Administrative Agent as Tax or otherwise, including any penalties or interest and together with all expenses (including legal expenses, allocated internal costs and out-of-pocket expenses) incurred.</w:t>
      </w:r>
    </w:p>
    <w:p>
      <w:pPr>
        <w:spacing w:after="0" w:line="19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Section 8.11 </w:t>
      </w:r>
      <w:r>
        <w:rPr>
          <w:rFonts w:ascii="Times New Roman" w:cs="Times New Roman" w:eastAsia="Times New Roman" w:hAnsi="Times New Roman"/>
          <w:sz w:val="19"/>
          <w:szCs w:val="19"/>
          <w:u w:val="single" w:color="auto"/>
          <w:color w:val="auto"/>
        </w:rPr>
        <w:t>Administrative Agent May File Bankruptcy Disclosure and Proofs of Claim</w:t>
      </w:r>
      <w:r>
        <w:rPr>
          <w:rFonts w:ascii="Times New Roman" w:cs="Times New Roman" w:eastAsia="Times New Roman" w:hAnsi="Times New Roman"/>
          <w:sz w:val="19"/>
          <w:szCs w:val="19"/>
          <w:color w:val="auto"/>
        </w:rPr>
        <w:t>. In case of the pendency of any proceeding under any Debtor Relief Laws relative to any Loan Party, Administrative Agent (irrespective of whether the principal of any Loan shall then be due and payable as herein expressed or by declaration or otherwise and irrespective of whether Administrative Agent shall have made any demand on Borrower) shall be entitled and empowered (but not obligated)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119" w:name="page120"/>
    <w:bookmarkEnd w:id="119"/>
    <w:p>
      <w:pPr>
        <w:ind w:right="20" w:firstLine="656"/>
        <w:spacing w:after="0" w:line="283"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and all other Guaranteed Obligations that are owing and unpaid and to file such other documents as may be necessary or advisable in order to have the claims of the Lenders, the Issuing Banks and the Agents (including any claim for the reasonable compensation, expenses, disbursements and advances of the Agents, the Lenders and the Issuing Banks and their respective agents and counsel and all other amounts due the Agents, the Lenders and the Issuing Banks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allowed in such judicial proceeding);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 in each case, any custodian, receiver, assignee, trustee, liquidator, sequestrator or other similar official in any such judicial proceeding is hereby authorized by each other Agent, each Lender and each Issuing Bank to make such payments to Administrative Agent and, in the event that Administrative Agent shall consent to the making of such payments directly to the other Agents, the Lenders and/or the Issuing Banks, to pay to Administrative Agent any amount due for the reasonable compensation, expenses, disbursements and advances of Administrative Agent and its agents and counsel, and any other amounts due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To the extent that the payment of any such compensation, expenses, disbursements and advances of Administrative Agent, its agents and counsel, and any other amounts due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 Lien on, and shall be paid out of, any and all distributions, dividends, money, securities and other properties that the other Agents, the Lenders and/or the Issuing Banks may be entitled to receive in such proceeding whether in liquidation or under any plan of reorganization or arrangement or otherwise.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Administrative Agent to authorize or consent to or accept or adopt on behalf of any other Agent, any Lender or any Issuing Bank any plan of reorganization, arrangement, adjustment or composition affecting the Guaranteed Obligations or the rights of any Agent, any Lender or any Issuing Bank or to authorize Administrative Agent to vote in respect of the claim of any Agent, any Lender or the Issuing Bank in any such proceeding.</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8.12</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28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or any of its Affiliates, and each of the foregoing’s respective officers, partners, directors, employees or agents:</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13" w:lineRule="exact"/>
        <w:rPr>
          <w:rFonts w:ascii="Times New Roman" w:cs="Times New Roman" w:eastAsia="Times New Roman" w:hAnsi="Times New Roman"/>
          <w:sz w:val="20"/>
          <w:szCs w:val="20"/>
          <w:color w:val="auto"/>
        </w:rPr>
      </w:pPr>
    </w:p>
    <w:p>
      <w:pPr>
        <w:ind w:firstLine="1304"/>
        <w:spacing w:after="0" w:line="269" w:lineRule="auto"/>
        <w:tabs>
          <w:tab w:leader="none" w:pos="194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take any discretionary action or exercise any discretionary powers, except discretionary rights and powers expressly contemplated hereby or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may seek clarification or direction from the Required Lenders prior to the exercise of any such instructed action and may refrain from acting until such clarification or direction has been provided;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5" w:lineRule="exact"/>
        <w:rPr>
          <w:sz w:val="20"/>
          <w:szCs w:val="20"/>
          <w:color w:val="auto"/>
        </w:rPr>
      </w:pPr>
    </w:p>
    <w:p>
      <w:pPr>
        <w:jc w:val="both"/>
        <w:ind w:firstLine="1304"/>
        <w:spacing w:after="0" w:line="261" w:lineRule="auto"/>
        <w:tabs>
          <w:tab w:leader="none" w:pos="1944"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branches or Affiliates in any capacity.</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or any of its Affiliates, and each of the foregoing’s respective officers, partners, directors, employees or agents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a Lender or an Issuing Bank.</w:t>
      </w:r>
    </w:p>
    <w:p>
      <w:pPr>
        <w:spacing w:after="0" w:line="192"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6"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1" w:lineRule="exact"/>
        <w:rPr>
          <w:rFonts w:ascii="Times New Roman" w:cs="Times New Roman" w:eastAsia="Times New Roman" w:hAnsi="Times New Roman"/>
          <w:sz w:val="19"/>
          <w:szCs w:val="19"/>
          <w:color w:val="auto"/>
        </w:rPr>
      </w:pPr>
    </w:p>
    <w:p>
      <w:pPr>
        <w:ind w:right="20" w:firstLine="8"/>
        <w:spacing w:after="0" w:line="267" w:lineRule="auto"/>
        <w:tabs>
          <w:tab w:leader="none" w:pos="28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satisfaction of any condition set forth in Article IV or elsewhere herein, other than to confirm receipt of items expressly required to be delivered to the Administrative Agent.</w:t>
      </w:r>
    </w:p>
    <w:p>
      <w:pPr>
        <w:spacing w:after="0" w:line="16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acknowledges that the Administrative Agent, together with its respective affiliated companies (collectively, the “</w:t>
      </w:r>
      <w:r>
        <w:rPr>
          <w:rFonts w:ascii="Times New Roman" w:cs="Times New Roman" w:eastAsia="Times New Roman" w:hAnsi="Times New Roman"/>
          <w:sz w:val="20"/>
          <w:szCs w:val="20"/>
          <w:b w:val="1"/>
          <w:bCs w:val="1"/>
          <w:i w:val="1"/>
          <w:iCs w:val="1"/>
          <w:color w:val="auto"/>
        </w:rPr>
        <w:t>MS Group</w:t>
      </w:r>
      <w:r>
        <w:rPr>
          <w:rFonts w:ascii="Times New Roman" w:cs="Times New Roman" w:eastAsia="Times New Roman" w:hAnsi="Times New Roman"/>
          <w:sz w:val="20"/>
          <w:szCs w:val="20"/>
          <w:color w:val="auto"/>
        </w:rPr>
        <w:t>”), is a member of a global financial services firm engaged in the securities, investment management, credit services businesses and individual wealth management businesses involving, without limitation, the provision of securities underwriting, hedging, trading, brokerage activities, foreign exchange, commodities and derivatives trading, as well as providing investment banking, financing and financial advisory services. As a result, members of the MS Group and their respective Related Parties may also at any time (i) invest on a principal basis or manage funds that invest on a principal basis, in the loans or debt or equity securities of the Borrower, the other Loan Parties or any other company that may be involved in any of the transactions contemplated herein, or in any currency, commodity or instrument that may be involved in any of the transactions contemplated herein, or in any related derivative instrument, (ii) carry out ordinary course investment and wealth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51" w:lineRule="auto"/>
        <w:rPr>
          <w:sz w:val="20"/>
          <w:szCs w:val="20"/>
          <w:color w:val="auto"/>
        </w:rPr>
      </w:pPr>
      <w:r>
        <w:rPr>
          <w:rFonts w:ascii="Times New Roman" w:cs="Times New Roman" w:eastAsia="Times New Roman" w:hAnsi="Times New Roman"/>
          <w:sz w:val="20"/>
          <w:szCs w:val="20"/>
          <w:color w:val="auto"/>
        </w:rPr>
        <w:t>or brokerage activities for any the Borrower, the other Loan Parties or any other company (or their respective Related Parties) that may be involved in any of the transactions contemplated herein, and (iii) perform various investment banking, commercial banking and financial advisory services for other clients and customers who may have conflicting interests with respect to the Borrower, the other Loan Parties and their respective Related Parties. The parties hereto therefore acknowledge that (i) in the course of such activities and relationships, one or more members of the MS Group, other than the Administrative Agent performing its duties and responsibilities expressly set forth in this Agreement, may acquire information about the Borrower, the other Loan Parties, their respective Related Parties or other entities and persons which may be the subject of any transaction contemplated hereunder, and (ii) any such member of the MS Group are doing so in their respective capacities (including, without limitation, as investment manager, hedge counterparty, financial advisor, Lender or Arranger), which are separate from and independent of the function and duties of the Administrative Agent. The Lenders party hereto further acknowledge that no other member of the MS Group (or the Administrative Agent to the extent it receives any such information from another member of the MS Group) shall have any obligation to disclose (or any liability for failing to disclose) such information, or the fact that any of them are in possession of such information, to any Lender or to use such information on behalf of any of them.</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8.13 </w:t>
      </w:r>
      <w:r>
        <w:rPr>
          <w:rFonts w:ascii="Times New Roman" w:cs="Times New Roman" w:eastAsia="Times New Roman" w:hAnsi="Times New Roman"/>
          <w:sz w:val="20"/>
          <w:szCs w:val="20"/>
          <w:u w:val="single" w:color="auto"/>
          <w:color w:val="auto"/>
        </w:rPr>
        <w:t>Guaranteed Cash Management Agreements and Guaranteed Hedge Agreements</w:t>
      </w:r>
      <w:r>
        <w:rPr>
          <w:rFonts w:ascii="Times New Roman" w:cs="Times New Roman" w:eastAsia="Times New Roman" w:hAnsi="Times New Roman"/>
          <w:sz w:val="20"/>
          <w:szCs w:val="20"/>
          <w:color w:val="auto"/>
        </w:rPr>
        <w:t xml:space="preserve">. Except as otherwise expressly set forth herein or in any Guarantee, no Cash Management Bank or Hedge Bank that obtains the benefits of any Guarantee by virtue of the provisions hereof or of any Guarantee shall have any right to notice of any action or to consent to, direct or object to any action hereunder or under any other Loan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Guaranteed Obligations arising under Guaranteed Cash Management Agreements and Guaranteed Hedge Agreements unless the Administrative Agent has received written notice of such Guaranteed Obligations, together with such supporting documentation as the Administrative Agent may request, from the applicable Cash Management Bank or Hedge Bank, as the case may be.</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8.14</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8" w:lineRule="auto"/>
        <w:tabs>
          <w:tab w:leader="none" w:pos="91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w:t>
      </w:r>
    </w:p>
    <w:p>
      <w:pPr>
        <w:spacing w:after="0" w:line="172" w:lineRule="exact"/>
        <w:rPr>
          <w:rFonts w:ascii="Times New Roman" w:cs="Times New Roman" w:eastAsia="Times New Roman" w:hAnsi="Times New Roman"/>
          <w:sz w:val="20"/>
          <w:szCs w:val="20"/>
          <w:color w:val="auto"/>
        </w:rPr>
      </w:pPr>
    </w:p>
    <w:p>
      <w:pPr>
        <w:ind w:left="1300" w:firstLine="4"/>
        <w:spacing w:after="0" w:line="283" w:lineRule="auto"/>
        <w:tabs>
          <w:tab w:leader="none" w:pos="155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29 CFR § 2510.3-101, as modified by Section 3(42) of ERISA) of one or more Benefit Plans in connection with the Loans, the Letters of Credit or the Commitments,</w:t>
      </w:r>
    </w:p>
    <w:p>
      <w:pPr>
        <w:spacing w:after="0" w:line="159" w:lineRule="exact"/>
        <w:rPr>
          <w:rFonts w:ascii="Times New Roman" w:cs="Times New Roman" w:eastAsia="Times New Roman" w:hAnsi="Times New Roman"/>
          <w:sz w:val="20"/>
          <w:szCs w:val="20"/>
          <w:color w:val="auto"/>
        </w:rPr>
      </w:pPr>
    </w:p>
    <w:p>
      <w:pPr>
        <w:jc w:val="both"/>
        <w:ind w:left="1300" w:firstLine="4"/>
        <w:spacing w:after="0" w:line="254" w:lineRule="auto"/>
        <w:tabs>
          <w:tab w:leader="none" w:pos="160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189" w:lineRule="exact"/>
        <w:rPr>
          <w:sz w:val="20"/>
          <w:szCs w:val="20"/>
          <w:color w:val="auto"/>
        </w:rPr>
      </w:pPr>
    </w:p>
    <w:p>
      <w:pPr>
        <w:jc w:val="both"/>
        <w:ind w:left="1300" w:right="20"/>
        <w:spacing w:after="0" w:line="281" w:lineRule="auto"/>
        <w:rPr>
          <w:sz w:val="20"/>
          <w:szCs w:val="20"/>
          <w:color w:val="auto"/>
        </w:rPr>
      </w:pPr>
      <w:r>
        <w:rPr>
          <w:rFonts w:ascii="Times New Roman" w:cs="Times New Roman" w:eastAsia="Times New Roman" w:hAnsi="Times New Roman"/>
          <w:sz w:val="19"/>
          <w:szCs w:val="19"/>
          <w:color w:val="auto"/>
        </w:rPr>
        <w:t>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sz w:val="20"/>
          <w:szCs w:val="20"/>
          <w:color w:val="auto"/>
        </w:rPr>
      </w:pPr>
    </w:p>
    <w:p>
      <w:pPr>
        <w:jc w:val="both"/>
        <w:ind w:left="1300" w:firstLine="4"/>
        <w:spacing w:after="0" w:line="251" w:lineRule="auto"/>
        <w:tabs>
          <w:tab w:leader="none" w:pos="166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5" w:lineRule="exact"/>
        <w:rPr>
          <w:rFonts w:ascii="Times New Roman" w:cs="Times New Roman" w:eastAsia="Times New Roman" w:hAnsi="Times New Roman"/>
          <w:sz w:val="20"/>
          <w:szCs w:val="20"/>
          <w:color w:val="auto"/>
        </w:rPr>
      </w:pPr>
    </w:p>
    <w:p>
      <w:pPr>
        <w:ind w:left="1300" w:firstLine="4"/>
        <w:spacing w:after="0" w:line="269" w:lineRule="auto"/>
        <w:tabs>
          <w:tab w:leader="none" w:pos="1646"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93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9</w:t>
      </w:r>
    </w:p>
    <w:p>
      <w:pPr>
        <w:ind w:left="480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7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electronic transmission, as follows:</w:t>
      </w:r>
    </w:p>
    <w:p>
      <w:pPr>
        <w:spacing w:after="0" w:line="158" w:lineRule="exact"/>
        <w:rPr>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Borrower, to it at:</w:t>
      </w:r>
    </w:p>
    <w:p>
      <w:pPr>
        <w:spacing w:after="0" w:line="229"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Maplebear Inc.</w:t>
      </w:r>
    </w:p>
    <w:p>
      <w:pPr>
        <w:spacing w:after="0" w:line="21" w:lineRule="exact"/>
        <w:rPr>
          <w:rFonts w:ascii="Times New Roman" w:cs="Times New Roman" w:eastAsia="Times New Roman" w:hAnsi="Times New Roman"/>
          <w:sz w:val="20"/>
          <w:szCs w:val="20"/>
          <w:color w:val="auto"/>
        </w:rPr>
      </w:pPr>
    </w:p>
    <w:p>
      <w:pPr>
        <w:ind w:left="1960" w:right="700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Beale Street, Suite 600 San Francisco, CA 94105 Attention: Legal Department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23" w:name="page124"/>
    <w:bookmarkEnd w:id="123"/>
    <w:p>
      <w:pPr>
        <w:ind w:left="1900"/>
        <w:spacing w:after="0"/>
        <w:rPr>
          <w:sz w:val="20"/>
          <w:szCs w:val="20"/>
          <w:color w:val="auto"/>
        </w:rPr>
      </w:pPr>
      <w:r>
        <w:rPr>
          <w:rFonts w:ascii="Times New Roman" w:cs="Times New Roman" w:eastAsia="Times New Roman" w:hAnsi="Times New Roman"/>
          <w:sz w:val="20"/>
          <w:szCs w:val="20"/>
          <w:color w:val="auto"/>
        </w:rPr>
        <w:t>with copies to:</w:t>
      </w:r>
    </w:p>
    <w:p>
      <w:pPr>
        <w:spacing w:after="0" w:line="2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Cooley LLP</w:t>
      </w:r>
    </w:p>
    <w:p>
      <w:pPr>
        <w:spacing w:after="0" w:line="2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1299 Pennsylvania Avenue, NW, Suite 700</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Washington, DC 20004-2400</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Attention: Michael Tollini</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Email:</w:t>
      </w:r>
    </w:p>
    <w:p>
      <w:pPr>
        <w:spacing w:after="0" w:line="214" w:lineRule="exact"/>
        <w:rPr>
          <w:sz w:val="20"/>
          <w:szCs w:val="20"/>
          <w:color w:val="auto"/>
        </w:rPr>
      </w:pPr>
    </w:p>
    <w:p>
      <w:pPr>
        <w:ind w:left="1900" w:hanging="656"/>
        <w:spacing w:after="0"/>
        <w:tabs>
          <w:tab w:leader="none" w:pos="19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to it at:</w:t>
      </w:r>
    </w:p>
    <w:p>
      <w:pPr>
        <w:spacing w:after="0" w:line="215" w:lineRule="exact"/>
        <w:rPr>
          <w:rFonts w:ascii="Times New Roman" w:cs="Times New Roman" w:eastAsia="Times New Roman" w:hAnsi="Times New Roman"/>
          <w:sz w:val="20"/>
          <w:szCs w:val="20"/>
          <w:color w:val="auto"/>
        </w:rPr>
      </w:pPr>
    </w:p>
    <w:p>
      <w:pPr>
        <w:ind w:left="1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Morgan Stanley Senior Funding, Inc.</w:t>
      </w:r>
    </w:p>
    <w:p>
      <w:pPr>
        <w:spacing w:after="0" w:line="28" w:lineRule="exact"/>
        <w:rPr>
          <w:rFonts w:ascii="Times New Roman" w:cs="Times New Roman" w:eastAsia="Times New Roman" w:hAnsi="Times New Roman"/>
          <w:sz w:val="20"/>
          <w:szCs w:val="20"/>
          <w:color w:val="auto"/>
        </w:rPr>
      </w:pPr>
    </w:p>
    <w:p>
      <w:pPr>
        <w:ind w:left="1900" w:right="682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1300 Thames Street, 4th Floor Thames Street Wharf Baltimore, MD 21231 Attention: Agency Borrowers Telephone: (443) 627-6101 Email:</w:t>
      </w:r>
    </w:p>
    <w:p>
      <w:pPr>
        <w:spacing w:after="0" w:line="180" w:lineRule="exact"/>
        <w:rPr>
          <w:rFonts w:ascii="Times New Roman" w:cs="Times New Roman" w:eastAsia="Times New Roman" w:hAnsi="Times New Roman"/>
          <w:sz w:val="20"/>
          <w:szCs w:val="20"/>
          <w:color w:val="auto"/>
        </w:rPr>
      </w:pPr>
    </w:p>
    <w:p>
      <w:pPr>
        <w:ind w:left="1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rFonts w:ascii="Times New Roman" w:cs="Times New Roman" w:eastAsia="Times New Roman" w:hAnsi="Times New Roman"/>
          <w:sz w:val="20"/>
          <w:szCs w:val="20"/>
          <w:color w:val="auto"/>
        </w:rPr>
      </w:pPr>
    </w:p>
    <w:p>
      <w:pPr>
        <w:ind w:left="1900" w:right="6940"/>
        <w:spacing w:after="0" w:line="27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Davis Polk &amp; Wardwell LLP 450 Lexington Avenue New York, New York 10017 Attention: Sanders Witkow</w:t>
      </w:r>
    </w:p>
    <w:p>
      <w:pPr>
        <w:spacing w:after="0" w:line="156" w:lineRule="exact"/>
        <w:rPr>
          <w:rFonts w:ascii="Times New Roman" w:cs="Times New Roman" w:eastAsia="Times New Roman" w:hAnsi="Times New Roman"/>
          <w:sz w:val="20"/>
          <w:szCs w:val="20"/>
          <w:color w:val="auto"/>
        </w:rPr>
      </w:pPr>
    </w:p>
    <w:p>
      <w:pPr>
        <w:ind w:left="1900" w:hanging="656"/>
        <w:spacing w:after="0"/>
        <w:tabs>
          <w:tab w:leader="none" w:pos="19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MSSF, in its capacity as a Lender, to it at:</w:t>
      </w:r>
    </w:p>
    <w:p>
      <w:pPr>
        <w:spacing w:after="0" w:line="229" w:lineRule="exact"/>
        <w:rPr>
          <w:rFonts w:ascii="Times New Roman" w:cs="Times New Roman" w:eastAsia="Times New Roman" w:hAnsi="Times New Roman"/>
          <w:sz w:val="20"/>
          <w:szCs w:val="20"/>
          <w:color w:val="auto"/>
        </w:rPr>
      </w:pPr>
    </w:p>
    <w:p>
      <w:pPr>
        <w:ind w:left="1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Morgan Stanley Senior Funding, Inc.</w:t>
      </w:r>
    </w:p>
    <w:p>
      <w:pPr>
        <w:spacing w:after="0" w:line="21" w:lineRule="exact"/>
        <w:rPr>
          <w:rFonts w:ascii="Times New Roman" w:cs="Times New Roman" w:eastAsia="Times New Roman" w:hAnsi="Times New Roman"/>
          <w:sz w:val="20"/>
          <w:szCs w:val="20"/>
          <w:color w:val="auto"/>
        </w:rPr>
      </w:pPr>
    </w:p>
    <w:p>
      <w:pPr>
        <w:ind w:left="1900" w:right="682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1300 Thames Street, 4th Floor Thames Street Wharf Baltimore, MD 21231 Attention: Agency Borrowers Telephone: (443) 627-6101 Email:</w:t>
      </w:r>
    </w:p>
    <w:p>
      <w:pPr>
        <w:spacing w:after="0" w:line="193" w:lineRule="exact"/>
        <w:rPr>
          <w:rFonts w:ascii="Times New Roman" w:cs="Times New Roman" w:eastAsia="Times New Roman" w:hAnsi="Times New Roman"/>
          <w:sz w:val="20"/>
          <w:szCs w:val="20"/>
          <w:color w:val="auto"/>
        </w:rPr>
      </w:pPr>
    </w:p>
    <w:p>
      <w:pPr>
        <w:ind w:left="1880" w:hanging="636"/>
        <w:spacing w:after="0"/>
        <w:tabs>
          <w:tab w:leader="none" w:pos="18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MSSF, in its capacity as Issuing Bank, to it at:</w:t>
      </w:r>
    </w:p>
    <w:p>
      <w:pPr>
        <w:spacing w:after="0" w:line="229" w:lineRule="exact"/>
        <w:rPr>
          <w:rFonts w:ascii="Times New Roman" w:cs="Times New Roman" w:eastAsia="Times New Roman" w:hAnsi="Times New Roman"/>
          <w:sz w:val="20"/>
          <w:szCs w:val="20"/>
          <w:color w:val="auto"/>
        </w:rPr>
      </w:pPr>
    </w:p>
    <w:p>
      <w:pPr>
        <w:ind w:left="1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Morgan Stanley Senior Funding, Inc.</w:t>
      </w:r>
    </w:p>
    <w:p>
      <w:pPr>
        <w:spacing w:after="0" w:line="21" w:lineRule="exact"/>
        <w:rPr>
          <w:rFonts w:ascii="Times New Roman" w:cs="Times New Roman" w:eastAsia="Times New Roman" w:hAnsi="Times New Roman"/>
          <w:sz w:val="20"/>
          <w:szCs w:val="20"/>
          <w:color w:val="auto"/>
        </w:rPr>
      </w:pPr>
    </w:p>
    <w:p>
      <w:pPr>
        <w:ind w:left="1900" w:right="68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1300 Thames Street, 4th Floor Thames Street Wharf Baltimore, MD 21231</w:t>
      </w:r>
    </w:p>
    <w:p>
      <w:pPr>
        <w:spacing w:after="0" w:line="1" w:lineRule="exact"/>
        <w:rPr>
          <w:rFonts w:ascii="Times New Roman" w:cs="Times New Roman" w:eastAsia="Times New Roman" w:hAnsi="Times New Roman"/>
          <w:sz w:val="20"/>
          <w:szCs w:val="20"/>
          <w:color w:val="auto"/>
        </w:rPr>
      </w:pPr>
    </w:p>
    <w:p>
      <w:pPr>
        <w:ind w:left="1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Letter of Credit Department</w:t>
      </w:r>
    </w:p>
    <w:p>
      <w:pPr>
        <w:spacing w:after="0" w:line="13" w:lineRule="exact"/>
        <w:rPr>
          <w:rFonts w:ascii="Times New Roman" w:cs="Times New Roman" w:eastAsia="Times New Roman" w:hAnsi="Times New Roman"/>
          <w:sz w:val="20"/>
          <w:szCs w:val="20"/>
          <w:color w:val="auto"/>
        </w:rPr>
      </w:pPr>
    </w:p>
    <w:p>
      <w:pPr>
        <w:ind w:left="1900" w:right="706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Telephone: (443) 627-4555 Email:</w:t>
      </w:r>
    </w:p>
    <w:p>
      <w:pPr>
        <w:spacing w:after="0" w:line="188" w:lineRule="exact"/>
        <w:rPr>
          <w:rFonts w:ascii="Times New Roman" w:cs="Times New Roman" w:eastAsia="Times New Roman" w:hAnsi="Times New Roman"/>
          <w:sz w:val="20"/>
          <w:szCs w:val="20"/>
          <w:color w:val="auto"/>
        </w:rPr>
      </w:pPr>
    </w:p>
    <w:p>
      <w:pPr>
        <w:ind w:left="-60" w:firstLine="1304"/>
        <w:spacing w:after="0" w:line="269" w:lineRule="auto"/>
        <w:tabs>
          <w:tab w:leader="none" w:pos="187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or any other Issuing Bank, to it at its address (or telecopy number, if applicable) set forth in its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120"/>
          </w:cols>
          <w:pgMar w:left="380" w:top="1413" w:right="399" w:bottom="1440" w:gutter="0" w:footer="0" w:header="0"/>
        </w:sectPr>
      </w:pPr>
    </w:p>
    <w:bookmarkStart w:id="124" w:name="page125"/>
    <w:bookmarkEnd w:id="124"/>
    <w:p>
      <w:pPr>
        <w:jc w:val="both"/>
        <w:ind w:firstLine="656"/>
        <w:spacing w:after="0" w:line="261" w:lineRule="auto"/>
        <w:tabs>
          <w:tab w:leader="none" w:pos="128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delivered through electronic communications to the extent provided in subsection (b) below, shall be effective as provided in such subsection (b).</w:t>
      </w:r>
    </w:p>
    <w:p>
      <w:pPr>
        <w:spacing w:after="0" w:line="181"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Lenders and the Issuing Banks hereunder may be delivered or furnished by electronic communications pursuant to procedures approved by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shall not apply to notices pursuant to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unless otherwise agreed by the Administrative Agent and the applicable Lender or the applicable Issuing Bank.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0" w:lineRule="exact"/>
        <w:rPr>
          <w:rFonts w:ascii="Times New Roman" w:cs="Times New Roman" w:eastAsia="Times New Roman" w:hAnsi="Times New Roman"/>
          <w:sz w:val="19"/>
          <w:szCs w:val="19"/>
          <w:color w:val="auto"/>
        </w:rPr>
      </w:pPr>
    </w:p>
    <w:p>
      <w:pPr>
        <w:ind w:right="20" w:firstLine="656"/>
        <w:spacing w:after="0" w:line="283" w:lineRule="auto"/>
        <w:tabs>
          <w:tab w:leader="none" w:pos="128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for notices and other communications hereunder by notice to the other parties 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Lender may change its address by notice solely to the Administrative Agent and the Borrower).</w:t>
      </w:r>
    </w:p>
    <w:p>
      <w:pPr>
        <w:spacing w:after="0" w:line="146"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the Administrative Agent may, but shall not be obligated to, make the Communications (as defined below) available to the Lenders and the Issuing Banks by posting the Communications on, IntraLinks, or another similar electronic system (the “</w:t>
      </w:r>
      <w:r>
        <w:rPr>
          <w:rFonts w:ascii="Times New Roman" w:cs="Times New Roman" w:eastAsia="Times New Roman" w:hAnsi="Times New Roman"/>
          <w:sz w:val="19"/>
          <w:szCs w:val="19"/>
          <w:b w:val="1"/>
          <w:bCs w:val="1"/>
          <w:color w:val="auto"/>
        </w:rPr>
        <w:t>Platform</w:t>
      </w:r>
      <w:r>
        <w:rPr>
          <w:rFonts w:ascii="Times New Roman" w:cs="Times New Roman" w:eastAsia="Times New Roman" w:hAnsi="Times New Roman"/>
          <w:sz w:val="19"/>
          <w:szCs w:val="19"/>
          <w:color w:val="auto"/>
        </w:rPr>
        <w:t>”).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9"/>
          <w:szCs w:val="19"/>
          <w:b w:val="1"/>
          <w:bCs w:val="1"/>
          <w:color w:val="auto"/>
        </w:rPr>
        <w:t>Agent Parties</w:t>
      </w:r>
      <w:r>
        <w:rPr>
          <w:rFonts w:ascii="Times New Roman" w:cs="Times New Roman" w:eastAsia="Times New Roman" w:hAnsi="Times New Roman"/>
          <w:sz w:val="19"/>
          <w:szCs w:val="19"/>
          <w:color w:val="auto"/>
        </w:rPr>
        <w:t>”) be responsible or liable for damages of any kind, including, without limitation, direct or indirect, special, incidental or consequential damages, losses or expenses (whether in tort, contract or otherwise) to the Borrower, any other Loan Party, any Lender, any Issuing Bank or any other Person arising from the unauthorized use by others of information or other materials obtained through internet, electronic, telecommunications or other information transmission, including, without limitation, the transmission of Communications through the Platform, except to the extent that such damages have resulted from the willful misconduct or gross negligence of such Agent Party (as determined in a final, non-appealable judgment by a court of competent jurisdiction). “</w:t>
      </w:r>
      <w:r>
        <w:rPr>
          <w:rFonts w:ascii="Times New Roman" w:cs="Times New Roman" w:eastAsia="Times New Roman" w:hAnsi="Times New Roman"/>
          <w:sz w:val="19"/>
          <w:szCs w:val="19"/>
          <w:b w:val="1"/>
          <w:bCs w:val="1"/>
          <w:color w:val="auto"/>
        </w:rPr>
        <w:t>Communications</w:t>
      </w:r>
      <w:r>
        <w:rPr>
          <w:rFonts w:ascii="Times New Roman" w:cs="Times New Roman" w:eastAsia="Times New Roman" w:hAnsi="Times New Roman"/>
          <w:sz w:val="19"/>
          <w:szCs w:val="19"/>
          <w:color w:val="auto"/>
        </w:rPr>
        <w:t>” means, collectively, any notice, demand, communication, information, document or other material that any Loan Party provides to the Administrative Agent pursuant to any Loan Document or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25" w:name="page126"/>
    <w:bookmarkEnd w:id="125"/>
    <w:p>
      <w:pPr>
        <w:spacing w:after="0" w:line="283" w:lineRule="auto"/>
        <w:rPr>
          <w:sz w:val="20"/>
          <w:szCs w:val="20"/>
          <w:color w:val="auto"/>
        </w:rPr>
      </w:pPr>
      <w:r>
        <w:rPr>
          <w:rFonts w:ascii="Times New Roman" w:cs="Times New Roman" w:eastAsia="Times New Roman" w:hAnsi="Times New Roman"/>
          <w:sz w:val="20"/>
          <w:szCs w:val="20"/>
          <w:color w:val="auto"/>
        </w:rPr>
        <w:t xml:space="preserve">therein which is distributed to the Administrative Agent or any Lender by means of electronic communications pursuant to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including through the Platform.</w:t>
      </w:r>
    </w:p>
    <w:p>
      <w:pPr>
        <w:spacing w:after="0" w:line="146" w:lineRule="exact"/>
        <w:rPr>
          <w:sz w:val="20"/>
          <w:szCs w:val="20"/>
          <w:color w:val="auto"/>
        </w:rPr>
      </w:pPr>
    </w:p>
    <w:p>
      <w:pPr>
        <w:jc w:val="both"/>
        <w:ind w:firstLine="656"/>
        <w:spacing w:after="0" w:line="265" w:lineRule="auto"/>
        <w:tabs>
          <w:tab w:leader="none" w:pos="128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Borrower shall have any Equity Interests or other securities registered under Section 12 of the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xml:space="preserve">”) or otherwise files or is required to file reports under Section 15(d) of the Exchange Act, the Borrower and each Lender acknowledges that certain of the Lenders may be Public Lenders and, if any document, notice or other information required to be delivered hereunder is being distributed through the Platform, any information that the Borrower has indicated contains Non-Public Information will not be posted on that portion of the Platform designated for such Public Lenders. If the Borrower has not indicated whether a document, notice or other information provided to the Administrative Agent by or on behalf of the Borrower or any Subsidiary contains Non-Public Information, the Administrative Agent reserves the right to post such information solely on the portion of the Platform designated for Lenders that wish to receive material Non-Public Information with respect to the Borrower, the Subsidiaries and its and their securities. Notwithstanding the foregoing, nothing in this </w:t>
      </w:r>
      <w:r>
        <w:rPr>
          <w:rFonts w:ascii="Times New Roman" w:cs="Times New Roman" w:eastAsia="Times New Roman" w:hAnsi="Times New Roman"/>
          <w:sz w:val="19"/>
          <w:szCs w:val="19"/>
          <w:u w:val="single" w:color="auto"/>
          <w:color w:val="auto"/>
        </w:rPr>
        <w:t>Section 9.01(e)</w:t>
      </w:r>
      <w:r>
        <w:rPr>
          <w:rFonts w:ascii="Times New Roman" w:cs="Times New Roman" w:eastAsia="Times New Roman" w:hAnsi="Times New Roman"/>
          <w:sz w:val="19"/>
          <w:szCs w:val="19"/>
          <w:color w:val="auto"/>
        </w:rPr>
        <w:t xml:space="preserve"> shall create any obligation on the Borrower to indicate whether any information contains Non-Public Information, it being further agreed that if any such indication is provided by the Borrower in its discretion, such indication shall create no obligation on the Borrower to provide any such indication in the future.</w:t>
      </w:r>
    </w:p>
    <w:p>
      <w:pPr>
        <w:spacing w:after="0" w:line="181" w:lineRule="exact"/>
        <w:rPr>
          <w:rFonts w:ascii="Times New Roman" w:cs="Times New Roman" w:eastAsia="Times New Roman" w:hAnsi="Times New Roman"/>
          <w:sz w:val="19"/>
          <w:szCs w:val="19"/>
          <w:color w:val="auto"/>
        </w:rPr>
      </w:pPr>
    </w:p>
    <w:p>
      <w:pPr>
        <w:jc w:val="both"/>
        <w:ind w:firstLine="656"/>
        <w:spacing w:after="0" w:line="253" w:lineRule="auto"/>
        <w:tabs>
          <w:tab w:leader="none" w:pos="129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 federal and state securities laws, to make reference to information that is not made available through the “Public Side Information” portion of the Platform and that may contain non-public information with respect to the Borrower, the Subsidiaries or its or their securities.</w:t>
      </w:r>
    </w:p>
    <w:p>
      <w:pPr>
        <w:spacing w:after="0" w:line="1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4" w:lineRule="auto"/>
        <w:tabs>
          <w:tab w:leader="none" w:pos="1286"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paragraph</w:t>
      </w:r>
    </w:p>
    <w:p>
      <w:pPr>
        <w:spacing w:after="0" w:line="4" w:lineRule="exact"/>
        <w:rPr>
          <w:rFonts w:ascii="Times New Roman" w:cs="Times New Roman" w:eastAsia="Times New Roman" w:hAnsi="Times New Roman"/>
          <w:sz w:val="19"/>
          <w:szCs w:val="19"/>
          <w:color w:val="auto"/>
        </w:rPr>
      </w:pPr>
    </w:p>
    <w:p>
      <w:pPr>
        <w:jc w:val="both"/>
        <w:ind w:firstLine="8"/>
        <w:spacing w:after="0" w:line="248" w:lineRule="auto"/>
        <w:tabs>
          <w:tab w:leader="none" w:pos="3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the Issuing Banks or any Lender may have had notice or knowledge of such Default or Event of Default at the time. Notwithstanding the foregoing Borrower and Administrative Agent may, without the consent of the other Lenders, amend, modify or supplement this Agreement and any other Loan Document to cure any ambiguity, omission, typographical error, defect or inconsistency if such amendment, modification or supplement if the same is not objected to in writing by the Required Lenders within five Business Days following receipt of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126" w:name="page127"/>
    <w:bookmarkEnd w:id="126"/>
    <w:p>
      <w:pPr>
        <w:jc w:val="both"/>
        <w:ind w:firstLine="656"/>
        <w:spacing w:after="0" w:line="261" w:lineRule="auto"/>
        <w:tabs>
          <w:tab w:leader="none" w:pos="1286"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None of this Agreement, any other Loan Document or any provision hereof or thereof may be waived, amended or modified (other than the Agent Fee Letter, which may be amended in accordance with its terms) except pursuant to an agreement or agreements in writing entered into by the Borrower and the Required Lenders (and a copy thereof shall be provided to the Administrative Agent) or by the Borrower and the Administrative Agent with the consent of the Required Lenders;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 such amendment, waiver or consent shall: (i) extend or increase the Commitment of any Lender or any Issuing Bank (including, without limitation, amending the definition of “Applicable Percentage”) or reinstate the Commitment of any Lender terminated pursuant to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without the written consent of such Lender or such Issuing Bank, as applicable, (ii) reduce the principal amount of any Loan or Letter of Credit or reduce the rate of interest thereon, or reduce any fees payable hereunder, without the written consent of each Lender directly affected thereby and, in the case of any Letter of Credit, the applicable Issuing Bank, (iii) postpone the scheduled date of payment of the principal amount of any Loan or Letter of Credit, or any interest thereon, or any fees payable hereunder, or reduce the amount of, waive or excuse any such payment, or postpone the scheduled date of expiration of any Commitment, without the written consent of each Lender directly affected thereby and, if applicable, the applicable Issuing Bank;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notwithstanding clause (ii) or (iii) of this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(x) only the consent of the Required Lenders shall be necessary to waive any obligation of the Borrower to pay interest at the default rate set forth in </w:t>
      </w:r>
      <w:r>
        <w:rPr>
          <w:rFonts w:ascii="Times New Roman" w:cs="Times New Roman" w:eastAsia="Times New Roman" w:hAnsi="Times New Roman"/>
          <w:sz w:val="19"/>
          <w:szCs w:val="19"/>
          <w:u w:val="single" w:color="auto"/>
          <w:color w:val="auto"/>
        </w:rPr>
        <w:t>Section 2.10(f)</w:t>
      </w:r>
      <w:r>
        <w:rPr>
          <w:rFonts w:ascii="Times New Roman" w:cs="Times New Roman" w:eastAsia="Times New Roman" w:hAnsi="Times New Roman"/>
          <w:sz w:val="19"/>
          <w:szCs w:val="19"/>
          <w:color w:val="auto"/>
        </w:rPr>
        <w:t xml:space="preserve"> and (y) any waiver of a Default shall not constitute a reduction of interest for this purpose, (iv) change </w:t>
      </w:r>
      <w:r>
        <w:rPr>
          <w:rFonts w:ascii="Times New Roman" w:cs="Times New Roman" w:eastAsia="Times New Roman" w:hAnsi="Times New Roman"/>
          <w:sz w:val="19"/>
          <w:szCs w:val="19"/>
          <w:u w:val="single" w:color="auto"/>
          <w:color w:val="auto"/>
        </w:rPr>
        <w:t>Section 2.15(b)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xml:space="preserve"> or any other Section hereof providing for the ratable treatment of the Lenders, in each case in a manner that would alter the </w:t>
      </w:r>
      <w:r>
        <w:rPr>
          <w:rFonts w:ascii="Times New Roman" w:cs="Times New Roman" w:eastAsia="Times New Roman" w:hAnsi="Times New Roman"/>
          <w:sz w:val="19"/>
          <w:szCs w:val="19"/>
          <w:i w:val="1"/>
          <w:iCs w:val="1"/>
          <w:color w:val="auto"/>
        </w:rPr>
        <w:t xml:space="preserve">pro rata </w:t>
      </w:r>
      <w:r>
        <w:rPr>
          <w:rFonts w:ascii="Times New Roman" w:cs="Times New Roman" w:eastAsia="Times New Roman" w:hAnsi="Times New Roman"/>
          <w:sz w:val="19"/>
          <w:szCs w:val="19"/>
          <w:color w:val="auto"/>
        </w:rPr>
        <w:t>sharing of payments required thereby, without the written consent of each Lender, (v) release (x) all or substantially all of the value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the Guarantees provided by the Guarantors, without the written consent of each Lender, except to the extent the release of any Guarantor is permitted pursuant to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xml:space="preserve"> (in which case such release may be made by the Administrative Agent acting alone) or (y) the Borrower (from its obligations as a borrower hereunder), except in connection with a merger or a consolidation permitted under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w:t>
      </w:r>
    </w:p>
    <w:p>
      <w:pPr>
        <w:spacing w:after="0" w:line="16"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(vii) change any of the provisions of this Section or the percentage referred to in the definition of “Required Lenders” or any</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other provision hereof specifying the number or percentage of Lenders required to waive, amend or modify any rights hereunder or make any determination or grant any consent hereunder, without the written consent of each Lender, (viii) waive any condition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(other than as it relates to the payment of fees and expenses of counsel), or, in the case of any Loans made on the Effective Date,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without the written consent of each Lender and each Issuing Bank. Notwithstanding anything to the contrary herein, no such agreement shall amend, modify or otherwise affect the rights or duties of the Administrative Agent or the Issuing Banks hereunder without the prior written consent of the Administrative Agent or the Issuing Banks, as the case may be (it being understood that any change to </w:t>
      </w:r>
      <w:r>
        <w:rPr>
          <w:rFonts w:ascii="Times New Roman" w:cs="Times New Roman" w:eastAsia="Times New Roman" w:hAnsi="Times New Roman"/>
          <w:sz w:val="20"/>
          <w:szCs w:val="20"/>
          <w:u w:val="single" w:color="auto"/>
          <w:color w:val="auto"/>
        </w:rPr>
        <w:t>Sections 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shall require the consent of the Administrative Agent and the Issuing Banks), (ix) amend or modify the definition of “Permitted Foreign Currency” without the written consent of each Lender directly affected thereby, (x) subordinate, or have the effect of subordinating, by payment or otherwise, the Obligations in right of payment to any other in right of payment to any other Indebtedness, without the written consent of each Lender directly and adversely affected thereby, or (xi) amend or modify the application of funds as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without the written consent of each Lender.</w:t>
      </w:r>
    </w:p>
    <w:p>
      <w:pPr>
        <w:spacing w:after="0" w:line="182" w:lineRule="exact"/>
        <w:rPr>
          <w:sz w:val="20"/>
          <w:szCs w:val="20"/>
          <w:color w:val="auto"/>
        </w:rPr>
      </w:pPr>
    </w:p>
    <w:p>
      <w:pPr>
        <w:jc w:val="both"/>
        <w:ind w:firstLine="656"/>
        <w:spacing w:after="0" w:line="268"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this Agreement may be amended as contemplated by (i)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to effect New Commitments pursuant to a Joinder Agreement with only the consent of the Administrative Agent, the Borrower, the other Loan Parties, the Issuing Banks and the New Lenders providing New Commitments, and (ii)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to effect an extension pursuant to an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127" w:name="page128"/>
    <w:bookmarkEnd w:id="127"/>
    <w:p>
      <w:pPr>
        <w:spacing w:after="0" w:line="283" w:lineRule="auto"/>
        <w:rPr>
          <w:sz w:val="20"/>
          <w:szCs w:val="20"/>
          <w:color w:val="auto"/>
        </w:rPr>
      </w:pPr>
      <w:r>
        <w:rPr>
          <w:rFonts w:ascii="Times New Roman" w:cs="Times New Roman" w:eastAsia="Times New Roman" w:hAnsi="Times New Roman"/>
          <w:sz w:val="20"/>
          <w:szCs w:val="20"/>
          <w:color w:val="auto"/>
        </w:rPr>
        <w:t>Agreement with only the consent of the Administrative Agent, the Borrower, the other Loan Parties and the Extending Lenders and the New Extending Lenders.</w:t>
      </w:r>
    </w:p>
    <w:p>
      <w:pPr>
        <w:spacing w:after="0" w:line="146" w:lineRule="exact"/>
        <w:rPr>
          <w:sz w:val="20"/>
          <w:szCs w:val="20"/>
          <w:color w:val="auto"/>
        </w:rPr>
      </w:pPr>
    </w:p>
    <w:p>
      <w:pPr>
        <w:jc w:val="both"/>
        <w:ind w:firstLine="656"/>
        <w:spacing w:after="0" w:line="252"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or in any other Loan Document to the contrary,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or each directly affected Lender, as required, have approved any such amendment or waiver;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any such amendment or waiver that would increase or extend the term of the Revolving Commitment of such Defaulting Lender, extend the date fixed for the payment of principal or interest or fees owing to such Defaulting Lender hereunder, reduce the principal amount of any obligation owing to such Defaulting Lender, reduce the amount of or the rate or amount of interest on any amount owing to such Defaulting Lender (other than in connection with the waiver of any obligation of the Borrower to pay interest at the default rate set forth in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or of any fee payable to such Defaulting Lender hereunder, or alter the terms of this paragraph, will require the consent of such Defaulting Lender.</w:t>
      </w:r>
    </w:p>
    <w:p>
      <w:pPr>
        <w:spacing w:after="0" w:line="17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solely with the consent of the Borrower and each Lender (in the case of Loans) and/or each applicable Issuing Bank (in the case of Letters of Credit), subject to </w:t>
      </w:r>
      <w:r>
        <w:rPr>
          <w:rFonts w:ascii="Times New Roman" w:cs="Times New Roman" w:eastAsia="Times New Roman" w:hAnsi="Times New Roman"/>
          <w:sz w:val="20"/>
          <w:szCs w:val="20"/>
          <w:u w:val="single" w:color="auto"/>
          <w:color w:val="auto"/>
        </w:rPr>
        <w:t>Section 2.02(b)(v)</w:t>
      </w:r>
      <w:r>
        <w:rPr>
          <w:rFonts w:ascii="Times New Roman" w:cs="Times New Roman" w:eastAsia="Times New Roman" w:hAnsi="Times New Roman"/>
          <w:sz w:val="20"/>
          <w:szCs w:val="20"/>
          <w:color w:val="auto"/>
        </w:rPr>
        <w:t xml:space="preserve">, this Agreement may be amended or otherwise modified to permit the availability of Loans and/or Letters of Credit denominated in a Permitted Foreign Currency other than British Pounds, Canadian Dollars and Euros, and to make technical changes to this Agreement and any other Loan Document to accommodate the inclusion of any such new currency (including the components of the interest rate applicable to any such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rate of interest shall be administratively feasible for the Administrative Agent.</w:t>
      </w:r>
    </w:p>
    <w:p>
      <w:pPr>
        <w:spacing w:after="0" w:line="19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herein to the contrary, this Agreement may be amended with the written consent of the Administrative Agent and the Borrower for such changes as Administrative Agent deems necessary or appropriate that is for the purpose of equally and ratably securing the Obligations with other Indebtedness. No Lender’s consent is required for the Administrative Agent to enter into any security agreement, pledge agreement or intercreditor agreement, or to effect any amendment, modification or supplement to any such security agreement, pledge agreement or intercreditor agreement that is for the purpose of equally and ratably securing the Obligations hereunder (it being understood that any such amendment or supplement may make such other changes to the applicable intercreditor or subordination agreement as, in the good faith determination of the Administrative Agent, are required to effectuate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other changes are not adverse, in any material respect, as determined in the good faith by the Administrative Agent, to the interests of the Lenders), provided further that no such agreement shall amend, modify, or otherwise affect the rights or duties of the Administrative Agent hereunder or under any Loan Documents without the prior written consent of the Administrative Agent, as applicable.</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Expenses; Indemnity; Damage Waiver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Borrower shall pay (i) all reasonable and documented out-of-pocket expenses incurred by the Administrative Agent, the Issuing Banks, the Lenders, the Arrangers and their respective Affiliates, including, without limitation, the reasonable and documented fees and disbursements of one primary firm of counsel for the Administrative Agent, the Issuing Banks, the Lenders and the Arrangers, taken as a whole in connection with the syndication of the credit facilities provided for herein, the preparation, execution, delivery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administration of this Agreement, any other Loan Document or any amendments, modifications or waivers of the provisions hereof or thereof (whether or not the transactions contemplated hereby or thereby shall be consummated); provided that the Borrower’s obligations under this clause (a)(i) solely with respect to the preparation, execution and delivery of the Loan Documents on the Effective Date shall be subject to the limitations provided for in the Engagement Letter, and (ii) all reasonable and documented out-of-pocket expenses incurred by the Administrative Agent, the Issuing Banks, the Arrangers or any Lender, including, without limitation, the reasonable and documented fees, disbursements and other charges of one primary firm of counsel for the Administrative Agent, the Issuing Banks, the Lenders and the Arrangers, taken as a whole, (and if reasonably necessary (as determined by the Administrative Agent in consultation with the Borrower), of a single regulatory counsel and a single local counsel in each appropriate jurisdiction and, in the case of an actual or potential conflict of interest where the Administrative Agent, the Issuing Banks, any Lender or any Arranger affected by such conflict informs the Borrower of such conflict and thereafter retains its own counsel, of another primary firm of counsel for such affected person (and if reasonably necessary (as determined by such affected person in consultation with the Borrower), of a single regulatory counsel and a single local counsel in each appropriate jurisdiction)), in connection with the enforcement or protection of its rights in connection with this Agreement or any other Loan Document, including its rights under this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or in connection with the Loans or Letters of Credit made hereunder, including all such reasonable and documented out-of-pocket expenses incurred during any workout, restructuring or negotiations in respect of such Loans.</w:t>
      </w:r>
    </w:p>
    <w:p>
      <w:pPr>
        <w:spacing w:after="0" w:line="172" w:lineRule="exact"/>
        <w:rPr>
          <w:sz w:val="20"/>
          <w:szCs w:val="20"/>
          <w:color w:val="auto"/>
        </w:rPr>
      </w:pPr>
    </w:p>
    <w:p>
      <w:pPr>
        <w:jc w:val="both"/>
        <w:ind w:firstLine="656"/>
        <w:spacing w:after="0" w:line="249" w:lineRule="auto"/>
        <w:tabs>
          <w:tab w:leader="none" w:pos="12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the Administrative Agent, the Issuing Banks, the Arrangers and each Lender, and each Related Party, successor, partner, representative or assign of any of the foregoing Persons (each such Person being called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reasonable and documented out-of-pocket expenses, including the reasonable and documented fees, charges and disbursements of any a primary firm of counsel for all such Indemnitees (and if reasonably necessary (as determined by such Indemnitees in consultation with the Borrower), of a single regulatory counsel and a single local counsel in each appropriate jurisdiction and, in the case of an actual or potential conflict of interest where the Indemnitee affected by such conflict informs the Borrower of such conflict and thereafter retains its own counsel, of another primary firm of counsel for such affected Indemnitee (and if reasonably necessary (as determined by such affected Indemnitee in consultation with the Borrower), of a single regulatory counsel and a single local counsel in each appropriate jurisdiction)), incurred by or asserted against any Indemnitee by any third party or by the Borrower or any other Loan Party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the use of or the proposed use of proceeds therefrom, (iii) any actual or alleged presence or release of Hazardous Materials on or from any property owned, leased or operated by the Borrower or any of its Subsidiaries, or any Environmental Liability related in any way to the Borrower or any of its Subsidiaries, or (iv) any actual or prospective action, suit, inquiry, claim, litigation, investigation or proceeding relating to any of the foregoing, whether based on contract, tort or any other theory and regardless of whether any Indemnitee is a party thereto (and regardless of whether such matter is initiated by a third party or the Borrower or any Affiliate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(w) with respect to Taxes and amounts relating thereto (other than any Taxes that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0" w:lineRule="auto"/>
        <w:rPr>
          <w:sz w:val="20"/>
          <w:szCs w:val="20"/>
          <w:color w:val="auto"/>
        </w:rPr>
      </w:pPr>
      <w:r>
        <w:rPr>
          <w:rFonts w:ascii="Times New Roman" w:cs="Times New Roman" w:eastAsia="Times New Roman" w:hAnsi="Times New Roman"/>
          <w:sz w:val="20"/>
          <w:szCs w:val="20"/>
          <w:color w:val="auto"/>
        </w:rPr>
        <w:t>losses, claims, damages, etc. arising from any non-Tax claim), (x) to the extent that such losses, claims, damages, liabilities, costs or reasonable and documented out-of-pocket expenses are determined by a court of competent jurisdiction by final and non-appealable judgment to have resulted from the gross negligence, bad faith or willful misconduct of such Indemnitee, (y) if resulting from a material breach by such Indemnitee or one of its controlled Affiliates of its obligations under this Agreement or any other Loan Document (as determined by a court of competent jurisdiction by final and non-appealable judgment), or (z) if arising from any dispute between and among Indemnitees, to the extent such dispute does not involve an act or omission by the Borrower or its Subsidiaries (as determined by a court of competent jurisdiction by final and non-appealable judgment) other than any proceeding against the Administrative Agent or any Arranger, in each case, acting in such capacity. The Borrower will not be required to indemnify any Indemnitee for any amount paid or payable by such Indemnitee in the settlement of any such indemnified losses, claims, damages, liabilities, costs or reasonable and documented expenses which is entered into by such Indemnitee without Borrower’s written consent (such consent not to be unreasonably withheld, conditioned or delayed) unless the Borrower was offered the ability to assume the defense of the action that was the subject matter of such settlement and elected not to so assume. In the case of any proceeding to which the indemnity in this paragraph applies, such indemnity and reimbursement obligations shall be effective, whether or not such proceeding is brought by the Borrower, any of its equityholders or creditors, an Indemnitee or any other Person, or an Indemnitee is otherwise a party thereto.</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Without limiting in any way the indemnification obligations of the Borrower pursuant to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or of the Lenders pursuant to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to the extent permitted by applicable law, each party hereto shall not assert, and hereby waives, any claim against any Indemnitee and the Borrower and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Letter of Credit or the use of the proceeds thereof (other than, in the case of the Borrower, in respect of any such damages incurred or paid by an Indemnitee to a third party).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bad faith or willful misconduct of such Indemnitee as determined by a final and non-appealable judgment of a court of competent jurisdiction.</w:t>
      </w:r>
    </w:p>
    <w:p>
      <w:pPr>
        <w:spacing w:after="0" w:line="200"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due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be payable promptly after written demand therefor.</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Participants (to the extent provided in subsection (c)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Indemnitees (to the extent provided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130" w:name="page131"/>
    <w:bookmarkEnd w:id="130"/>
    <w:p>
      <w:pPr>
        <w:ind w:right="20"/>
        <w:spacing w:after="0" w:line="283" w:lineRule="auto"/>
        <w:rPr>
          <w:sz w:val="20"/>
          <w:szCs w:val="20"/>
          <w:color w:val="auto"/>
        </w:rPr>
      </w:pPr>
      <w:r>
        <w:rPr>
          <w:rFonts w:ascii="Times New Roman" w:cs="Times New Roman" w:eastAsia="Times New Roman" w:hAnsi="Times New Roman"/>
          <w:sz w:val="20"/>
          <w:szCs w:val="20"/>
          <w:color w:val="auto"/>
        </w:rPr>
        <w:t>expressly contemplated hereby, the Related Parties of each of the Administrative Agent, the Issuing Banks and the Lenders) any legal or equitable right, remedy or claim under or by reason of this Agreement.</w:t>
      </w:r>
    </w:p>
    <w:p>
      <w:pPr>
        <w:spacing w:after="0" w:line="155" w:lineRule="exact"/>
        <w:rPr>
          <w:sz w:val="20"/>
          <w:szCs w:val="20"/>
          <w:color w:val="auto"/>
        </w:rPr>
      </w:pPr>
    </w:p>
    <w:p>
      <w:pPr>
        <w:jc w:val="both"/>
        <w:ind w:firstLine="656"/>
        <w:spacing w:after="0" w:line="270"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Subject to the conditions set forth in paragraph (b)(ii) below, any Lender may assign to one or more assignees all or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portion of its rights and obligations under this Agreement (including all or a portion of its Revolving Commitment and the Revolving Loans at the time owing to it) with the prior written consent of:</w:t>
      </w:r>
    </w:p>
    <w:p>
      <w:pPr>
        <w:spacing w:after="0" w:line="169"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595"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 Specified Event of Default has occurred and is continuing;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fifteen (15) Business Days after having received notice thereof;</w:t>
      </w:r>
    </w:p>
    <w:p>
      <w:pPr>
        <w:spacing w:after="0" w:line="187" w:lineRule="exact"/>
        <w:rPr>
          <w:rFonts w:ascii="Times New Roman" w:cs="Times New Roman" w:eastAsia="Times New Roman" w:hAnsi="Times New Roman"/>
          <w:sz w:val="20"/>
          <w:szCs w:val="20"/>
          <w:color w:val="auto"/>
        </w:rPr>
      </w:pPr>
    </w:p>
    <w:p>
      <w:pPr>
        <w:jc w:val="both"/>
        <w:ind w:left="660" w:firstLine="1292"/>
        <w:spacing w:after="0" w:line="263" w:lineRule="auto"/>
        <w:tabs>
          <w:tab w:leader="none" w:pos="259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(such consent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 Lender, an Affiliate of a Lender or an Approved Fund; and</w:t>
      </w:r>
    </w:p>
    <w:p>
      <w:pPr>
        <w:spacing w:after="0" w:line="175" w:lineRule="exact"/>
        <w:rPr>
          <w:rFonts w:ascii="Times New Roman" w:cs="Times New Roman" w:eastAsia="Times New Roman" w:hAnsi="Times New Roman"/>
          <w:sz w:val="20"/>
          <w:szCs w:val="20"/>
          <w:color w:val="auto"/>
        </w:rPr>
      </w:pPr>
    </w:p>
    <w:p>
      <w:pPr>
        <w:ind w:left="660" w:firstLine="1292"/>
        <w:spacing w:after="0" w:line="273" w:lineRule="auto"/>
        <w:tabs>
          <w:tab w:leader="none" w:pos="259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Banks (such consent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Issuing Banks shall be required for an assignment to a Lender, an Affiliate of a Lender or an Approved Fund.</w:t>
      </w:r>
    </w:p>
    <w:p>
      <w:pPr>
        <w:spacing w:after="0" w:line="196"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95"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or an Affiliate of a Lender or an assignment of the entire remaining amount of the assigning Lender’s Revolving Commitment or Revolving Loans and subject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the amount of the Revolving Commitment or Revolving Loans of the assigning Lender subject to each such assignment (determined as of the date the Assignment and Assumption with respect to such assignment is delivered to the Administrative Agent) shall not be less than $15,000,000 (or a greater amount that is an integral multiple of $1,000,000), unless each of the Borrower and the Administrative Agent otherwise consent;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consent of the Borrower shall be required if a Specified Event of Default has occurred and is continuing;</w:t>
      </w:r>
    </w:p>
    <w:p>
      <w:pPr>
        <w:spacing w:after="0" w:line="192" w:lineRule="exact"/>
        <w:rPr>
          <w:rFonts w:ascii="Times New Roman" w:cs="Times New Roman" w:eastAsia="Times New Roman" w:hAnsi="Times New Roman"/>
          <w:sz w:val="20"/>
          <w:szCs w:val="20"/>
          <w:color w:val="auto"/>
        </w:rPr>
      </w:pPr>
    </w:p>
    <w:p>
      <w:pPr>
        <w:ind w:left="660" w:firstLine="1292"/>
        <w:spacing w:after="0" w:line="269" w:lineRule="auto"/>
        <w:tabs>
          <w:tab w:leader="none" w:pos="259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72" w:lineRule="exact"/>
        <w:rPr>
          <w:rFonts w:ascii="Times New Roman" w:cs="Times New Roman" w:eastAsia="Times New Roman" w:hAnsi="Times New Roman"/>
          <w:sz w:val="20"/>
          <w:szCs w:val="20"/>
          <w:color w:val="auto"/>
        </w:rPr>
      </w:pPr>
    </w:p>
    <w:p>
      <w:pPr>
        <w:ind w:left="660" w:firstLine="1292"/>
        <w:spacing w:after="0" w:line="269" w:lineRule="auto"/>
        <w:tabs>
          <w:tab w:leader="none" w:pos="259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an Assignment and Assumption, together with a processing and recordation fee of $3,500;</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95"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their respective securities)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18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be made available and who may receive such information in accordance with the assignee’s compliance procedures and applicable laws, including Federal and state securities laws;</w:t>
      </w:r>
    </w:p>
    <w:p>
      <w:pPr>
        <w:spacing w:after="0" w:line="146" w:lineRule="exact"/>
        <w:rPr>
          <w:sz w:val="20"/>
          <w:szCs w:val="20"/>
          <w:color w:val="auto"/>
        </w:rPr>
      </w:pPr>
    </w:p>
    <w:p>
      <w:pPr>
        <w:jc w:val="both"/>
        <w:ind w:left="660" w:firstLine="1292"/>
        <w:spacing w:after="0" w:line="261" w:lineRule="auto"/>
        <w:tabs>
          <w:tab w:leader="none" w:pos="26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assignment shall be made to (i) any Loan Party nor any Affiliate of a Loan Party, (ii) any Defaulting Lender or any of its subsidiaries, or any Person, who, upon becoming a Lender hereunder, would constitute any of the foregoing Persons described in this clause (ii), or (iii) any natural person;</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603"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Revolving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share of all Revolving Loans in accordance with its Applicable Percentage. Notwithstanding the foregoing, in the event that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and</w:t>
      </w:r>
    </w:p>
    <w:p>
      <w:pPr>
        <w:spacing w:after="0" w:line="178"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59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assignment or participation shall be made to any Person that was a Disqualified Institution as of the date (the “</w:t>
      </w:r>
      <w:r>
        <w:rPr>
          <w:rFonts w:ascii="Times New Roman" w:cs="Times New Roman" w:eastAsia="Times New Roman" w:hAnsi="Times New Roman"/>
          <w:sz w:val="20"/>
          <w:szCs w:val="20"/>
          <w:b w:val="1"/>
          <w:bCs w:val="1"/>
          <w:color w:val="auto"/>
        </w:rPr>
        <w:t>Trade Date</w:t>
      </w:r>
      <w:r>
        <w:rPr>
          <w:rFonts w:ascii="Times New Roman" w:cs="Times New Roman" w:eastAsia="Times New Roman" w:hAnsi="Times New Roman"/>
          <w:sz w:val="20"/>
          <w:szCs w:val="20"/>
          <w:color w:val="auto"/>
        </w:rPr>
        <w:t>”) on which the assigning or participating Lender entered into a binding agreement to sell and assign or participate, as applicable,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supplement to the list of Competitors pursuant to clause (b) of the definition of “</w:t>
      </w:r>
      <w:r>
        <w:rPr>
          <w:rFonts w:ascii="Times New Roman" w:cs="Times New Roman" w:eastAsia="Times New Roman" w:hAnsi="Times New Roman"/>
          <w:sz w:val="20"/>
          <w:szCs w:val="20"/>
          <w:b w:val="1"/>
          <w:bCs w:val="1"/>
          <w:color w:val="auto"/>
        </w:rPr>
        <w:t>Disqualified Institution</w:t>
      </w:r>
      <w:r>
        <w:rPr>
          <w:rFonts w:ascii="Times New Roman" w:cs="Times New Roman" w:eastAsia="Times New Roman" w:hAnsi="Times New Roman"/>
          <w:sz w:val="20"/>
          <w:szCs w:val="20"/>
          <w:color w:val="auto"/>
        </w:rPr>
        <w:t>”), (x) such assignee or Participant shall not retroactively be disqualified from becoming a Lender or Participant (but such Person shall not be able to increase its Commitments or participations hereunder) and (y) such assignment or participation and, in the case of an assignment, the execution by the Borrower of an Assignment and Assumption with respect to such assignee will not by itself result in such assignee no longer being considered a Disqualified Institution. Any assignment or participation in violation of this clause (G)(a) shall not be void, but the other provisions of this clause (G)(a) shall apply.</w:t>
      </w:r>
    </w:p>
    <w:p>
      <w:pPr>
        <w:spacing w:after="0" w:line="178"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(but not the obligation), and the Borrower hereby expressly authorizes the Administrative Agent, to (A) post the list of Disqualified Institutions and any updates thereto from time to time on the Platform, including that portion of the Platform that is designated for “public side” Lenders and/or (B) provide the list of Disqualified Institutions and any updates thereto to each Lender or Participant requesting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40" w:right="339" w:bottom="1440" w:gutter="0" w:footer="0" w:header="0"/>
        </w:sectPr>
      </w:pPr>
    </w:p>
    <w:bookmarkStart w:id="132" w:name="page133"/>
    <w:bookmarkEnd w:id="132"/>
    <w:p>
      <w:pPr>
        <w:jc w:val="both"/>
        <w:ind w:firstLine="1304"/>
        <w:spacing w:after="0" w:line="248" w:lineRule="auto"/>
        <w:tabs>
          <w:tab w:leader="none" w:pos="191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Subject to acceptance and recording thereof pursuant to paragraph (b)(iv)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subsection (c)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written notice. The Borrower agrees to indemnify the Administrative Agent from and against any and all losses, claims, damages and liabilities of whatsoever nature which may be imposed on, asserted against or incurred by the Administrative Agent in performing its duties under this </w:t>
      </w:r>
      <w:r>
        <w:rPr>
          <w:rFonts w:ascii="Times New Roman" w:cs="Times New Roman" w:eastAsia="Times New Roman" w:hAnsi="Times New Roman"/>
          <w:sz w:val="20"/>
          <w:szCs w:val="20"/>
          <w:u w:val="single" w:color="auto"/>
          <w:color w:val="auto"/>
        </w:rPr>
        <w:t>Section 9.04(b)(ii)</w:t>
      </w:r>
      <w:r>
        <w:rPr>
          <w:rFonts w:ascii="Times New Roman" w:cs="Times New Roman" w:eastAsia="Times New Roman" w:hAnsi="Times New Roman"/>
          <w:sz w:val="20"/>
          <w:szCs w:val="20"/>
          <w:color w:val="auto"/>
        </w:rPr>
        <w:t>, except to the extent that such losses, claims, damages or liabilities are determined by a court of competent jurisdiction by final and non-appealable judgment to have resulted from the gross negligence, bad faith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20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7"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any written consent to such assignment required by paragraph (b)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8" w:lineRule="exact"/>
        <w:rPr>
          <w:rFonts w:ascii="Times New Roman" w:cs="Times New Roman" w:eastAsia="Times New Roman" w:hAnsi="Times New Roman"/>
          <w:sz w:val="22"/>
          <w:szCs w:val="22"/>
          <w:color w:val="auto"/>
        </w:rPr>
      </w:pPr>
    </w:p>
    <w:p>
      <w:pPr>
        <w:ind w:right="20" w:firstLine="656"/>
        <w:spacing w:after="0"/>
        <w:tabs>
          <w:tab w:leader="none" w:pos="12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9.04(b)(ii)(G)</w:t>
      </w:r>
      <w:r>
        <w:rPr>
          <w:rFonts w:ascii="Times New Roman" w:cs="Times New Roman" w:eastAsia="Times New Roman" w:hAnsi="Times New Roman"/>
          <w:sz w:val="19"/>
          <w:szCs w:val="19"/>
          <w:color w:val="auto"/>
        </w:rPr>
        <w:t>, any Lender may, without the consent of, or notice to, the Borrower, the 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Agent or the Issuing Banks, sell participations to one or more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33" w:name="page134"/>
    <w:bookmarkEnd w:id="133"/>
    <w:p>
      <w:pPr>
        <w:jc w:val="both"/>
        <w:spacing w:after="0" w:line="264" w:lineRule="auto"/>
        <w:rPr>
          <w:sz w:val="20"/>
          <w:szCs w:val="20"/>
          <w:color w:val="auto"/>
        </w:rPr>
      </w:pPr>
      <w:r>
        <w:rPr>
          <w:rFonts w:ascii="Times New Roman" w:cs="Times New Roman" w:eastAsia="Times New Roman" w:hAnsi="Times New Roman"/>
          <w:sz w:val="19"/>
          <w:szCs w:val="19"/>
          <w:color w:val="auto"/>
        </w:rPr>
        <w:t>or other entities (but not to the Borrower or an Affiliate thereof) (a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Revolving Commitment and the Revolving Loans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that affects such Participant. Subject to paragraph (c)(ii) of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Borrower agrees that each Participant shall be entitled to the benefits of </w:t>
      </w:r>
      <w:r>
        <w:rPr>
          <w:rFonts w:ascii="Times New Roman" w:cs="Times New Roman" w:eastAsia="Times New Roman" w:hAnsi="Times New Roman"/>
          <w:sz w:val="19"/>
          <w:szCs w:val="19"/>
          <w:u w:val="single" w:color="auto"/>
          <w:color w:val="auto"/>
        </w:rPr>
        <w:t>Sections 2.12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2.14(f)</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2.14(f)</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Participant agrees to be subject to the provisions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if it were an assignee under paragraph (b) of this Section.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9.08</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Participant agrees to be subject to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xml:space="preserve"> as though it were a Lender.</w:t>
      </w:r>
    </w:p>
    <w:p>
      <w:pPr>
        <w:spacing w:after="0" w:line="206" w:lineRule="exact"/>
        <w:rPr>
          <w:sz w:val="20"/>
          <w:szCs w:val="20"/>
          <w:color w:val="auto"/>
        </w:rPr>
      </w:pPr>
    </w:p>
    <w:p>
      <w:pPr>
        <w:jc w:val="both"/>
        <w:ind w:firstLine="1304"/>
        <w:spacing w:after="0" w:line="247" w:lineRule="auto"/>
        <w:tabs>
          <w:tab w:leader="none" w:pos="184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such entitlement to receive a greater payment results from a Change in Law requiring a payment under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with respect to any Participant.</w:t>
      </w:r>
    </w:p>
    <w:p>
      <w:pPr>
        <w:spacing w:after="0" w:line="223"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91"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Revolving Loans or other obligations under the Loan Documents (the “</w:t>
      </w:r>
      <w:r>
        <w:rPr>
          <w:rFonts w:ascii="Times New Roman" w:cs="Times New Roman" w:eastAsia="Times New Roman" w:hAnsi="Times New Roman"/>
          <w:sz w:val="19"/>
          <w:szCs w:val="19"/>
          <w:b w:val="1"/>
          <w:b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1" w:lineRule="exact"/>
        <w:rPr>
          <w:rFonts w:ascii="Times New Roman" w:cs="Times New Roman" w:eastAsia="Times New Roman" w:hAnsi="Times New Roman"/>
          <w:sz w:val="21"/>
          <w:szCs w:val="21"/>
          <w:color w:val="auto"/>
        </w:rPr>
      </w:pPr>
    </w:p>
    <w:p>
      <w:pPr>
        <w:jc w:val="both"/>
        <w:ind w:firstLine="656"/>
        <w:spacing w:after="0" w:line="261" w:lineRule="auto"/>
        <w:tabs>
          <w:tab w:leader="none" w:pos="1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09" w:right="339" w:bottom="1440" w:gutter="0" w:footer="0" w:header="0"/>
        </w:sectPr>
      </w:pPr>
    </w:p>
    <w:bookmarkStart w:id="134" w:name="page135"/>
    <w:bookmarkEnd w:id="134"/>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jurisdiction over such Lender, and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the making of any Loans and the issuance of any Letters of Credit, regardless of any investigation made by any such other party or on its behalf and notwithstanding that the Administrative Agent, any Issuing Bank or any Lender may have had notice or knowledge of any Default,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the expiration or termination of the Commitments, the resignation of the Administrative Agent, the replacement of any Lender or any Issuing Bank, the resignation of an Issuing Bank or the termination of this Agreement or any provision hereof.</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shall be effective as delivery of a manually executed counterpart of this Agreement.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each Issuing Bank, each Lender and each of their respective Affiliates is hereby authorized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09" w:right="339" w:bottom="1440" w:gutter="0" w:footer="0" w:header="0"/>
        </w:sectPr>
      </w:pPr>
    </w:p>
    <w:bookmarkStart w:id="135" w:name="page136"/>
    <w:bookmarkEnd w:id="135"/>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 from time to time, to the fullest extent permitted by law, to set off and apply any and all deposits (general or special, time or demand, provisional or final) at any time held by, and other obligations at any time owing by such Issuing Bank, such Lender or such Affiliate to or for the credit or the account of the Borrower against any of and all the obligations of the Borrower now or hereafter existing under this Agreement held by such Issuing Bank or such Lender, irrespective of whether or not such Issuing Bank or such Lender, as applicable, shall have made any demand under this Agreement and although such obligations may be unmatured;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Issuing Bank and each Lender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are in addition to other rights and remedies (including other rights of setoff) which such Issuing Bank or such Lender may have. Each Issuing Bank and each Lender agrees to notify the Borrower and the Administrative Agent promptly after any such setoff and application;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9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firstLine="656"/>
        <w:spacing w:after="0" w:line="254" w:lineRule="auto"/>
        <w:tabs>
          <w:tab w:leader="none" w:pos="128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THIS AGREEMENT AND THE OTHER LOAN DOCUMENTS AND ANY CLAIM, CONTROVERSY OR DISPUTE UNDER, ARISING OUT OF OR RELATING TO THIS AGREEMENT OR THE OTHER LOAN DOCUMENTS AND THE TRANSACTIONS CONTEMPLATED HEREBY AND THEREBY, WHETHER BASED IN CONTRACT (AT LAW OR IN EQUITY), TORT OR ANY OTHER THEORY, SHALL BE GOVERNED BY, AND CONSTRUED IN ACCORDANCE WITH, THE LAW OF THE STATE OF NEW YORK WITHOUT REGARD TO CONFLICTS OF LAW RULES THAT WOULD RESULT IN THE APPLICATION OF A DIFFERENT GOVERNING LAW.</w:t>
      </w:r>
    </w:p>
    <w:p>
      <w:pPr>
        <w:spacing w:after="0" w:line="190"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 submits, for itself and its property, to the exclusive jurisdiction of the Supreme Court of the State of New York sitting in New York County, Borough of Manhattan and of the United States District Court of the Southern District of New York sitting in New York County, Borough of Manhattan, and any appellate court from any thereof, in any action or proceeding (whether in tort, contract, law or equity) arising out of or relating to this Agreement, or for recognition or enforcement of any judgment, and each of the parties hereto hereby irrevocably and unconditionally agrees that all claims in respect of any such action or proceeding (whether in tort, contract, law or equity) may be heard and determined in such New York State or, to the extent permitted by law, in such Federal court. Each of the parties hereto agrees that a final judgment in any such action or proceeding (whether in tort, contract, law or equity) shall be conclusive and may be enforced in other jurisdictions by suit on the judgment or in any other manner provided by law. Nothing in this Agreement shall affect any right that the Administrative Agent or any Lender may otherwise have to bring any action or proceeding (whether in tort, contract, law or equity) relating to this Agreement against the Borrower or its properties in the courts of any jurisdiction.</w:t>
      </w:r>
    </w:p>
    <w:p>
      <w:pPr>
        <w:spacing w:after="0" w:line="18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136" w:name="page137"/>
    <w:bookmarkEnd w:id="136"/>
    <w:p>
      <w:pPr>
        <w:spacing w:after="0" w:line="283" w:lineRule="auto"/>
        <w:rPr>
          <w:sz w:val="20"/>
          <w:szCs w:val="20"/>
          <w:color w:val="auto"/>
        </w:rPr>
      </w:pPr>
      <w:r>
        <w:rPr>
          <w:rFonts w:ascii="Times New Roman" w:cs="Times New Roman" w:eastAsia="Times New Roman" w:hAnsi="Times New Roman"/>
          <w:sz w:val="20"/>
          <w:szCs w:val="20"/>
          <w:color w:val="auto"/>
        </w:rPr>
        <w:t xml:space="preserve">subsection (b) of this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146" w:lineRule="exact"/>
        <w:rPr>
          <w:sz w:val="20"/>
          <w:szCs w:val="20"/>
          <w:color w:val="auto"/>
        </w:rPr>
      </w:pPr>
    </w:p>
    <w:p>
      <w:pPr>
        <w:ind w:firstLine="656"/>
        <w:spacing w:after="0" w:line="283" w:lineRule="auto"/>
        <w:tabs>
          <w:tab w:leader="none" w:pos="128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Nothing in this Agreement will affect the right of any party to this Agreement to serve process in any other manner permitted by law.</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(AT LAW OR IN EQUITY),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EACH PARTY HERETO FURTHER REPRESENTS AND WARRANTS THAT IT HAS REVIEWED THIS WAIVER WITH ITS LEGAL COUNSEL AND THAT IT KNOWINGLY AND VOLUNTARILY WAIVES IT JURY TRIAL RIGHTS FOLLOWING CONSULTATION WITH LEGAL COUNSEL.</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Each of the Administrative Agent, the Issuing Banks and the Lenders agrees to maintain the confidentiality of the Information (as defined below) and to not use the Information for any purpose except in connection with the Loan Documents and related matters, and to not disclose the Information;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herein shall prevent the Administrative Agent, the Issuing Banks or the Lenders (collectively, the “</w:t>
      </w:r>
      <w:r>
        <w:rPr>
          <w:rFonts w:ascii="Times New Roman" w:cs="Times New Roman" w:eastAsia="Times New Roman" w:hAnsi="Times New Roman"/>
          <w:sz w:val="20"/>
          <w:szCs w:val="20"/>
          <w:b w:val="1"/>
          <w:bCs w:val="1"/>
          <w:color w:val="auto"/>
        </w:rPr>
        <w:t>Credit Parties</w:t>
      </w:r>
      <w:r>
        <w:rPr>
          <w:rFonts w:ascii="Times New Roman" w:cs="Times New Roman" w:eastAsia="Times New Roman" w:hAnsi="Times New Roman"/>
          <w:sz w:val="20"/>
          <w:szCs w:val="20"/>
          <w:color w:val="auto"/>
        </w:rPr>
        <w:t>”) and their respective Affiliates from disclosing any Information (i) pursuant to the order of any court or administrative agency or in any pending legal, judicial or administrative proceeding, or otherwise as required by applicable law or compulsory legal process or to the extent requested or required by governmental and/or regulatory authorities, in each case based on the reasonable advice of their legal counsel (in which case such Credit Party agrees (except with respect to any audit or examination conducted by bank accountants or any governmental bank regulatory authority exercising examination or regulatory authority (or any request by such a governmental bank regulatory authority)) to the extent practicable and not prohibited by applicable law, rule or regulation, to inform you promptly thereof prior to disclosure), (ii) upon the request or demand of any regulatory authority having or purporting to have jurisdiction over a Credit Party or any of its Affiliates (in which case such Credit Party agrees (except with respect to any audit or examination conducted by bank accountants or any governmental bank regulatory authority exercising examination or regulatory authority (or any request by such a governmental bank regulatory authority)), to the extent practicable and not prohibited by applicable law, to inform you promptly thereof prior to disclosure), (iii) to the extent that such Information becomes publicly available other than by reason of improper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62" w:lineRule="auto"/>
        <w:rPr>
          <w:sz w:val="20"/>
          <w:szCs w:val="20"/>
          <w:color w:val="auto"/>
        </w:rPr>
      </w:pPr>
      <w:r>
        <w:rPr>
          <w:rFonts w:ascii="Times New Roman" w:cs="Times New Roman" w:eastAsia="Times New Roman" w:hAnsi="Times New Roman"/>
          <w:sz w:val="19"/>
          <w:szCs w:val="19"/>
          <w:color w:val="auto"/>
        </w:rPr>
        <w:t>disclosure by such Credit Party or any of its Affiliates in violation of any confidentiality obligations owing to you or any of your Affiliates (including those set forth in this Section), (iv) to the extent that such information is received by a Credit Party from a third party that is not, to such Credit Party’s knowledge, subject to contractual or fiduciary confidentiality obligations owing to you, or any of your Affiliates, (v) to the extent that such information is independently developed by any Credit Party without use of the Information, (vi) to each Credit Party’s Affiliates and to its and their respective employees, legal counsel, independent auditors and other experts or agents who need to know such Information in connection with this Agreement and the transactions contemplated hereby and who are informed of the confidential nature of such Information (“</w:t>
      </w:r>
      <w:r>
        <w:rPr>
          <w:rFonts w:ascii="Times New Roman" w:cs="Times New Roman" w:eastAsia="Times New Roman" w:hAnsi="Times New Roman"/>
          <w:sz w:val="19"/>
          <w:szCs w:val="19"/>
          <w:b w:val="1"/>
          <w:bCs w:val="1"/>
          <w:color w:val="auto"/>
        </w:rPr>
        <w:t>Representatives</w:t>
      </w:r>
      <w:r>
        <w:rPr>
          <w:rFonts w:ascii="Times New Roman" w:cs="Times New Roman" w:eastAsia="Times New Roman" w:hAnsi="Times New Roman"/>
          <w:sz w:val="19"/>
          <w:szCs w:val="19"/>
          <w:color w:val="auto"/>
        </w:rPr>
        <w:t xml:space="preserve">”) and have agreed to be bound (or otherwise already bound by a written agreement) by confidentiality obligations at least as protective of Information as those set forth herein (it being understood that each Credit Party shall be responsible for any breach thereof by its Representatives), (vii) to potential Participants or assignees (which would be permitted Participants or assignees under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other than Disqualified Institutions), in each case, who agree with or for the express benefit of the Borrower that they shall be bound by the terms of this Section (or language substantially similar and not less protective of the Information than this Section), including, without limitation, via a “click through” or other affirmative action on the part of the potential Participant or assignee to access such Information in accordance with the standard syndication processes of such Credit Party or customary market standards for dissemination of such Information, (viii) to the extent required by a potential or actual counterparty, insurer or reinsurer in connection with providing insurance, reinsurance or credit risk mitigation coverage under which payments are to be made or may be made by reference to this Agreement, (ix) in connection with the exercise of any remedies under this Agreement or any other Loan Document or any suit, action or proceeding relating to this Agreement or any other Loan Document, the enforcement of rights hereunder or thereunder, (x) to an actual or prospective counterparty (or its advisors) to any direct or indirect swap or derivative transaction relating to Holdings, the Borrower, any Subsidiary and its obligations or to such counterparty’s advisors in connection with such transaction, and (xi) on a confidential basis to any rating agency in connection with rating Holdings, the Borrower or any Subsidiary or the credit facilities provided for herein. For the purposes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memoranda or other information received from or on behalf of the Borrower, in connection with the Loan Documents and the facilities under the Loan Documents, relating to the Borrower or its business;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Information received from the Borrower after the date hereof, such information is clearly identified at the time of delivery as confidential. In addition, the Credit Parties may disclose the existence of this Agreement and information about this Agreement to market data collectors, similar service providers to the lending industry and service providers to the Credit Parties in connection with the administration and management of this Agreement, the other Loan Documents, and the Commitments. Any Person required to maintain the confidentiality of Information as provided in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3" w:lineRule="exact"/>
        <w:rPr>
          <w:sz w:val="20"/>
          <w:szCs w:val="20"/>
          <w:color w:val="auto"/>
        </w:rPr>
      </w:pPr>
    </w:p>
    <w:p>
      <w:pPr>
        <w:jc w:val="both"/>
        <w:ind w:firstLine="656"/>
        <w:spacing w:after="0" w:line="253" w:lineRule="auto"/>
        <w:tabs>
          <w:tab w:leader="none" w:pos="128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BANK AND EACH LENDER ACKNOWLEDGES THAT INFORMATION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9.12(A)</w:t>
      </w:r>
      <w:r>
        <w:rPr>
          <w:rFonts w:ascii="Times New Roman" w:cs="Times New Roman" w:eastAsia="Times New Roman" w:hAnsi="Times New Roman"/>
          <w:sz w:val="20"/>
          <w:szCs w:val="20"/>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38" w:name="page139"/>
    <w:bookmarkEnd w:id="138"/>
    <w:p>
      <w:pPr>
        <w:jc w:val="both"/>
        <w:ind w:firstLine="656"/>
        <w:spacing w:after="0" w:line="269" w:lineRule="auto"/>
        <w:tabs>
          <w:tab w:leader="none" w:pos="128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ISSUING BANK AND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nothing herein prohibits or impedes any individual from communicating or disclosing information regarding suspected violations of laws, rules or regulations to a Governmental Authority or self-regulatory authority without any notification to any Person.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Loan Document), the Borrower acknowledges and agrees, and acknowledges its Subsidiaries’ understanding, that: (a) (i) the arranging and other services regarding this Agreement provided by the Administrative Agent, the Arrangers, the Issuing Banks and the Lenders are arm’s-length commercial transactions between the Borrower and its Affiliates, on the one hand, and the Administrative Agent, the Arrangers, the Issuing Banks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each of the Administrative Agent, the Issuing Banks, the Arrangers and the Lenders is and has been acting solely as a principal and, except as expressly agreed in writing by the relevant parties, has not been, is not, and will not be acting as an advisor, agent or fiduciary for the Borrower or any of its Subsidiaries, or any other Person and</w:t>
      </w:r>
    </w:p>
    <w:p>
      <w:pPr>
        <w:spacing w:after="0" w:line="2" w:lineRule="exact"/>
        <w:rPr>
          <w:sz w:val="20"/>
          <w:szCs w:val="20"/>
          <w:color w:val="auto"/>
        </w:rPr>
      </w:pPr>
    </w:p>
    <w:p>
      <w:pPr>
        <w:jc w:val="both"/>
        <w:ind w:firstLine="8"/>
        <w:spacing w:after="0" w:line="251" w:lineRule="auto"/>
        <w:tabs>
          <w:tab w:leader="none" w:pos="32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any Issuing Bank, any Arranger nor any Lender has any obligation to the Borrower or any of its Affiliates with respect to the Transactions contemplated hereby except those obligations expressly set forth herein and in the other Loan Documents; and (c) the Administrative Agent, the Issuing Banks, each Arranger and the Lenders and their respective Affiliates may be engaged in a broad range of transactions that involve interests that differ from those of the Borrower and its Affiliates, and none of the Administrative Agent, any Issuing Bank, any Arranger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0"/>
          <w:szCs w:val="20"/>
          <w:color w:val="auto"/>
        </w:rPr>
        <w:t>Lender has any obligation to disclose any of such interests to the Borrower or its Affiliates. The Borrower, on behalf of itself and each of its Subsidiaries and Affiliates, agrees that nothing in the Loan Documents or otherwise will be deemed to create an advisory, fiduciary or agency relationship or fiduciary or other implied duty between the Administrative Agent, any Issuing Bank, any Arranger or any Lender, on the one hand, and the Borrower, any of its Subsidiaries, or their respective equityholders or Affiliates, on the other.</w:t>
      </w:r>
    </w:p>
    <w:p>
      <w:pPr>
        <w:spacing w:after="0" w:line="1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 xml:space="preserve">Section 9.15 </w:t>
      </w:r>
      <w:r>
        <w:rPr>
          <w:rFonts w:ascii="Times New Roman" w:cs="Times New Roman" w:eastAsia="Times New Roman" w:hAnsi="Times New Roman"/>
          <w:sz w:val="19"/>
          <w:szCs w:val="19"/>
          <w:u w:val="single" w:color="auto"/>
          <w:color w:val="auto"/>
        </w:rPr>
        <w:t>Electronic Execution of Assignments and Certain Other Documents</w:t>
      </w:r>
      <w:r>
        <w:rPr>
          <w:rFonts w:ascii="Times New Roman" w:cs="Times New Roman" w:eastAsia="Times New Roman" w:hAnsi="Times New Roman"/>
          <w:sz w:val="19"/>
          <w:szCs w:val="19"/>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each Issuing Bank and the Administrative Agent (for itself and not on behalf of any Lender) hereby notifies the Borrower and each Guarantor that, pursuant to the requirements of the USA PATRIOT Act, it may be required to obtain, verify and record information that identifies the Borrower and each Guarantor, which information includes the name and address of the Borrower and each Guarantor and other information that will allow such Lender, such Issuing Bank or the Administrative Agent, as applicable, to identify the Borrower and each Guarantor in accordance with the USA PATRIOT Act. The Borrower and each Guarantor shall, promptly following a request by the Administrative Agent, any Issuing Bank or any Lender, provide all documentation and other information that the Administrative Agent, any Issuing Bank or such Lender, as applicable, requests in order to comply with its ongoing obligations under applicable “know your customer” and anti-money laundering rules and regulations, including the USA PATRIOT Act.</w:t>
      </w:r>
    </w:p>
    <w:p>
      <w:pPr>
        <w:spacing w:after="0" w:line="19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9.17</w:t>
      </w:r>
      <w:r>
        <w:rPr>
          <w:sz w:val="20"/>
          <w:szCs w:val="20"/>
          <w:color w:val="auto"/>
        </w:rPr>
        <w:tab/>
      </w:r>
      <w:r>
        <w:rPr>
          <w:rFonts w:ascii="Times New Roman" w:cs="Times New Roman" w:eastAsia="Times New Roman" w:hAnsi="Times New Roman"/>
          <w:sz w:val="19"/>
          <w:szCs w:val="19"/>
          <w:u w:val="single" w:color="auto"/>
          <w:color w:val="auto"/>
        </w:rPr>
        <w:t>Release of Guarantors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2" w:lineRule="auto"/>
        <w:tabs>
          <w:tab w:leader="none" w:pos="128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is hereby irrevocably authorized by each Lender (and each such Lender hereby expressly consents)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the Administrative Agent hereby agrees with the Borrower, to take any action reasonably requested by the Borrower to effect the release of any Guarantor from its Guaranty (i) 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including, in each case and without limitation, any sale, transfer or other disposition of any Guarantor (other than to the Borrower or a Guarantor), or (ii) under the circumstances described in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below (and, upon the consummation of any such transaction in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such Guarantor shall be released from its obligations under its Guaranty);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each case, that such transaction as described in clause (i) is undertaken for a bona fide purpose and not for the purpose of, or primarily in contemplation of, this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Obligations shall have been paid in full (other than contingent indemnification obligations not yet accrued and payable), each of the Guarantees shall be terminated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40" w:name="page141"/>
    <w:bookmarkEnd w:id="140"/>
    <w:p>
      <w:pPr>
        <w:spacing w:after="0" w:line="283" w:lineRule="auto"/>
        <w:rPr>
          <w:sz w:val="20"/>
          <w:szCs w:val="20"/>
          <w:color w:val="auto"/>
        </w:rPr>
      </w:pPr>
      <w:r>
        <w:rPr>
          <w:rFonts w:ascii="Times New Roman" w:cs="Times New Roman" w:eastAsia="Times New Roman" w:hAnsi="Times New Roman"/>
          <w:sz w:val="20"/>
          <w:szCs w:val="20"/>
          <w:color w:val="auto"/>
        </w:rPr>
        <w:t>all obligations with respect to the Loans (other than those expressly stated to survive such termination) of the Administrative Agent and each Loan Party under the Loan Documents shall terminate, all without delivery of any instrument or performance of any act by any Person.</w:t>
      </w:r>
    </w:p>
    <w:p>
      <w:pPr>
        <w:spacing w:after="0" w:line="146" w:lineRule="exact"/>
        <w:rPr>
          <w:sz w:val="20"/>
          <w:szCs w:val="20"/>
          <w:color w:val="auto"/>
        </w:rPr>
      </w:pPr>
    </w:p>
    <w:p>
      <w:pPr>
        <w:jc w:val="both"/>
        <w:ind w:firstLine="656"/>
        <w:spacing w:after="0" w:line="253" w:lineRule="auto"/>
        <w:tabs>
          <w:tab w:leader="none" w:pos="128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Lenders hereby agree, and the Administrative Agent is hereby irrevocably authorized by each Lender (without requirement of notice to or consent of any Lender), to take any action required by the Borrower having the effect of releasing a Guarantor from its Guaranty if (A) all or substantially all of the assets of such Guarantor have been sold or otherwise disposed of (including by way of merger or consolidation) to a Person that is not a Borrower or a Guarantor, in each case in a transaction permitted hereunder, (B) such Guarantor has been liquidated or dissolved or (C) such Guarantor becomes an Immaterial Subsidiary (and the Borrower has provided notice thereof to the Administrative Agent), in each case to the extent not prohibited by any Loan Document.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9.18 </w:t>
      </w:r>
      <w:r>
        <w:rPr>
          <w:rFonts w:ascii="Times New Roman" w:cs="Times New Roman" w:eastAsia="Times New Roman" w:hAnsi="Times New Roman"/>
          <w:sz w:val="20"/>
          <w:szCs w:val="20"/>
          <w:u w:val="single" w:color="auto"/>
          <w:color w:val="auto"/>
        </w:rPr>
        <w:t>Acknowledgement and Consent to Bail-In of EEA Financial Institutions</w:t>
      </w:r>
      <w:r>
        <w:rPr>
          <w:rFonts w:ascii="Times New Roman" w:cs="Times New Roman" w:eastAsia="Times New Roman" w:hAnsi="Times New Roman"/>
          <w:sz w:val="20"/>
          <w:szCs w:val="20"/>
          <w:color w:val="auto"/>
        </w:rPr>
        <w:t>. Solely to the extent any Lender or Issuing Bank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2" w:lineRule="exact"/>
        <w:rPr>
          <w:sz w:val="20"/>
          <w:szCs w:val="20"/>
          <w:color w:val="auto"/>
        </w:rPr>
      </w:pPr>
    </w:p>
    <w:p>
      <w:pPr>
        <w:ind w:firstLine="656"/>
        <w:spacing w:after="0" w:line="283" w:lineRule="auto"/>
        <w:tabs>
          <w:tab w:leader="none" w:pos="128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5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807"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9.19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0"/>
          <w:szCs w:val="20"/>
          <w:b w:val="1"/>
          <w:bCs w:val="1"/>
          <w:color w:val="auto"/>
        </w:rPr>
        <w:t>Judgment Currency</w:t>
      </w:r>
      <w:r>
        <w:rPr>
          <w:rFonts w:ascii="Times New Roman" w:cs="Times New Roman" w:eastAsia="Times New Roman" w:hAnsi="Times New Roman"/>
          <w:sz w:val="20"/>
          <w:szCs w:val="20"/>
          <w:color w:val="auto"/>
        </w:rPr>
        <w:t>”) other than that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52" w:lineRule="auto"/>
        <w:rPr>
          <w:sz w:val="20"/>
          <w:szCs w:val="20"/>
          <w:color w:val="auto"/>
        </w:rPr>
      </w:pPr>
      <w:r>
        <w:rPr>
          <w:rFonts w:ascii="Times New Roman" w:cs="Times New Roman" w:eastAsia="Times New Roman" w:hAnsi="Times New Roman"/>
          <w:sz w:val="20"/>
          <w:szCs w:val="20"/>
          <w:color w:val="auto"/>
        </w:rPr>
        <w:t>such sum is denominated in accordance with the applicable provisions of this Agreement (the “</w:t>
      </w:r>
      <w:r>
        <w:rPr>
          <w:rFonts w:ascii="Times New Roman" w:cs="Times New Roman" w:eastAsia="Times New Roman" w:hAnsi="Times New Roman"/>
          <w:sz w:val="20"/>
          <w:szCs w:val="20"/>
          <w:b w:val="1"/>
          <w:b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09" w:right="339" w:bottom="1440" w:gutter="0" w:footer="0" w:header="0"/>
        </w:sectPr>
      </w:pPr>
    </w:p>
    <w:bookmarkStart w:id="142" w:name="page143"/>
    <w:bookmarkEnd w:id="142"/>
    <w:p>
      <w:pPr>
        <w:spacing w:after="0" w:line="225"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1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MAPLEBEAR INC.</w:t>
      </w:r>
    </w:p>
    <w:p>
      <w:pPr>
        <w:spacing w:after="0" w:line="287" w:lineRule="exact"/>
        <w:rPr>
          <w:sz w:val="20"/>
          <w:szCs w:val="20"/>
          <w:color w:val="auto"/>
        </w:rPr>
      </w:pPr>
    </w:p>
    <w:p>
      <w:pPr>
        <w:ind w:left="6480"/>
        <w:spacing w:after="0"/>
        <w:tabs>
          <w:tab w:leader="none" w:pos="7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Emily Reuter</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Name: Emily 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-160020</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MORGAN STANLEY SENIOR FUNDING, INC.,</w:t>
      </w:r>
    </w:p>
    <w:p>
      <w:pPr>
        <w:ind w:left="64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9" w:lineRule="exact"/>
        <w:rPr>
          <w:sz w:val="20"/>
          <w:szCs w:val="20"/>
          <w:color w:val="auto"/>
        </w:rPr>
      </w:pPr>
    </w:p>
    <w:tbl>
      <w:tblPr>
        <w:tblLayout w:type="fixed"/>
        <w:tblInd w:w="64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Jennifer DeFazio</w:t>
            </w:r>
          </w:p>
        </w:tc>
      </w:tr>
      <w:tr>
        <w:trPr>
          <w:trHeight w:val="250"/>
        </w:trPr>
        <w:tc>
          <w:tcPr>
            <w:tcW w:w="720" w:type="dxa"/>
            <w:vAlign w:val="bottom"/>
          </w:tcPr>
          <w:p>
            <w:pPr>
              <w:spacing w:after="0"/>
              <w:rPr>
                <w:sz w:val="21"/>
                <w:szCs w:val="21"/>
                <w:color w:val="auto"/>
              </w:rPr>
            </w:pPr>
          </w:p>
        </w:tc>
        <w:tc>
          <w:tcPr>
            <w:tcW w:w="40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Jennifer DeFazio</w:t>
            </w:r>
          </w:p>
        </w:tc>
      </w:tr>
      <w:tr>
        <w:trPr>
          <w:trHeight w:val="282"/>
        </w:trPr>
        <w:tc>
          <w:tcPr>
            <w:tcW w:w="7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MORGAN STANLEY BANK, N.A.,</w:t>
      </w:r>
    </w:p>
    <w:p>
      <w:pPr>
        <w:ind w:left="6480"/>
        <w:spacing w:after="0"/>
        <w:rPr>
          <w:sz w:val="20"/>
          <w:szCs w:val="20"/>
          <w:color w:val="auto"/>
        </w:rPr>
      </w:pPr>
      <w:r>
        <w:rPr>
          <w:rFonts w:ascii="Times New Roman" w:cs="Times New Roman" w:eastAsia="Times New Roman" w:hAnsi="Times New Roman"/>
          <w:sz w:val="22"/>
          <w:szCs w:val="22"/>
          <w:color w:val="auto"/>
        </w:rPr>
        <w:t>as a Lender and as an Issuing Bank</w:t>
      </w:r>
    </w:p>
    <w:p>
      <w:pPr>
        <w:spacing w:after="0" w:line="263" w:lineRule="exact"/>
        <w:rPr>
          <w:sz w:val="20"/>
          <w:szCs w:val="20"/>
          <w:color w:val="auto"/>
        </w:rPr>
      </w:pPr>
    </w:p>
    <w:tbl>
      <w:tblPr>
        <w:tblLayout w:type="fixed"/>
        <w:tblInd w:w="64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Michael King</w:t>
            </w:r>
          </w:p>
        </w:tc>
      </w:tr>
      <w:tr>
        <w:trPr>
          <w:trHeight w:val="250"/>
        </w:trPr>
        <w:tc>
          <w:tcPr>
            <w:tcW w:w="720" w:type="dxa"/>
            <w:vAlign w:val="bottom"/>
          </w:tcPr>
          <w:p>
            <w:pPr>
              <w:spacing w:after="0"/>
              <w:rPr>
                <w:sz w:val="21"/>
                <w:szCs w:val="21"/>
                <w:color w:val="auto"/>
              </w:rPr>
            </w:pPr>
          </w:p>
        </w:tc>
        <w:tc>
          <w:tcPr>
            <w:tcW w:w="40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Michael King</w:t>
            </w:r>
          </w:p>
        </w:tc>
      </w:tr>
      <w:tr>
        <w:trPr>
          <w:trHeight w:val="282"/>
        </w:trPr>
        <w:tc>
          <w:tcPr>
            <w:tcW w:w="7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BANK OF AMERICA, N.A.,</w:t>
      </w:r>
    </w:p>
    <w:p>
      <w:pPr>
        <w:ind w:left="6480"/>
        <w:spacing w:after="0"/>
        <w:rPr>
          <w:sz w:val="20"/>
          <w:szCs w:val="20"/>
          <w:color w:val="auto"/>
        </w:rPr>
      </w:pPr>
      <w:r>
        <w:rPr>
          <w:rFonts w:ascii="Times New Roman" w:cs="Times New Roman" w:eastAsia="Times New Roman" w:hAnsi="Times New Roman"/>
          <w:sz w:val="22"/>
          <w:szCs w:val="22"/>
          <w:color w:val="auto"/>
        </w:rPr>
        <w:t>as a Lender and as an Issuing Bank</w:t>
      </w:r>
    </w:p>
    <w:p>
      <w:pPr>
        <w:spacing w:after="0" w:line="263" w:lineRule="exact"/>
        <w:rPr>
          <w:sz w:val="20"/>
          <w:szCs w:val="20"/>
          <w:color w:val="auto"/>
        </w:rPr>
      </w:pPr>
    </w:p>
    <w:tbl>
      <w:tblPr>
        <w:tblLayout w:type="fixed"/>
        <w:tblInd w:w="64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L. Doreen Markowitz</w:t>
            </w:r>
          </w:p>
        </w:tc>
      </w:tr>
      <w:tr>
        <w:trPr>
          <w:trHeight w:val="250"/>
        </w:trPr>
        <w:tc>
          <w:tcPr>
            <w:tcW w:w="720" w:type="dxa"/>
            <w:vAlign w:val="bottom"/>
          </w:tcPr>
          <w:p>
            <w:pPr>
              <w:spacing w:after="0"/>
              <w:rPr>
                <w:sz w:val="21"/>
                <w:szCs w:val="21"/>
                <w:color w:val="auto"/>
              </w:rPr>
            </w:pPr>
          </w:p>
        </w:tc>
        <w:tc>
          <w:tcPr>
            <w:tcW w:w="40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L. Doreen Markowitz</w:t>
            </w:r>
          </w:p>
        </w:tc>
      </w:tr>
      <w:tr>
        <w:trPr>
          <w:trHeight w:val="282"/>
        </w:trPr>
        <w:tc>
          <w:tcPr>
            <w:tcW w:w="7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40" w:right="339" w:bottom="1440" w:gutter="0" w:footer="0" w:header="0"/>
        </w:sectPr>
      </w:pPr>
    </w:p>
    <w:bookmarkStart w:id="143" w:name="page144"/>
    <w:bookmarkEnd w:id="143"/>
    <w:p>
      <w:pPr>
        <w:ind w:left="5360"/>
        <w:spacing w:after="0"/>
        <w:rPr>
          <w:sz w:val="20"/>
          <w:szCs w:val="20"/>
          <w:color w:val="auto"/>
        </w:rPr>
      </w:pPr>
      <w:r>
        <w:rPr>
          <w:rFonts w:ascii="Times New Roman" w:cs="Times New Roman" w:eastAsia="Times New Roman" w:hAnsi="Times New Roman"/>
          <w:sz w:val="22"/>
          <w:szCs w:val="22"/>
          <w:color w:val="auto"/>
        </w:rPr>
        <w:t>CITIBANK, N.A.,</w:t>
      </w:r>
    </w:p>
    <w:p>
      <w:pPr>
        <w:ind w:left="5360"/>
        <w:spacing w:after="0"/>
        <w:rPr>
          <w:sz w:val="20"/>
          <w:szCs w:val="20"/>
          <w:color w:val="auto"/>
        </w:rPr>
      </w:pPr>
      <w:r>
        <w:rPr>
          <w:rFonts w:ascii="Times New Roman" w:cs="Times New Roman" w:eastAsia="Times New Roman" w:hAnsi="Times New Roman"/>
          <w:sz w:val="22"/>
          <w:szCs w:val="22"/>
          <w:color w:val="auto"/>
        </w:rPr>
        <w:t>as a Lender and as an Issuing Bank</w:t>
      </w:r>
    </w:p>
    <w:p>
      <w:pPr>
        <w:spacing w:after="0" w:line="263" w:lineRule="exact"/>
        <w:rPr>
          <w:sz w:val="20"/>
          <w:szCs w:val="20"/>
          <w:color w:val="auto"/>
        </w:rPr>
      </w:pPr>
    </w:p>
    <w:p>
      <w:pPr>
        <w:ind w:left="5360"/>
        <w:spacing w:after="0"/>
        <w:tabs>
          <w:tab w:leader="none" w:pos="6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Kristina Skalskaya</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Name: Kristina Skalskaya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-160020</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GOLDMAN SACHS BANK USA,</w:t>
      </w:r>
    </w:p>
    <w:p>
      <w:pPr>
        <w:ind w:left="5360"/>
        <w:spacing w:after="0"/>
        <w:rPr>
          <w:sz w:val="20"/>
          <w:szCs w:val="20"/>
          <w:color w:val="auto"/>
        </w:rPr>
      </w:pPr>
      <w:r>
        <w:rPr>
          <w:rFonts w:ascii="Times New Roman" w:cs="Times New Roman" w:eastAsia="Times New Roman" w:hAnsi="Times New Roman"/>
          <w:sz w:val="22"/>
          <w:szCs w:val="22"/>
          <w:color w:val="auto"/>
        </w:rPr>
        <w:t>as a Lender and as an Issuing Bank</w:t>
      </w:r>
    </w:p>
    <w:p>
      <w:pPr>
        <w:spacing w:after="0" w:line="263" w:lineRule="exact"/>
        <w:rPr>
          <w:sz w:val="20"/>
          <w:szCs w:val="20"/>
          <w:color w:val="auto"/>
        </w:rPr>
      </w:pPr>
    </w:p>
    <w:p>
      <w:pPr>
        <w:ind w:left="5360"/>
        <w:spacing w:after="0"/>
        <w:tabs>
          <w:tab w:leader="none" w:pos="6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Nicholas Merino</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Name: Nicholas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-160020</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JPMORGAN CHASE BANK, N.A.,</w:t>
      </w:r>
    </w:p>
    <w:p>
      <w:pPr>
        <w:ind w:left="5360"/>
        <w:spacing w:after="0"/>
        <w:rPr>
          <w:sz w:val="20"/>
          <w:szCs w:val="20"/>
          <w:color w:val="auto"/>
        </w:rPr>
      </w:pPr>
      <w:r>
        <w:rPr>
          <w:rFonts w:ascii="Times New Roman" w:cs="Times New Roman" w:eastAsia="Times New Roman" w:hAnsi="Times New Roman"/>
          <w:sz w:val="22"/>
          <w:szCs w:val="22"/>
          <w:color w:val="auto"/>
        </w:rPr>
        <w:t>as a Lender and as an Issuing Bank</w:t>
      </w:r>
    </w:p>
    <w:p>
      <w:pPr>
        <w:spacing w:after="0" w:line="263" w:lineRule="exact"/>
        <w:rPr>
          <w:sz w:val="20"/>
          <w:szCs w:val="20"/>
          <w:color w:val="auto"/>
        </w:rPr>
      </w:pPr>
    </w:p>
    <w:p>
      <w:pPr>
        <w:ind w:left="5360"/>
        <w:spacing w:after="0"/>
        <w:tabs>
          <w:tab w:leader="none" w:pos="6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Timothy Lee</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Name: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-160020</wp:posOffset>
            </wp:positionV>
            <wp:extent cx="2562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9019"/>
          </w:cols>
          <w:pgMar w:left="1440" w:top="1436"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343535</wp:posOffset>
            </wp:positionV>
            <wp:extent cx="278574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857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Instacart Announces First Quarter 2026 Financial Results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GTV grew 13% year-over-year and total revenue grew 14% year-over-year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income of $144 million, up 36% year-over-year; Adjusted EBITDA of $300 million, up 23% year-over-year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 Francisco - May 6, 2026 </w:t>
      </w:r>
      <w:r>
        <w:rPr>
          <w:rFonts w:ascii="Arial" w:cs="Arial" w:eastAsia="Arial" w:hAnsi="Arial"/>
          <w:sz w:val="18"/>
          <w:szCs w:val="18"/>
          <w:color w:val="auto"/>
        </w:rPr>
        <w:t>- Instacart (NASDAQ: CART) today released financial results for its first quarter ended March 31, 2026.</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“Q1 was a milestone quarter — surpassing $ 10 billion in GTV and $1 billion in total revenue for the first time. These results prove that our strategy is working. We’re the leading grocery technology platform, delivering a best-in-class consumer experience, powering retailers across marketplace and enterprise, and operating a scaled ads ecosystem,” said Chris Rogers, CEO. “Each part of our platform is getting stronger</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and they’re compounding together. That foundation positions us to invest in new initiatives like AI Solutions, international expansion, and in-store technologies that will help accelerate our growth over time.“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started the year with strong momentum, delivering a ninth consecutive quarter of double-digit GTV growth and our fastest advertising and other revenue growth since Q3 2023. We also continued to expand profitability year-over-year while generating meaningful free cash flow,” said Emily Reuter, CFO. “Our operating fundamentals are solid and give us the flexibility to reinvest to further accelerate growth, pursue strategic M&amp;A, and opportunistically return capital through share repurchases as we focus on maximizing long-term shareholder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Financial Highlights</w:t>
      </w:r>
    </w:p>
    <w:p>
      <w:pPr>
        <w:spacing w:after="0" w:line="117"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GTV of $10,288 million, up 13% year-over-year.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Orders of 91.2 million, up 10% year-over-year.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Total revenue of $1,019 million, up 14% year-over-year, representing 9.9% of GTV.</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Transaction revenue of $733 million, up 13% year-over-year, representing 7.1% of GTV.</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Advertising and other revenue of $286 million, up 16% year-over-year, representing 2.8% of GTV.</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GAAP gross profit of $738 million, up 10% year-over-year, representing 7.2% of GTV and 72% of total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GAAP net income of $144 million, up 36% year-over-year, representing 1.4% of GTV and 14% of total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Adjusted EBITDA of $300 million, up 23% year-over-year, representing 2.9% of GTV and 29% of total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Delivered operating cash flow of $268 million and free cash flow of $253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Repurchased $349 million in shares and ended the quarter with approximately $880 million in cash and similar assets.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36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31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tcPr>
          <w:p>
            <w:pPr>
              <w:spacing w:after="0"/>
              <w:rPr>
                <w:sz w:val="17"/>
                <w:szCs w:val="17"/>
                <w:color w:val="auto"/>
              </w:rPr>
            </w:pPr>
          </w:p>
        </w:tc>
      </w:tr>
      <w:tr>
        <w:trPr>
          <w:trHeight w:val="197"/>
        </w:trPr>
        <w:tc>
          <w:tcPr>
            <w:tcW w:w="66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600" w:type="dxa"/>
            <w:vAlign w:val="bottom"/>
          </w:tcPr>
          <w:p>
            <w:pPr>
              <w:spacing w:after="0"/>
              <w:rPr>
                <w:sz w:val="20"/>
                <w:szCs w:val="20"/>
                <w:color w:val="auto"/>
              </w:rPr>
            </w:pPr>
          </w:p>
        </w:tc>
        <w:tc>
          <w:tcPr>
            <w:tcW w:w="31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231F20"/>
              </w:rPr>
              <w:t>(in millions, except percentages)</w:t>
            </w:r>
          </w:p>
        </w:tc>
        <w:tc>
          <w:tcPr>
            <w:tcW w:w="1460" w:type="dxa"/>
            <w:vAlign w:val="bottom"/>
          </w:tcPr>
          <w:p>
            <w:pPr>
              <w:spacing w:after="0"/>
              <w:rPr>
                <w:sz w:val="20"/>
                <w:szCs w:val="20"/>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GTV</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9,122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w w:val="97"/>
              </w:rPr>
              <w:t>10,288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98"/>
        </w:trPr>
        <w:tc>
          <w:tcPr>
            <w:tcW w:w="6600" w:type="dxa"/>
            <w:vAlign w:val="bottom"/>
          </w:tcPr>
          <w:p>
            <w:pPr>
              <w:ind w:left="20"/>
              <w:spacing w:after="0"/>
              <w:rPr>
                <w:sz w:val="20"/>
                <w:szCs w:val="20"/>
                <w:color w:val="auto"/>
              </w:rPr>
            </w:pPr>
            <w:r>
              <w:rPr>
                <w:rFonts w:ascii="Arial" w:cs="Arial" w:eastAsia="Arial" w:hAnsi="Arial"/>
                <w:sz w:val="14"/>
                <w:szCs w:val="14"/>
                <w:color w:val="auto"/>
              </w:rPr>
              <w:t>Orders</w:t>
            </w:r>
          </w:p>
        </w:tc>
        <w:tc>
          <w:tcPr>
            <w:tcW w:w="920" w:type="dxa"/>
            <w:vAlign w:val="bottom"/>
          </w:tcPr>
          <w:p>
            <w:pPr>
              <w:spacing w:after="0"/>
              <w:rPr>
                <w:sz w:val="17"/>
                <w:szCs w:val="17"/>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231F20"/>
              </w:rPr>
              <w:t>83.2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231F20"/>
              </w:rPr>
              <w:t>91.2</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0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897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1,019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98"/>
        </w:trPr>
        <w:tc>
          <w:tcPr>
            <w:tcW w:w="6600" w:type="dxa"/>
            <w:vAlign w:val="bottom"/>
          </w:tcPr>
          <w:p>
            <w:pPr>
              <w:ind w:left="20"/>
              <w:spacing w:after="0"/>
              <w:rPr>
                <w:sz w:val="20"/>
                <w:szCs w:val="20"/>
                <w:color w:val="auto"/>
              </w:rPr>
            </w:pPr>
            <w:r>
              <w:rPr>
                <w:rFonts w:ascii="Arial" w:cs="Arial" w:eastAsia="Arial" w:hAnsi="Arial"/>
                <w:sz w:val="14"/>
                <w:szCs w:val="14"/>
                <w:color w:val="auto"/>
              </w:rPr>
              <w:t>GAAP gross profit</w:t>
            </w:r>
          </w:p>
        </w:tc>
        <w:tc>
          <w:tcPr>
            <w:tcW w:w="920" w:type="dxa"/>
            <w:vAlign w:val="bottom"/>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231F20"/>
              </w:rPr>
              <w:t>671</w:t>
            </w:r>
          </w:p>
        </w:tc>
        <w:tc>
          <w:tcPr>
            <w:tcW w:w="14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231F20"/>
              </w:rPr>
              <w:t>738</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0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gross margin</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75 %</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72 %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8"/>
        </w:trPr>
        <w:tc>
          <w:tcPr>
            <w:tcW w:w="6600" w:type="dxa"/>
            <w:vAlign w:val="bottom"/>
          </w:tcPr>
          <w:p>
            <w:pPr>
              <w:ind w:left="140"/>
              <w:spacing w:after="0"/>
              <w:rPr>
                <w:sz w:val="20"/>
                <w:szCs w:val="20"/>
                <w:color w:val="auto"/>
              </w:rPr>
            </w:pPr>
            <w:r>
              <w:rPr>
                <w:rFonts w:ascii="Arial" w:cs="Arial" w:eastAsia="Arial" w:hAnsi="Arial"/>
                <w:sz w:val="14"/>
                <w:szCs w:val="14"/>
                <w:i w:val="1"/>
                <w:iCs w:val="1"/>
                <w:color w:val="auto"/>
              </w:rPr>
              <w:t>GAAP gross profit as a percent of GTV</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231F20"/>
              </w:rPr>
              <w:t>7.4 %</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i w:val="1"/>
                <w:iCs w:val="1"/>
                <w:color w:val="231F20"/>
              </w:rPr>
              <w:t>7.2 %</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106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144</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r>
      <w:tr>
        <w:trPr>
          <w:trHeight w:val="198"/>
        </w:trPr>
        <w:tc>
          <w:tcPr>
            <w:tcW w:w="6600" w:type="dxa"/>
            <w:vAlign w:val="bottom"/>
          </w:tcPr>
          <w:p>
            <w:pPr>
              <w:ind w:left="140"/>
              <w:spacing w:after="0"/>
              <w:rPr>
                <w:sz w:val="20"/>
                <w:szCs w:val="20"/>
                <w:color w:val="auto"/>
              </w:rPr>
            </w:pPr>
            <w:r>
              <w:rPr>
                <w:rFonts w:ascii="Arial" w:cs="Arial" w:eastAsia="Arial" w:hAnsi="Arial"/>
                <w:sz w:val="14"/>
                <w:szCs w:val="14"/>
                <w:i w:val="1"/>
                <w:iCs w:val="1"/>
                <w:color w:val="auto"/>
              </w:rPr>
              <w:t>GAAP net income as a percent of total revenue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231F20"/>
              </w:rPr>
              <w:t>12 %</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i w:val="1"/>
                <w:iCs w:val="1"/>
                <w:color w:val="231F20"/>
              </w:rPr>
              <w:t>14 %</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6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GAAP net income as a percent of GTV</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231F20"/>
              </w:rPr>
              <w:t>1.2 %</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231F20"/>
              </w:rPr>
              <w:t>1.4 %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tc>
        <w:tc>
          <w:tcPr>
            <w:tcW w:w="920" w:type="dxa"/>
            <w:vAlign w:val="bottom"/>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231F20"/>
              </w:rPr>
              <w:t>244</w:t>
            </w:r>
          </w:p>
        </w:tc>
        <w:tc>
          <w:tcPr>
            <w:tcW w:w="14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231F20"/>
              </w:rPr>
              <w:t>300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23 %</w:t>
            </w:r>
          </w:p>
        </w:tc>
      </w:tr>
      <w:tr>
        <w:trPr>
          <w:trHeight w:val="203"/>
        </w:trPr>
        <w:tc>
          <w:tcPr>
            <w:tcW w:w="660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i w:val="1"/>
                <w:iCs w:val="1"/>
                <w:color w:val="auto"/>
              </w:rPr>
              <w:t xml:space="preserve">Adjusted EBITDA margin </w:t>
            </w:r>
            <w:r>
              <w:rPr>
                <w:rFonts w:ascii="Arial" w:cs="Arial" w:eastAsia="Arial" w:hAnsi="Arial"/>
                <w:sz w:val="18"/>
                <w:szCs w:val="18"/>
                <w:i w:val="1"/>
                <w:iCs w:val="1"/>
                <w:color w:val="auto"/>
                <w:vertAlign w:val="superscript"/>
              </w:rPr>
              <w:t>(1)</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231F20"/>
              </w:rPr>
              <w:t>27 %</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231F20"/>
              </w:rPr>
              <w:t>29 %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4"/>
                <w:szCs w:val="14"/>
                <w:i w:val="1"/>
                <w:iCs w:val="1"/>
                <w:color w:val="auto"/>
              </w:rPr>
              <w:t xml:space="preserve">Adjusted EBITDA as a percent of GTV </w:t>
            </w:r>
            <w:r>
              <w:rPr>
                <w:rFonts w:ascii="Arial" w:cs="Arial" w:eastAsia="Arial" w:hAnsi="Arial"/>
                <w:sz w:val="18"/>
                <w:szCs w:val="18"/>
                <w:i w:val="1"/>
                <w:iCs w:val="1"/>
                <w:color w:val="auto"/>
                <w:vertAlign w:val="superscript"/>
              </w:rPr>
              <w:t>(1)</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231F20"/>
              </w:rPr>
              <w:t>2.7 %</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i w:val="1"/>
                <w:iCs w:val="1"/>
                <w:color w:val="231F20"/>
              </w:rPr>
              <w:t>2.9 %</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298</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rPr>
              <w:t>268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52"/>
        </w:trPr>
        <w:tc>
          <w:tcPr>
            <w:tcW w:w="6600" w:type="dxa"/>
            <w:vAlign w:val="bottom"/>
          </w:tcPr>
          <w:p>
            <w:pPr>
              <w:ind w:left="20"/>
              <w:spacing w:after="0"/>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(1)</w:t>
            </w:r>
          </w:p>
        </w:tc>
        <w:tc>
          <w:tcPr>
            <w:tcW w:w="920" w:type="dxa"/>
            <w:vAlign w:val="bottom"/>
          </w:tcPr>
          <w:p>
            <w:pPr>
              <w:jc w:val="right"/>
              <w:ind w:right="748"/>
              <w:spacing w:after="0"/>
              <w:rPr>
                <w:sz w:val="20"/>
                <w:szCs w:val="20"/>
                <w:color w:val="auto"/>
              </w:rPr>
            </w:pPr>
            <w:r>
              <w:rPr>
                <w:rFonts w:ascii="Arial" w:cs="Arial" w:eastAsia="Arial" w:hAnsi="Arial"/>
                <w:sz w:val="14"/>
                <w:szCs w:val="14"/>
                <w:color w:val="231F20"/>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231F20"/>
              </w:rPr>
              <w:t>280</w:t>
            </w:r>
          </w:p>
        </w:tc>
        <w:tc>
          <w:tcPr>
            <w:tcW w:w="140" w:type="dxa"/>
            <w:vAlign w:val="bottom"/>
          </w:tcPr>
          <w:p>
            <w:pPr>
              <w:spacing w:after="0"/>
              <w:rPr>
                <w:sz w:val="21"/>
                <w:szCs w:val="21"/>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231F20"/>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231F20"/>
              </w:rPr>
              <w:t>253</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w:t>
      </w:r>
    </w:p>
    <w:p>
      <w:pPr>
        <w:spacing w:after="0" w:line="181" w:lineRule="exact"/>
        <w:rPr>
          <w:sz w:val="20"/>
          <w:szCs w:val="20"/>
          <w:color w:val="auto"/>
        </w:rPr>
      </w:pPr>
    </w:p>
    <w:p>
      <w:pPr>
        <w:jc w:val="both"/>
        <w:ind w:left="80" w:firstLine="9"/>
        <w:spacing w:after="0" w:line="239" w:lineRule="auto"/>
        <w:tabs>
          <w:tab w:leader="none" w:pos="240" w:val="left"/>
        </w:tabs>
        <w:numPr>
          <w:ilvl w:val="0"/>
          <w:numId w:val="158"/>
        </w:numPr>
        <w:rPr>
          <w:rFonts w:ascii="Arial" w:cs="Arial" w:eastAsia="Arial" w:hAnsi="Arial"/>
          <w:sz w:val="18"/>
          <w:szCs w:val="18"/>
          <w:color w:val="auto"/>
          <w:vertAlign w:val="superscript"/>
        </w:rPr>
      </w:pPr>
      <w:r>
        <w:rPr>
          <w:rFonts w:ascii="Arial" w:cs="Arial" w:eastAsia="Arial" w:hAnsi="Arial"/>
          <w:sz w:val="14"/>
          <w:szCs w:val="14"/>
          <w:color w:val="auto"/>
        </w:rPr>
        <w:t>Adjusted EBITDA, Adjusted EBITDA margin, Adjusted EBITDA as a percent of GTV, and free cash flow are non-GAAP financial measures. For more information regarding our use of these measures and reconciliations to the most directly comparable financial measures calculated in accordance with GAAP, see the section titled “Non-GAAP Financial Measures” and the reconciliations presented at the end of this press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17" w:lineRule="exact"/>
        <w:rPr>
          <w:sz w:val="20"/>
          <w:szCs w:val="20"/>
          <w:color w:val="auto"/>
        </w:rPr>
      </w:pPr>
    </w:p>
    <w:p>
      <w:pPr>
        <w:ind w:left="660" w:right="20" w:hanging="328"/>
        <w:spacing w:after="0" w:line="28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continuously improving what matters most to consumers: selection, quality, affordability, and convenience — we surpassed $10 billion in GTV and over $1 billion in total revenue in Q1.</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 Q1, Hy-Vee and Raley’s moved to </w:t>
      </w:r>
      <w:r>
        <w:rPr>
          <w:rFonts w:ascii="Arial" w:cs="Arial" w:eastAsia="Arial" w:hAnsi="Arial"/>
          <w:sz w:val="18"/>
          <w:szCs w:val="18"/>
          <w:b w:val="1"/>
          <w:bCs w:val="1"/>
          <w:color w:val="auto"/>
        </w:rPr>
        <w:t>price parity</w:t>
      </w:r>
      <w:r>
        <w:rPr>
          <w:rFonts w:ascii="Arial" w:cs="Arial" w:eastAsia="Arial" w:hAnsi="Arial"/>
          <w:sz w:val="18"/>
          <w:szCs w:val="18"/>
          <w:color w:val="auto"/>
        </w:rPr>
        <w:t xml:space="preserve"> on our marketplace. Since then, Fareway launched on marketplace and Storefront Pro at parity, while several local independent grocers also moved to price parity.</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Deepened our partnership with </w:t>
      </w:r>
      <w:r>
        <w:rPr>
          <w:rFonts w:ascii="Arial" w:cs="Arial" w:eastAsia="Arial" w:hAnsi="Arial"/>
          <w:sz w:val="18"/>
          <w:szCs w:val="18"/>
          <w:b w:val="1"/>
          <w:bCs w:val="1"/>
          <w:color w:val="auto"/>
        </w:rPr>
        <w:t>ALDI U.S.</w:t>
      </w:r>
      <w:r>
        <w:rPr>
          <w:rFonts w:ascii="Arial" w:cs="Arial" w:eastAsia="Arial" w:hAnsi="Arial"/>
          <w:sz w:val="18"/>
          <w:szCs w:val="18"/>
          <w:color w:val="auto"/>
        </w:rPr>
        <w:t xml:space="preserve"> by launching a redesigned website and app powered by Storefront Pro, making Instacart the exclusive fulfillment partner across ALDI’s website and mobile app nationwide.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Acquired </w:t>
      </w:r>
      <w:r>
        <w:rPr>
          <w:rFonts w:ascii="Arial" w:cs="Arial" w:eastAsia="Arial" w:hAnsi="Arial"/>
          <w:sz w:val="18"/>
          <w:szCs w:val="18"/>
          <w:b w:val="1"/>
          <w:bCs w:val="1"/>
          <w:color w:val="auto"/>
        </w:rPr>
        <w:t>Instaleap</w:t>
      </w:r>
      <w:r>
        <w:rPr>
          <w:rFonts w:ascii="Arial" w:cs="Arial" w:eastAsia="Arial" w:hAnsi="Arial"/>
          <w:sz w:val="18"/>
          <w:szCs w:val="18"/>
          <w:color w:val="auto"/>
        </w:rPr>
        <w:t>, a global enablement and fulfillment solutions platform with deep retailer relationships in nearly 30 countries, to accelerate international expansion of the Instacart Enterprise platform.</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We are building momentum with our new suite of </w:t>
      </w:r>
      <w:r>
        <w:rPr>
          <w:rFonts w:ascii="Arial" w:cs="Arial" w:eastAsia="Arial" w:hAnsi="Arial"/>
          <w:sz w:val="18"/>
          <w:szCs w:val="18"/>
          <w:b w:val="1"/>
          <w:bCs w:val="1"/>
          <w:color w:val="auto"/>
        </w:rPr>
        <w:t>AI Solutions</w:t>
      </w:r>
      <w:r>
        <w:rPr>
          <w:rFonts w:ascii="Arial" w:cs="Arial" w:eastAsia="Arial" w:hAnsi="Arial"/>
          <w:sz w:val="18"/>
          <w:szCs w:val="18"/>
          <w:color w:val="auto"/>
        </w:rPr>
        <w:t xml:space="preserve"> — especially </w:t>
      </w:r>
      <w:r>
        <w:rPr>
          <w:rFonts w:ascii="Arial" w:cs="Arial" w:eastAsia="Arial" w:hAnsi="Arial"/>
          <w:sz w:val="18"/>
          <w:szCs w:val="18"/>
          <w:b w:val="1"/>
          <w:bCs w:val="1"/>
          <w:color w:val="auto"/>
        </w:rPr>
        <w:t>Cart Assistant</w:t>
      </w:r>
      <w:r>
        <w:rPr>
          <w:rFonts w:ascii="Arial" w:cs="Arial" w:eastAsia="Arial" w:hAnsi="Arial"/>
          <w:sz w:val="18"/>
          <w:szCs w:val="18"/>
          <w:color w:val="auto"/>
        </w:rPr>
        <w:t>, our conversational shopping experience, with early partners like Kroger and Sprouts, and recent additions including Food Bazaar, Heritage Grocers, Restaurant Depot, The Save Mart Companies, and Woodman’s.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Launched a new integration with Anthropic’s </w:t>
      </w:r>
      <w:r>
        <w:rPr>
          <w:rFonts w:ascii="Arial" w:cs="Arial" w:eastAsia="Arial" w:hAnsi="Arial"/>
          <w:sz w:val="18"/>
          <w:szCs w:val="18"/>
          <w:b w:val="1"/>
          <w:bCs w:val="1"/>
          <w:color w:val="auto"/>
        </w:rPr>
        <w:t>Claude</w:t>
      </w:r>
      <w:r>
        <w:rPr>
          <w:rFonts w:ascii="Arial" w:cs="Arial" w:eastAsia="Arial" w:hAnsi="Arial"/>
          <w:sz w:val="18"/>
          <w:szCs w:val="18"/>
          <w:color w:val="auto"/>
        </w:rPr>
        <w:t>, expanding Instacart’s AI ecosystem and enabling users to build grocery carts with real-time, personalized results directly within an AI-powered assistant.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Continued to expand and diversify both sides of Instacart’s advertising ecosystem:</w:t>
      </w:r>
    </w:p>
    <w:p>
      <w:pPr>
        <w:spacing w:after="0" w:line="114" w:lineRule="exact"/>
        <w:rPr>
          <w:rFonts w:ascii="Arial" w:cs="Arial" w:eastAsia="Arial" w:hAnsi="Arial"/>
          <w:sz w:val="18"/>
          <w:szCs w:val="18"/>
          <w:color w:val="auto"/>
        </w:rPr>
      </w:pPr>
    </w:p>
    <w:p>
      <w:pPr>
        <w:ind w:left="1300" w:right="20" w:hanging="320"/>
        <w:spacing w:after="0" w:line="236" w:lineRule="auto"/>
        <w:tabs>
          <w:tab w:leader="none" w:pos="129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Supply is driven by our healthy, growing marketplace and network of over 310 Carrot Ads partners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which we’re expanding with </w:t>
      </w:r>
      <w:r>
        <w:rPr>
          <w:rFonts w:ascii="Arial" w:cs="Arial" w:eastAsia="Arial" w:hAnsi="Arial"/>
          <w:sz w:val="18"/>
          <w:szCs w:val="18"/>
          <w:b w:val="1"/>
          <w:bCs w:val="1"/>
          <w:color w:val="auto"/>
        </w:rPr>
        <w:t>new partners</w:t>
      </w:r>
      <w:r>
        <w:rPr>
          <w:rFonts w:ascii="Arial" w:cs="Arial" w:eastAsia="Arial" w:hAnsi="Arial"/>
          <w:sz w:val="18"/>
          <w:szCs w:val="18"/>
          <w:color w:val="auto"/>
        </w:rPr>
        <w:t xml:space="preserve"> like ALDI, Dierbergs, Fareway, and Jerry’s Foods.</w:t>
      </w:r>
    </w:p>
    <w:p>
      <w:pPr>
        <w:spacing w:after="0" w:line="76" w:lineRule="exact"/>
        <w:rPr>
          <w:rFonts w:ascii="Arial" w:cs="Arial" w:eastAsia="Arial" w:hAnsi="Arial"/>
          <w:sz w:val="18"/>
          <w:szCs w:val="18"/>
          <w:color w:val="auto"/>
        </w:rPr>
      </w:pPr>
    </w:p>
    <w:p>
      <w:pPr>
        <w:jc w:val="both"/>
        <w:ind w:left="1300" w:hanging="320"/>
        <w:spacing w:after="0" w:line="238" w:lineRule="auto"/>
        <w:tabs>
          <w:tab w:leader="none" w:pos="129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Demand is strong across the over 9,000 brand partners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on our platform. New brands are now able to launch campaigns in minutes using automated tools, and our AI-powered recommendations in our self-service platform, Ads Manager, continue to gain traction.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43" w:right="339" w:bottom="1440" w:gutter="0" w:footer="0" w:header="0"/>
        </w:sectPr>
      </w:pPr>
    </w:p>
    <w:bookmarkStart w:id="146" w:name="page147"/>
    <w:bookmarkEnd w:id="146"/>
    <w:p>
      <w:pPr>
        <w:ind w:left="680" w:hanging="328"/>
        <w:spacing w:after="0" w:line="296" w:lineRule="auto"/>
        <w:tabs>
          <w:tab w:leader="none" w:pos="67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Released new measurement case studies with </w:t>
      </w:r>
      <w:r>
        <w:rPr>
          <w:rFonts w:ascii="Arial" w:cs="Arial" w:eastAsia="Arial" w:hAnsi="Arial"/>
          <w:sz w:val="18"/>
          <w:szCs w:val="18"/>
          <w:b w:val="1"/>
          <w:bCs w:val="1"/>
          <w:color w:val="auto"/>
        </w:rPr>
        <w:t>Avaline</w:t>
      </w:r>
      <w:r>
        <w:rPr>
          <w:rFonts w:ascii="Arial" w:cs="Arial" w:eastAsia="Arial" w:hAnsi="Arial"/>
          <w:sz w:val="18"/>
          <w:szCs w:val="18"/>
          <w:color w:val="auto"/>
        </w:rPr>
        <w:t xml:space="preserve">, </w:t>
      </w:r>
      <w:r>
        <w:rPr>
          <w:rFonts w:ascii="Arial" w:cs="Arial" w:eastAsia="Arial" w:hAnsi="Arial"/>
          <w:sz w:val="18"/>
          <w:szCs w:val="18"/>
          <w:b w:val="1"/>
          <w:bCs w:val="1"/>
          <w:color w:val="auto"/>
        </w:rPr>
        <w:t>Bachan’s®</w:t>
      </w:r>
      <w:r>
        <w:rPr>
          <w:rFonts w:ascii="Arial" w:cs="Arial" w:eastAsia="Arial" w:hAnsi="Arial"/>
          <w:sz w:val="18"/>
          <w:szCs w:val="18"/>
          <w:color w:val="auto"/>
        </w:rPr>
        <w:t xml:space="preserve">, </w:t>
      </w:r>
      <w:r>
        <w:rPr>
          <w:rFonts w:ascii="Arial" w:cs="Arial" w:eastAsia="Arial" w:hAnsi="Arial"/>
          <w:sz w:val="18"/>
          <w:szCs w:val="18"/>
          <w:b w:val="1"/>
          <w:bCs w:val="1"/>
          <w:color w:val="auto"/>
        </w:rPr>
        <w:t>Deep Brands’ Deep Indian Kitchen</w:t>
      </w:r>
      <w:r>
        <w:rPr>
          <w:rFonts w:ascii="Arial" w:cs="Arial" w:eastAsia="Arial" w:hAnsi="Arial"/>
          <w:sz w:val="18"/>
          <w:szCs w:val="18"/>
          <w:color w:val="auto"/>
        </w:rPr>
        <w:t xml:space="preserve">, </w:t>
      </w:r>
      <w:r>
        <w:rPr>
          <w:rFonts w:ascii="Arial" w:cs="Arial" w:eastAsia="Arial" w:hAnsi="Arial"/>
          <w:sz w:val="18"/>
          <w:szCs w:val="18"/>
          <w:b w:val="1"/>
          <w:bCs w:val="1"/>
          <w:color w:val="auto"/>
        </w:rPr>
        <w:t>Good Peeps</w:t>
      </w:r>
      <w:r>
        <w:rPr>
          <w:rFonts w:ascii="Arial" w:cs="Arial" w:eastAsia="Arial" w:hAnsi="Arial"/>
          <w:sz w:val="18"/>
          <w:szCs w:val="18"/>
          <w:color w:val="auto"/>
        </w:rPr>
        <w:t xml:space="preserve">, and </w:t>
      </w:r>
      <w:r>
        <w:rPr>
          <w:rFonts w:ascii="Arial" w:cs="Arial" w:eastAsia="Arial" w:hAnsi="Arial"/>
          <w:sz w:val="18"/>
          <w:szCs w:val="18"/>
          <w:b w:val="1"/>
          <w:bCs w:val="1"/>
          <w:color w:val="auto"/>
        </w:rPr>
        <w:t>Saffron Road</w:t>
      </w:r>
      <w:r>
        <w:rPr>
          <w:rFonts w:ascii="Arial" w:cs="Arial" w:eastAsia="Arial" w:hAnsi="Arial"/>
          <w:sz w:val="18"/>
          <w:szCs w:val="18"/>
          <w:color w:val="auto"/>
        </w:rPr>
        <w:t>, demonstrating the impact of Instacart Ads on driving consumer demand.</w:t>
      </w:r>
    </w:p>
    <w:p>
      <w:pPr>
        <w:spacing w:after="0" w:line="29" w:lineRule="exact"/>
        <w:rPr>
          <w:rFonts w:ascii="Arial" w:cs="Arial" w:eastAsia="Arial" w:hAnsi="Arial"/>
          <w:sz w:val="18"/>
          <w:szCs w:val="18"/>
          <w:color w:val="auto"/>
        </w:rPr>
      </w:pPr>
    </w:p>
    <w:p>
      <w:pPr>
        <w:ind w:left="680" w:hanging="328"/>
        <w:spacing w:after="0" w:line="287" w:lineRule="auto"/>
        <w:tabs>
          <w:tab w:leader="none" w:pos="67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Expanded </w:t>
      </w:r>
      <w:r>
        <w:rPr>
          <w:rFonts w:ascii="Arial" w:cs="Arial" w:eastAsia="Arial" w:hAnsi="Arial"/>
          <w:sz w:val="18"/>
          <w:szCs w:val="18"/>
          <w:b w:val="1"/>
          <w:bCs w:val="1"/>
          <w:color w:val="auto"/>
        </w:rPr>
        <w:t>fuel savings for shoppers</w:t>
      </w:r>
      <w:r>
        <w:rPr>
          <w:rFonts w:ascii="Arial" w:cs="Arial" w:eastAsia="Arial" w:hAnsi="Arial"/>
          <w:sz w:val="18"/>
          <w:szCs w:val="18"/>
          <w:color w:val="auto"/>
        </w:rPr>
        <w:t>, increasing per-gallon cash back through our Upside partnership and introducing a new weekly fuel stipend for high-mileage shoppers.</w:t>
      </w:r>
    </w:p>
    <w:p>
      <w:pPr>
        <w:spacing w:after="0" w:line="44" w:lineRule="exact"/>
        <w:rPr>
          <w:rFonts w:ascii="Arial" w:cs="Arial" w:eastAsia="Arial" w:hAnsi="Arial"/>
          <w:sz w:val="18"/>
          <w:szCs w:val="18"/>
          <w:color w:val="auto"/>
        </w:rPr>
      </w:pPr>
    </w:p>
    <w:p>
      <w:pPr>
        <w:ind w:left="680" w:hanging="328"/>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Announced $20K in annual scholarships for shoppers through </w:t>
      </w:r>
      <w:r>
        <w:rPr>
          <w:rFonts w:ascii="Arial" w:cs="Arial" w:eastAsia="Arial" w:hAnsi="Arial"/>
          <w:sz w:val="18"/>
          <w:szCs w:val="18"/>
          <w:b w:val="1"/>
          <w:bCs w:val="1"/>
          <w:color w:val="auto"/>
        </w:rPr>
        <w:t>Merit America</w:t>
      </w:r>
      <w:r>
        <w:rPr>
          <w:rFonts w:ascii="Arial" w:cs="Arial" w:eastAsia="Arial" w:hAnsi="Arial"/>
          <w:sz w:val="18"/>
          <w:szCs w:val="18"/>
          <w:color w:val="auto"/>
        </w:rPr>
        <w:t>, a career upskilling program.</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w:t>
      </w:r>
    </w:p>
    <w:p>
      <w:pPr>
        <w:spacing w:after="0" w:line="146" w:lineRule="exact"/>
        <w:rPr>
          <w:sz w:val="20"/>
          <w:szCs w:val="20"/>
          <w:color w:val="auto"/>
        </w:rPr>
      </w:pPr>
    </w:p>
    <w:p>
      <w:pPr>
        <w:ind w:left="260" w:hanging="151"/>
        <w:spacing w:after="0"/>
        <w:tabs>
          <w:tab w:leader="none" w:pos="260" w:val="left"/>
        </w:tabs>
        <w:numPr>
          <w:ilvl w:val="0"/>
          <w:numId w:val="161"/>
        </w:numPr>
        <w:rPr>
          <w:rFonts w:ascii="Arial" w:cs="Arial" w:eastAsia="Arial" w:hAnsi="Arial"/>
          <w:sz w:val="18"/>
          <w:szCs w:val="18"/>
          <w:color w:val="auto"/>
          <w:vertAlign w:val="superscript"/>
        </w:rPr>
      </w:pPr>
      <w:r>
        <w:rPr>
          <w:rFonts w:ascii="Arial" w:cs="Arial" w:eastAsia="Arial" w:hAnsi="Arial"/>
          <w:sz w:val="14"/>
          <w:szCs w:val="14"/>
          <w:color w:val="auto"/>
        </w:rPr>
        <w:t>As of Q4’25.</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Second Quarter 2026 Financial Outlook</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20" w:type="dxa"/>
            <w:vAlign w:val="bottom"/>
          </w:tcPr>
          <w:p>
            <w:pPr>
              <w:ind w:left="20"/>
              <w:spacing w:after="0"/>
              <w:rPr>
                <w:sz w:val="20"/>
                <w:szCs w:val="20"/>
                <w:color w:val="auto"/>
              </w:rPr>
            </w:pPr>
            <w:r>
              <w:rPr>
                <w:rFonts w:ascii="Arial" w:cs="Arial" w:eastAsia="Arial" w:hAnsi="Arial"/>
                <w:sz w:val="18"/>
                <w:szCs w:val="18"/>
                <w:color w:val="auto"/>
              </w:rPr>
              <w:t>GTV</w:t>
            </w:r>
          </w:p>
        </w:tc>
        <w:tc>
          <w:tcPr>
            <w:tcW w:w="1100" w:type="dxa"/>
            <w:vAlign w:val="bottom"/>
          </w:tcPr>
          <w:p>
            <w:pPr>
              <w:jc w:val="right"/>
              <w:spacing w:after="0"/>
              <w:rPr>
                <w:sz w:val="20"/>
                <w:szCs w:val="20"/>
                <w:color w:val="auto"/>
              </w:rPr>
            </w:pPr>
            <w:r>
              <w:rPr>
                <w:rFonts w:ascii="Arial" w:cs="Arial" w:eastAsia="Arial" w:hAnsi="Arial"/>
                <w:sz w:val="18"/>
                <w:szCs w:val="18"/>
                <w:color w:val="auto"/>
              </w:rPr>
              <w:t>$10,100</w:t>
            </w:r>
          </w:p>
        </w:tc>
        <w:tc>
          <w:tcPr>
            <w:tcW w:w="1340" w:type="dxa"/>
            <w:vAlign w:val="bottom"/>
          </w:tcPr>
          <w:p>
            <w:pPr>
              <w:ind w:left="20"/>
              <w:spacing w:after="0"/>
              <w:rPr>
                <w:sz w:val="20"/>
                <w:szCs w:val="20"/>
                <w:color w:val="auto"/>
              </w:rPr>
            </w:pPr>
            <w:r>
              <w:rPr>
                <w:rFonts w:ascii="Arial" w:cs="Arial" w:eastAsia="Arial" w:hAnsi="Arial"/>
                <w:sz w:val="18"/>
                <w:szCs w:val="18"/>
                <w:color w:val="auto"/>
                <w:w w:val="98"/>
              </w:rPr>
              <w:t>- $10,250 million</w:t>
            </w:r>
          </w:p>
        </w:tc>
      </w:tr>
      <w:tr>
        <w:trPr>
          <w:trHeight w:val="257"/>
        </w:trPr>
        <w:tc>
          <w:tcPr>
            <w:tcW w:w="1820" w:type="dxa"/>
            <w:vAlign w:val="bottom"/>
          </w:tcPr>
          <w:p>
            <w:pPr>
              <w:spacing w:after="0"/>
              <w:rPr>
                <w:sz w:val="20"/>
                <w:szCs w:val="20"/>
                <w:color w:val="auto"/>
              </w:rPr>
            </w:pPr>
            <w:r>
              <w:rPr>
                <w:rFonts w:ascii="Arial" w:cs="Arial" w:eastAsia="Arial" w:hAnsi="Arial"/>
                <w:sz w:val="18"/>
                <w:szCs w:val="18"/>
                <w:color w:val="auto"/>
              </w:rPr>
              <w:t>Adjusted EBITDA</w:t>
            </w: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1340" w:type="dxa"/>
            <w:vAlign w:val="bottom"/>
          </w:tcPr>
          <w:p>
            <w:pPr>
              <w:ind w:left="20"/>
              <w:spacing w:after="0"/>
              <w:rPr>
                <w:sz w:val="20"/>
                <w:szCs w:val="20"/>
                <w:color w:val="auto"/>
              </w:rPr>
            </w:pPr>
            <w:r>
              <w:rPr>
                <w:rFonts w:ascii="Arial" w:cs="Arial" w:eastAsia="Arial" w:hAnsi="Arial"/>
                <w:sz w:val="18"/>
                <w:szCs w:val="18"/>
                <w:color w:val="auto"/>
              </w:rPr>
              <w:t>- $300 million</w:t>
            </w:r>
          </w:p>
        </w:tc>
      </w:tr>
    </w:tbl>
    <w:p>
      <w:pPr>
        <w:spacing w:after="0" w:line="315" w:lineRule="exact"/>
        <w:rPr>
          <w:sz w:val="20"/>
          <w:szCs w:val="20"/>
          <w:color w:val="auto"/>
        </w:rPr>
      </w:pPr>
    </w:p>
    <w:p>
      <w:pPr>
        <w:jc w:val="both"/>
        <w:ind w:left="20"/>
        <w:spacing w:after="0" w:line="287" w:lineRule="auto"/>
        <w:rPr>
          <w:sz w:val="20"/>
          <w:szCs w:val="20"/>
          <w:color w:val="auto"/>
        </w:rPr>
      </w:pPr>
      <w:r>
        <w:rPr>
          <w:rFonts w:ascii="Arial" w:cs="Arial" w:eastAsia="Arial" w:hAnsi="Arial"/>
          <w:sz w:val="18"/>
          <w:szCs w:val="18"/>
          <w:color w:val="auto"/>
        </w:rPr>
        <w:t>This GTV outlook represents year-over-year growth between 11% to 13% with GTV expected to continue to outpace orders growth. Our Adjusted EBITDA outlook represents year-over-year growth between 11% to 15%.</w:t>
      </w:r>
    </w:p>
    <w:p>
      <w:pPr>
        <w:spacing w:after="0" w:line="180" w:lineRule="exact"/>
        <w:rPr>
          <w:sz w:val="20"/>
          <w:szCs w:val="20"/>
          <w:color w:val="auto"/>
        </w:rPr>
      </w:pPr>
    </w:p>
    <w:p>
      <w:pPr>
        <w:jc w:val="both"/>
        <w:ind w:left="20"/>
        <w:spacing w:after="0" w:line="261" w:lineRule="auto"/>
        <w:rPr>
          <w:sz w:val="20"/>
          <w:szCs w:val="20"/>
          <w:color w:val="auto"/>
        </w:rPr>
      </w:pPr>
      <w:r>
        <w:rPr>
          <w:rFonts w:ascii="Arial" w:cs="Arial" w:eastAsia="Arial" w:hAnsi="Arial"/>
          <w:sz w:val="18"/>
          <w:szCs w:val="18"/>
          <w:color w:val="auto"/>
        </w:rPr>
        <w:t>For fiscal 2026, we remain committed to steady annual Adjusted EBITDA year-over-year growth at a rate that outpaces GTV growth. Similar to prior years, we expect this rate of expansion to moderate year-over-year as we reinvest to accelerate across our multiple growth engines and lap some of the more significant operating expense efficiencies realized in 2024 and 2025.</w:t>
      </w:r>
    </w:p>
    <w:p>
      <w:pPr>
        <w:spacing w:after="0" w:line="18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have not provided the forward-looking GAAP equivalent to our Adjusted EBITDA or a GAAP reconciliation as a result of the uncertainty regarding, and the potential variability of, reconciling items such as stock-based compensation and related payroll tax expenses, certain legal and regulatory accruals and settlements, and reserves for sales and other indirect taxes. Accordingly, a reconciliation of this non-GAAP guidance metric to its corresponding GAAP equivalent is not available without unreasonable effort. However, it is important to note that these reconciling items could have a significant effect on future GAAP results.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Instacart management will host a conference call to discuss the company’s results at 5:30 a.m. Pacific Time (8:30 a.m. Eastern Time) today.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An audio webcast of the conference call will be available on the company’s Investor Relations website at </w:t>
      </w:r>
      <w:r>
        <w:rPr>
          <w:rFonts w:ascii="Arial" w:cs="Arial" w:eastAsia="Arial" w:hAnsi="Arial"/>
          <w:sz w:val="18"/>
          <w:szCs w:val="18"/>
          <w:color w:val="3051F2"/>
        </w:rPr>
        <w:t>https://investors.instacart.com/</w:t>
      </w:r>
      <w:r>
        <w:rPr>
          <w:rFonts w:ascii="Arial" w:cs="Arial" w:eastAsia="Arial" w:hAnsi="Arial"/>
          <w:sz w:val="18"/>
          <w:szCs w:val="18"/>
          <w:color w:val="auto"/>
        </w:rPr>
        <w:t>.</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About Instacart</w:t>
      </w:r>
    </w:p>
    <w:p>
      <w:pPr>
        <w:spacing w:after="0" w:line="252"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 xml:space="preserve">Instacart is a leading grocery technology company that partners with more than 2,200 retail banners – representing nearly 100,000 stores – to transform how people shop for the groceries they need from the retailers they trust, while creating flexible earning opportunities for shoppers. Through the Instacart Marketplace, Instacart Enterprise platform, and Instacart Ads ecosystem, the company powers ecommerce, fulfillment, in-store technology, AI offerings, and advertising for partners. For more information, visit </w:t>
      </w:r>
      <w:r>
        <w:rPr>
          <w:rFonts w:ascii="Arial" w:cs="Arial" w:eastAsia="Arial" w:hAnsi="Arial"/>
          <w:sz w:val="18"/>
          <w:szCs w:val="18"/>
          <w:color w:val="3051F2"/>
        </w:rPr>
        <w:t>www.instacart.com/company</w:t>
      </w:r>
      <w:r>
        <w:rPr>
          <w:rFonts w:ascii="Arial" w:cs="Arial" w:eastAsia="Arial" w:hAnsi="Arial"/>
          <w:sz w:val="18"/>
          <w:szCs w:val="18"/>
          <w:color w:val="auto"/>
        </w:rPr>
        <w:t>. Maplebear Inc. is the registered corporate name of Instacart.</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This letter and the accompanying oral presentation contain forward-looking statements within the meaning of Section 27A of the Securities Act of 1933, as amended, and Section 21E of the Securities Exchange Act of 1934, as amended. All statements other than statements of historical fact could be deemed forward-looking, including without limitation statements regarding our financial outlook, including GTV, Adjusted EBITDA, transaction revenue, advertising and other revenue, cost of revenue, stock-based compensation expense, cash flow, and orders, trends in our business and industry, impacts from macroeconomic conditions, our plans and expectations regarding growth, products, features, and partnerships, including expansion of our capabilities, services, and solutions, the expected benefits of AI, our strategic priorities, investments, and initiatives, including international expansion and M&amp;A activity, our ability to drive sales and growth for our partners, and activity under our share repurchase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00" w:top="1201" w:right="339" w:bottom="1440" w:gutter="0" w:footer="0" w:header="0"/>
        </w:sectPr>
      </w:pPr>
    </w:p>
    <w:bookmarkStart w:id="147" w:name="page148"/>
    <w:bookmarkEnd w:id="147"/>
    <w:p>
      <w:pPr>
        <w:jc w:val="both"/>
        <w:ind w:right="20"/>
        <w:spacing w:after="0" w:line="268" w:lineRule="auto"/>
        <w:rPr>
          <w:sz w:val="20"/>
          <w:szCs w:val="20"/>
          <w:color w:val="auto"/>
        </w:rPr>
      </w:pPr>
      <w:r>
        <w:rPr>
          <w:rFonts w:ascii="Arial" w:cs="Arial" w:eastAsia="Arial" w:hAnsi="Arial"/>
          <w:sz w:val="18"/>
          <w:szCs w:val="18"/>
          <w:color w:val="auto"/>
        </w:rPr>
        <w:t>program.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contained in this letter and the accompanying oral presentation are subject to known and unknown risks, uncertainties, assumptions, and other factors that may cause actual results or outcomes to be materially different from any future results or outcomes expressed or implied by the forward-looking statements. These risks, uncertainties, assumptions, and other factors include, but are not limited to, our ability to forecast our performance; our ability to attract and increase engagement of customers, retailers, brands, and shoppers; the increasing scale, scope, and complexity of our business; evolving and uncertain macroeconomic conditions; our ability to achieve and maintain profitability and profitable growth; competition; and legal and regulatory developments; as well as other risks described from time to time in our filings with the Securities and Exchange Commission (SEC), including in our Annual Report on Form 10-K for the year ended December 31, 2025 filed with the SEC on February 26, 2026.</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letter and the accompanying oral presentation on information available to us as of the date hereof, and we undertake no obligation to update any forward-looking statements,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use the following key business metrics to help us evaluate our business, identify trends affecting our performance, formulate business plans, and make strategic decisions:</w:t>
      </w:r>
    </w:p>
    <w:p>
      <w:pPr>
        <w:spacing w:after="0" w:line="180" w:lineRule="exact"/>
        <w:rPr>
          <w:sz w:val="20"/>
          <w:szCs w:val="20"/>
          <w:color w:val="auto"/>
        </w:rPr>
      </w:pPr>
    </w:p>
    <w:p>
      <w:pPr>
        <w:jc w:val="both"/>
        <w:ind w:left="660" w:hanging="328"/>
        <w:spacing w:after="0" w:line="259"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Gross Transaction Value (GTV): </w:t>
      </w:r>
      <w:r>
        <w:rPr>
          <w:rFonts w:ascii="Arial" w:cs="Arial" w:eastAsia="Arial" w:hAnsi="Arial"/>
          <w:sz w:val="18"/>
          <w:szCs w:val="18"/>
          <w:color w:val="auto"/>
        </w:rPr>
        <w:t>We define GTV as the value of the products sold through Instacart, including applicable taxes,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w:t>
      </w:r>
    </w:p>
    <w:p>
      <w:pPr>
        <w:spacing w:after="0" w:line="20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Orders: </w:t>
      </w:r>
      <w:r>
        <w:rPr>
          <w:rFonts w:ascii="Arial" w:cs="Arial" w:eastAsia="Arial" w:hAnsi="Arial"/>
          <w:sz w:val="18"/>
          <w:szCs w:val="18"/>
          <w:color w:val="auto"/>
        </w:rPr>
        <w:t>We define an order as a completed customer transaction to purchase goods for delivery or pickup primarily from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following non-GAAP financial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financial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financial measures to assist investors in seeing our business and financial performance through the eyes of management, and because we believe that these non-GAAP financial measures provide an additional tool for investors to use in comparing results of operations of our business over multiple periods with other companies in our industry.</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Adjusted EBITDA, Adjusted EBITDA as a Percent of GTV, and Adjusted EBITDA Margin. </w:t>
      </w:r>
      <w:r>
        <w:rPr>
          <w:rFonts w:ascii="Arial" w:cs="Arial" w:eastAsia="Arial" w:hAnsi="Arial"/>
          <w:sz w:val="18"/>
          <w:szCs w:val="18"/>
          <w:color w:val="auto"/>
        </w:rPr>
        <w:t>We define Adjusted EBITDA as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(loss), adjusted to exclude (i) provision for (benefit from) income taxes, (ii) interest income, (iii) other (income) expense, net, (iv) depreciation and amortization expense, (v) stock-based compensation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148" w:name="page149"/>
    <w:bookmarkEnd w:id="148"/>
    <w:p>
      <w:pPr>
        <w:jc w:val="both"/>
        <w:spacing w:after="0" w:line="268" w:lineRule="auto"/>
        <w:rPr>
          <w:sz w:val="20"/>
          <w:szCs w:val="20"/>
          <w:color w:val="auto"/>
        </w:rPr>
      </w:pPr>
      <w:r>
        <w:rPr>
          <w:rFonts w:ascii="Arial" w:cs="Arial" w:eastAsia="Arial" w:hAnsi="Arial"/>
          <w:sz w:val="18"/>
          <w:szCs w:val="18"/>
          <w:color w:val="auto"/>
        </w:rPr>
        <w:t>expense, (vi) payroll taxes related to stock-based compensation, (vii) certain legal and regulatory accruals and settlements, net, (viii) reserves for sales and other indirect taxes, net, (ix) acquisition-related expenses, and (x) restructuring charges. We define Adjusted EBITDA margin as Adjusted EBITDA as a percent of total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Adjusted Cost of Revenue and Adjusted Cost of Revenue as a Percent of GTV. </w:t>
      </w:r>
      <w:r>
        <w:rPr>
          <w:rFonts w:ascii="Arial" w:cs="Arial" w:eastAsia="Arial" w:hAnsi="Arial"/>
          <w:sz w:val="18"/>
          <w:szCs w:val="18"/>
          <w:color w:val="auto"/>
        </w:rPr>
        <w:t>We define adjusted cost of revenue as cost of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depreciation and amortization expense and stock-based compensation expense.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Adjusted Operations and Support Expense and Adjusted Operations and Support Expense as a Percent of GTV. </w:t>
      </w:r>
      <w:r>
        <w:rPr>
          <w:rFonts w:ascii="Arial" w:cs="Arial" w:eastAsia="Arial" w:hAnsi="Arial"/>
          <w:sz w:val="18"/>
          <w:szCs w:val="18"/>
          <w:color w:val="auto"/>
        </w:rPr>
        <w:t>We define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support expense as operations and support expense excluding depreciation and amortization expense, stock-based compensation expense, and payroll taxes related to stock-based compensation.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Adjusted Research and Development Expense and Adjusted Research and Development Expense as a Percent of GTV. </w:t>
      </w:r>
      <w:r>
        <w:rPr>
          <w:rFonts w:ascii="Arial" w:cs="Arial" w:eastAsia="Arial" w:hAnsi="Arial"/>
          <w:sz w:val="18"/>
          <w:szCs w:val="18"/>
          <w:color w:val="auto"/>
        </w:rPr>
        <w:t>We define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research and development expense as research and development expense excluding depreciation and amortization expense, stock-based compensation expense, and payroll taxes related to stock-based compensation.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Adjusted Sales and Marketing Expense and Adjusted Sales and Marketing Expense as a Percent of GTV. </w:t>
      </w:r>
      <w:r>
        <w:rPr>
          <w:rFonts w:ascii="Arial" w:cs="Arial" w:eastAsia="Arial" w:hAnsi="Arial"/>
          <w:sz w:val="18"/>
          <w:szCs w:val="18"/>
          <w:color w:val="auto"/>
        </w:rPr>
        <w:t>We define adjusted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marketing expense as sales and marketing expense excluding depreciation and amortization expense, stock-based compensation expense, and payroll taxes related to stock-based compensation.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Adjusted General and Administrative Expense and Adjusted General and Administrative Expense as a Percent of GTV. </w:t>
      </w:r>
      <w:r>
        <w:rPr>
          <w:rFonts w:ascii="Arial" w:cs="Arial" w:eastAsia="Arial" w:hAnsi="Arial"/>
          <w:sz w:val="18"/>
          <w:szCs w:val="18"/>
          <w:color w:val="auto"/>
        </w:rPr>
        <w:t>We define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and acquisition-related expenses.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Adjusted Total Operating Expenses and Adjusted Total Operating Expenses as a Percent of GTV. </w:t>
      </w:r>
      <w:r>
        <w:rPr>
          <w:rFonts w:ascii="Arial" w:cs="Arial" w:eastAsia="Arial" w:hAnsi="Arial"/>
          <w:sz w:val="18"/>
          <w:szCs w:val="18"/>
          <w:color w:val="auto"/>
        </w:rPr>
        <w:t>We define adjusted total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as the sum of adjusted operations and support expense, adjusted research and development expense, adjusted sales and marketing expense, and adjusted general and administrative expense.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exclude depreciation and amortization expense and stock-based compensation expense from our non-GAAP financial measures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these are not indicative of our operating performance.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We define free cash flow as net cash provided by (used in) operating activities less purchases of property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capitalized internal-use software.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our condensed consolidated financial statements prepared in accordance with GAAP. Our presentation of non-GAAP financial measures may not be comparable to similar measures used by other companies, which reduce their usefulness as comparative measures. In addition, other companies may not publish these or similar measures. Further, these measures have certain limitations in that they do not include the impact of certain expenses that are reflected in our condensed consolidated statements of operations. 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 Please see the tables included at the end of this press release for the reconciliation of GAAP to non-GAAP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3"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 Relations: </w:t>
      </w:r>
      <w:r>
        <w:rPr>
          <w:rFonts w:ascii="Arial" w:cs="Arial" w:eastAsia="Arial" w:hAnsi="Arial"/>
          <w:sz w:val="18"/>
          <w:szCs w:val="18"/>
          <w:color w:val="1155CC"/>
        </w:rPr>
        <w:t>investors@instacart.com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Press: </w:t>
      </w:r>
      <w:r>
        <w:rPr>
          <w:rFonts w:ascii="Arial" w:cs="Arial" w:eastAsia="Arial" w:hAnsi="Arial"/>
          <w:sz w:val="18"/>
          <w:szCs w:val="18"/>
          <w:color w:val="1155CC"/>
        </w:rPr>
        <w:t>press@instacart.com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3" w:right="339" w:bottom="1440" w:gutter="0" w:footer="0" w:header="0"/>
        </w:sectPr>
      </w:pPr>
    </w:p>
    <w:bookmarkStart w:id="150" w:name="page151"/>
    <w:bookmarkEnd w:id="150"/>
    <w:p>
      <w:pPr>
        <w:jc w:val="center"/>
        <w:ind w:right="80"/>
        <w:spacing w:after="0"/>
        <w:rPr>
          <w:sz w:val="20"/>
          <w:szCs w:val="20"/>
          <w:color w:val="auto"/>
        </w:rPr>
      </w:pPr>
      <w:r>
        <w:rPr>
          <w:rFonts w:ascii="Arial" w:cs="Arial" w:eastAsia="Arial" w:hAnsi="Arial"/>
          <w:sz w:val="22"/>
          <w:szCs w:val="22"/>
          <w:b w:val="1"/>
          <w:bCs w:val="1"/>
          <w:color w:val="auto"/>
        </w:rPr>
        <w:t>MAPLEBEAR INC. DBA INSTACART</w:t>
      </w:r>
    </w:p>
    <w:p>
      <w:pPr>
        <w:spacing w:after="0" w:line="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231F20"/>
        </w:rPr>
        <w:t>(unaudited,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231F20"/>
              </w:rPr>
              <w:t>2026</w:t>
            </w:r>
          </w:p>
        </w:tc>
        <w:tc>
          <w:tcPr>
            <w:tcW w:w="0" w:type="dxa"/>
            <w:vAlign w:val="bottom"/>
          </w:tcPr>
          <w:p>
            <w:pPr>
              <w:spacing w:after="0"/>
              <w:rPr>
                <w:sz w:val="1"/>
                <w:szCs w:val="1"/>
                <w:color w:val="auto"/>
              </w:rPr>
            </w:pP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Short-term marketable securities</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Restricted cash and cash equivalents, current</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2"/>
        </w:trPr>
        <w:tc>
          <w:tcPr>
            <w:tcW w:w="8180" w:type="dxa"/>
            <w:vAlign w:val="bottom"/>
          </w:tcPr>
          <w:p>
            <w:pPr>
              <w:ind w:left="56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2,199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Restricted cash and cash equivalents, noncurrent</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3,687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2"/>
        </w:trPr>
        <w:tc>
          <w:tcPr>
            <w:tcW w:w="818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Series A redeemable convertible preferred stock</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7,005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7,143</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200"/>
        </w:trPr>
        <w:tc>
          <w:tcPr>
            <w:tcW w:w="8180" w:type="dxa"/>
            <w:vAlign w:val="bottom"/>
          </w:tcPr>
          <w:p>
            <w:pPr>
              <w:ind w:left="560"/>
              <w:spacing w:after="0"/>
              <w:rPr>
                <w:sz w:val="20"/>
                <w:szCs w:val="20"/>
                <w:color w:val="auto"/>
              </w:rPr>
            </w:pPr>
            <w:r>
              <w:rPr>
                <w:rFonts w:ascii="Arial" w:cs="Arial" w:eastAsia="Arial" w:hAnsi="Arial"/>
                <w:sz w:val="14"/>
                <w:szCs w:val="14"/>
                <w:color w:val="auto"/>
              </w:rPr>
              <w:t>Total liabilities, redeemable convertible preferred stock,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3,687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Note: Due to rounding, numbers presented may not sum precisely to the totals presented.</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400" w:top="120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MAPLEBEAR INC. DBA INSTACART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millions, except share amounts, which are reflected in thousands,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98"/>
        </w:trPr>
        <w:tc>
          <w:tcPr>
            <w:tcW w:w="82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Operations and support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8"/>
        </w:trPr>
        <w:tc>
          <w:tcPr>
            <w:tcW w:w="828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92"/>
        </w:trPr>
        <w:tc>
          <w:tcPr>
            <w:tcW w:w="828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8280" w:type="dxa"/>
            <w:vAlign w:val="bottom"/>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2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2"/>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Accretion related to Series A redeemable convertible preferred stock</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828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Accretion related to Series A redeemable convertible preferred stock</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828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diluted</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 attributable to common stockholders: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24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shares used in computing net income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262,432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239,273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tcPr>
          <w:p>
            <w:pPr>
              <w:ind w:left="24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277,193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253,597</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80"/>
              <w:spacing w:after="0"/>
              <w:rPr>
                <w:sz w:val="20"/>
                <w:szCs w:val="20"/>
                <w:color w:val="auto"/>
              </w:rPr>
            </w:pPr>
            <w:r>
              <w:rPr>
                <w:rFonts w:ascii="Arial" w:cs="Arial" w:eastAsia="Arial" w:hAnsi="Arial"/>
                <w:sz w:val="14"/>
                <w:szCs w:val="14"/>
                <w:color w:val="auto"/>
              </w:rPr>
              <w:t>Note: Due to rounding, numbers presented may not sum precisely to the totals presented.</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8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0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MAPLEBEAR INC. DBA INSTACART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8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8"/>
        </w:trPr>
        <w:tc>
          <w:tcPr>
            <w:tcW w:w="8280" w:type="dxa"/>
            <w:vAlign w:val="bottom"/>
          </w:tcPr>
          <w:p>
            <w:pPr>
              <w:ind w:left="240"/>
              <w:spacing w:after="0"/>
              <w:rPr>
                <w:sz w:val="20"/>
                <w:szCs w:val="20"/>
                <w:color w:val="auto"/>
              </w:rPr>
            </w:pPr>
            <w:r>
              <w:rPr>
                <w:rFonts w:ascii="Arial" w:cs="Arial" w:eastAsia="Arial" w:hAnsi="Arial"/>
                <w:sz w:val="14"/>
                <w:szCs w:val="14"/>
                <w:color w:val="auto"/>
              </w:rPr>
              <w:t>Impairments of long-lived assets and other assets</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bad debts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8280" w:type="dxa"/>
            <w:vAlign w:val="bottom"/>
          </w:tcPr>
          <w:p>
            <w:pPr>
              <w:ind w:left="240"/>
              <w:spacing w:after="0"/>
              <w:rPr>
                <w:sz w:val="20"/>
                <w:szCs w:val="20"/>
                <w:color w:val="auto"/>
              </w:rPr>
            </w:pPr>
            <w:r>
              <w:rPr>
                <w:rFonts w:ascii="Arial" w:cs="Arial" w:eastAsia="Arial" w:hAnsi="Arial"/>
                <w:sz w:val="14"/>
                <w:szCs w:val="14"/>
                <w:color w:val="auto"/>
              </w:rPr>
              <w:t>Amortization of operating lease right-of-use assets</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8280" w:type="dxa"/>
            <w:vAlign w:val="bottom"/>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828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and other current liabilities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8"/>
        </w:trPr>
        <w:tc>
          <w:tcPr>
            <w:tcW w:w="828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long-term liabilities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8280" w:type="dxa"/>
            <w:vAlign w:val="bottom"/>
          </w:tcPr>
          <w:p>
            <w:pPr>
              <w:ind w:left="20"/>
              <w:spacing w:after="0"/>
              <w:rPr>
                <w:sz w:val="20"/>
                <w:szCs w:val="20"/>
                <w:color w:val="auto"/>
              </w:rPr>
            </w:pPr>
            <w:r>
              <w:rPr>
                <w:rFonts w:ascii="Arial" w:cs="Arial" w:eastAsia="Arial" w:hAnsi="Arial"/>
                <w:sz w:val="14"/>
                <w:szCs w:val="14"/>
                <w:color w:val="auto"/>
              </w:rPr>
              <w:t>Maturities of marketable securities</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 including capitalized internal-use software</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provided by (used in) investing activities</w:t>
            </w: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8280" w:type="dxa"/>
            <w:vAlign w:val="bottom"/>
          </w:tcPr>
          <w:p>
            <w:pPr>
              <w:ind w:left="20"/>
              <w:spacing w:after="0"/>
              <w:rPr>
                <w:sz w:val="20"/>
                <w:szCs w:val="20"/>
                <w:color w:val="auto"/>
              </w:rPr>
            </w:pPr>
            <w:r>
              <w:rPr>
                <w:rFonts w:ascii="Arial" w:cs="Arial" w:eastAsia="Arial" w:hAnsi="Arial"/>
                <w:sz w:val="14"/>
                <w:szCs w:val="14"/>
                <w:color w:val="auto"/>
              </w:rPr>
              <w:t>Changes in advances from payment card issuer</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used in financing activities</w:t>
            </w: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on cash, cash equivalents, and restricted cash and cash equivalents</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and cash equivalents - beginning of period</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1,449</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200"/>
        </w:trPr>
        <w:tc>
          <w:tcPr>
            <w:tcW w:w="82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and cash equivalents - end of period</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1,703</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
        </w:trPr>
        <w:tc>
          <w:tcPr>
            <w:tcW w:w="8280" w:type="dxa"/>
            <w:vAlign w:val="bottom"/>
            <w:vMerge w:val="restart"/>
          </w:tcPr>
          <w:p>
            <w:pPr>
              <w:ind w:left="80"/>
              <w:spacing w:after="0"/>
              <w:rPr>
                <w:sz w:val="20"/>
                <w:szCs w:val="20"/>
                <w:color w:val="auto"/>
              </w:rPr>
            </w:pPr>
            <w:r>
              <w:rPr>
                <w:rFonts w:ascii="Arial" w:cs="Arial" w:eastAsia="Arial" w:hAnsi="Arial"/>
                <w:sz w:val="14"/>
                <w:szCs w:val="14"/>
                <w:color w:val="auto"/>
              </w:rPr>
              <w:t>Note: Due to rounding, numbers presented may not sum precisely to the totals presented.</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82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05"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MAPLEBEAR INC. DBA INSTACART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BUSINESS METRICS AND RECONCILIATION OF GAAP TO NON-GAAP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millions, except percentages)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31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0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r>
      <w:tr>
        <w:trPr>
          <w:trHeight w:val="197"/>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GTV</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10,288</w:t>
            </w: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Orders</w:t>
            </w:r>
          </w:p>
        </w:tc>
        <w:tc>
          <w:tcPr>
            <w:tcW w:w="96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91.2</w:t>
            </w:r>
          </w:p>
        </w:tc>
      </w:tr>
      <w:tr>
        <w:trPr>
          <w:trHeight w:val="207"/>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144</w:t>
            </w:r>
          </w:p>
        </w:tc>
      </w:tr>
      <w:tr>
        <w:trPr>
          <w:trHeight w:val="198"/>
        </w:trPr>
        <w:tc>
          <w:tcPr>
            <w:tcW w:w="8080" w:type="dxa"/>
            <w:vAlign w:val="bottom"/>
          </w:tcPr>
          <w:p>
            <w:pPr>
              <w:ind w:left="240"/>
              <w:spacing w:after="0"/>
              <w:rPr>
                <w:sz w:val="20"/>
                <w:szCs w:val="20"/>
                <w:color w:val="auto"/>
              </w:rPr>
            </w:pPr>
            <w:r>
              <w:rPr>
                <w:rFonts w:ascii="Arial" w:cs="Arial" w:eastAsia="Arial" w:hAnsi="Arial"/>
                <w:sz w:val="14"/>
                <w:szCs w:val="14"/>
                <w:color w:val="auto"/>
              </w:rPr>
              <w:t>Provision for income taxes</w:t>
            </w:r>
          </w:p>
        </w:tc>
        <w:tc>
          <w:tcPr>
            <w:tcW w:w="96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44</w:t>
            </w:r>
          </w:p>
        </w:tc>
      </w:tr>
      <w:tr>
        <w:trPr>
          <w:trHeight w:val="207"/>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income</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r>
      <w:tr>
        <w:trPr>
          <w:trHeight w:val="198"/>
        </w:trPr>
        <w:tc>
          <w:tcPr>
            <w:tcW w:w="808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96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30</w:t>
            </w:r>
          </w:p>
        </w:tc>
      </w:tr>
      <w:tr>
        <w:trPr>
          <w:trHeight w:val="207"/>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w:t>
            </w:r>
          </w:p>
        </w:tc>
      </w:tr>
      <w:tr>
        <w:trPr>
          <w:trHeight w:val="203"/>
        </w:trPr>
        <w:tc>
          <w:tcPr>
            <w:tcW w:w="808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Payroll taxes related to stock-based compensation </w:t>
            </w:r>
            <w:r>
              <w:rPr>
                <w:rFonts w:ascii="Arial" w:cs="Arial" w:eastAsia="Arial" w:hAnsi="Arial"/>
                <w:sz w:val="18"/>
                <w:szCs w:val="18"/>
                <w:color w:val="auto"/>
                <w:vertAlign w:val="superscript"/>
              </w:rPr>
              <w:t>(1)</w:t>
            </w:r>
          </w:p>
        </w:tc>
        <w:tc>
          <w:tcPr>
            <w:tcW w:w="96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w:t>
            </w:r>
          </w:p>
        </w:tc>
      </w:tr>
      <w:tr>
        <w:trPr>
          <w:trHeight w:val="203"/>
        </w:trPr>
        <w:tc>
          <w:tcPr>
            <w:tcW w:w="8080" w:type="dxa"/>
            <w:vAlign w:val="bottom"/>
            <w:shd w:val="clear" w:color="auto" w:fill="CCEEFF"/>
          </w:tcPr>
          <w:p>
            <w:pPr>
              <w:ind w:left="240"/>
              <w:spacing w:after="0" w:line="202" w:lineRule="exact"/>
              <w:rPr>
                <w:sz w:val="20"/>
                <w:szCs w:val="20"/>
                <w:color w:val="auto"/>
              </w:rPr>
            </w:pPr>
            <w:r>
              <w:rPr>
                <w:rFonts w:ascii="Arial" w:cs="Arial" w:eastAsia="Arial" w:hAnsi="Arial"/>
                <w:sz w:val="14"/>
                <w:szCs w:val="14"/>
                <w:color w:val="auto"/>
              </w:rPr>
              <w:t xml:space="preserve">Certain legal and regulatory accruals and settlements, net </w:t>
            </w:r>
            <w:r>
              <w:rPr>
                <w:rFonts w:ascii="Arial" w:cs="Arial" w:eastAsia="Arial" w:hAnsi="Arial"/>
                <w:sz w:val="18"/>
                <w:szCs w:val="18"/>
                <w:color w:val="auto"/>
                <w:vertAlign w:val="superscript"/>
              </w:rPr>
              <w:t>(2)</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r>
      <w:tr>
        <w:trPr>
          <w:trHeight w:val="203"/>
        </w:trPr>
        <w:tc>
          <w:tcPr>
            <w:tcW w:w="808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Reserves for sales and other indirect taxes, net </w:t>
            </w:r>
            <w:r>
              <w:rPr>
                <w:rFonts w:ascii="Arial" w:cs="Arial" w:eastAsia="Arial" w:hAnsi="Arial"/>
                <w:sz w:val="18"/>
                <w:szCs w:val="18"/>
                <w:color w:val="auto"/>
                <w:vertAlign w:val="superscript"/>
              </w:rPr>
              <w:t>(3)</w:t>
            </w:r>
          </w:p>
        </w:tc>
        <w:tc>
          <w:tcPr>
            <w:tcW w:w="96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Acquisition-related expenses</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300</w:t>
            </w:r>
          </w:p>
        </w:tc>
      </w:tr>
      <w:tr>
        <w:trPr>
          <w:trHeight w:val="20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as a percent of GTV</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EBITDA as a percent of GTV</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r>
      <w:tr>
        <w:trPr>
          <w:trHeight w:val="20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1,019</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as a percent of total revenue</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r>
    </w:tbl>
    <w:p>
      <w:pPr>
        <w:spacing w:after="0" w:line="231" w:lineRule="exact"/>
        <w:rPr>
          <w:sz w:val="20"/>
          <w:szCs w:val="20"/>
          <w:color w:val="auto"/>
        </w:rPr>
      </w:pPr>
    </w:p>
    <w:p>
      <w:pPr>
        <w:ind w:left="240" w:hanging="151"/>
        <w:spacing w:after="0"/>
        <w:tabs>
          <w:tab w:leader="none" w:pos="240" w:val="left"/>
        </w:tabs>
        <w:numPr>
          <w:ilvl w:val="0"/>
          <w:numId w:val="163"/>
        </w:numPr>
        <w:rPr>
          <w:rFonts w:ascii="Arial" w:cs="Arial" w:eastAsia="Arial" w:hAnsi="Arial"/>
          <w:sz w:val="18"/>
          <w:szCs w:val="18"/>
          <w:color w:val="auto"/>
          <w:vertAlign w:val="superscript"/>
        </w:rPr>
      </w:pPr>
      <w:r>
        <w:rPr>
          <w:rFonts w:ascii="Arial" w:cs="Arial" w:eastAsia="Arial" w:hAnsi="Arial"/>
          <w:sz w:val="14"/>
          <w:szCs w:val="14"/>
          <w:color w:val="auto"/>
        </w:rPr>
        <w:t>Represents employer payroll taxes related to the vesting and settlement of certain equity awards.</w:t>
      </w:r>
    </w:p>
    <w:p>
      <w:pPr>
        <w:spacing w:after="0" w:line="147" w:lineRule="exact"/>
        <w:rPr>
          <w:rFonts w:ascii="Arial" w:cs="Arial" w:eastAsia="Arial" w:hAnsi="Arial"/>
          <w:sz w:val="18"/>
          <w:szCs w:val="18"/>
          <w:color w:val="auto"/>
          <w:vertAlign w:val="superscript"/>
        </w:rPr>
      </w:pPr>
    </w:p>
    <w:p>
      <w:pPr>
        <w:ind w:left="80" w:firstLine="9"/>
        <w:spacing w:after="0" w:line="222" w:lineRule="auto"/>
        <w:tabs>
          <w:tab w:leader="none" w:pos="265" w:val="left"/>
        </w:tabs>
        <w:numPr>
          <w:ilvl w:val="0"/>
          <w:numId w:val="163"/>
        </w:numPr>
        <w:rPr>
          <w:rFonts w:ascii="Arial" w:cs="Arial" w:eastAsia="Arial" w:hAnsi="Arial"/>
          <w:sz w:val="19"/>
          <w:szCs w:val="19"/>
          <w:color w:val="auto"/>
          <w:vertAlign w:val="superscript"/>
        </w:rPr>
      </w:pPr>
      <w:r>
        <w:rPr>
          <w:rFonts w:ascii="Arial" w:cs="Arial" w:eastAsia="Arial" w:hAnsi="Arial"/>
          <w:sz w:val="14"/>
          <w:szCs w:val="14"/>
          <w:color w:val="auto"/>
        </w:rPr>
        <w:t>Represents certain legal, regulatory, and policy expenses, including those related to worker classification, as well as non-recurring intellectual property matters and regulatory settlements.</w:t>
      </w:r>
    </w:p>
    <w:p>
      <w:pPr>
        <w:spacing w:after="0" w:line="148" w:lineRule="exact"/>
        <w:rPr>
          <w:rFonts w:ascii="Arial" w:cs="Arial" w:eastAsia="Arial" w:hAnsi="Arial"/>
          <w:sz w:val="19"/>
          <w:szCs w:val="19"/>
          <w:color w:val="auto"/>
          <w:vertAlign w:val="superscript"/>
        </w:rPr>
      </w:pPr>
    </w:p>
    <w:p>
      <w:pPr>
        <w:jc w:val="both"/>
        <w:ind w:left="80" w:firstLine="9"/>
        <w:spacing w:after="0" w:line="283" w:lineRule="auto"/>
        <w:tabs>
          <w:tab w:leader="none" w:pos="220" w:val="left"/>
        </w:tabs>
        <w:numPr>
          <w:ilvl w:val="0"/>
          <w:numId w:val="163"/>
        </w:numPr>
        <w:rPr>
          <w:rFonts w:ascii="Arial" w:cs="Arial" w:eastAsia="Arial" w:hAnsi="Arial"/>
          <w:sz w:val="9"/>
          <w:szCs w:val="9"/>
          <w:color w:val="auto"/>
        </w:rPr>
      </w:pPr>
      <w:r>
        <w:rPr>
          <w:rFonts w:ascii="Arial" w:cs="Arial" w:eastAsia="Arial" w:hAnsi="Arial"/>
          <w:sz w:val="14"/>
          <w:szCs w:val="14"/>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Due to rounding, numbers presented may not sum precisely to the totals presented.</w:t>
      </w:r>
    </w:p>
    <w:p>
      <w:pPr>
        <w:spacing w:after="0" w:line="200" w:lineRule="exact"/>
        <w:rPr>
          <w:sz w:val="20"/>
          <w:szCs w:val="20"/>
          <w:color w:val="auto"/>
        </w:rPr>
      </w:pPr>
    </w:p>
    <w:p>
      <w:pPr>
        <w:spacing w:after="0" w:line="33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05" w:right="339"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22"/>
          <w:szCs w:val="22"/>
          <w:b w:val="1"/>
          <w:bCs w:val="1"/>
          <w:color w:val="auto"/>
        </w:rPr>
        <w:t>MAPLEBEAR INC. DBA INSTACART</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 in millions, except percentages)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5"/>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 31,</w:t>
            </w:r>
          </w:p>
        </w:tc>
        <w:tc>
          <w:tcPr>
            <w:tcW w:w="20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 30,</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 30,</w:t>
            </w: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Mar. 31,</w:t>
            </w:r>
          </w:p>
        </w:tc>
      </w:tr>
      <w:tr>
        <w:trPr>
          <w:trHeight w:val="204"/>
        </w:trPr>
        <w:tc>
          <w:tcPr>
            <w:tcW w:w="5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r>
      <w:tr>
        <w:trPr>
          <w:trHeight w:val="19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w:t>
            </w:r>
          </w:p>
        </w:tc>
      </w:tr>
      <w:tr>
        <w:trPr>
          <w:trHeight w:val="198"/>
        </w:trPr>
        <w:tc>
          <w:tcPr>
            <w:tcW w:w="502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(24)</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cost of revenue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as a percent of GTV</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cost of revenue as a percent of GTV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r>
      <w:tr>
        <w:trPr>
          <w:trHeight w:val="254"/>
        </w:trPr>
        <w:tc>
          <w:tcPr>
            <w:tcW w:w="5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Operations and support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74</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8"/>
        </w:trPr>
        <w:tc>
          <w:tcPr>
            <w:tcW w:w="50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Payroll taxes related to stock-based compensation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operations and support expense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 and support expense as a percent of GTV</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operations and support expense as a percent of GTV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w:t>
            </w:r>
          </w:p>
        </w:tc>
      </w:tr>
      <w:tr>
        <w:trPr>
          <w:trHeight w:val="254"/>
        </w:trPr>
        <w:tc>
          <w:tcPr>
            <w:tcW w:w="5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Research and development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164</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r>
      <w:tr>
        <w:trPr>
          <w:trHeight w:val="198"/>
        </w:trPr>
        <w:tc>
          <w:tcPr>
            <w:tcW w:w="50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(46)</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Payroll taxes related to stock-based compensation </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research and development expense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 as a percent of GTV</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research and development expense as a percent of GTV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r>
      <w:tr>
        <w:trPr>
          <w:trHeight w:val="254"/>
        </w:trPr>
        <w:tc>
          <w:tcPr>
            <w:tcW w:w="5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Sales and marketing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230</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r>
      <w:tr>
        <w:trPr>
          <w:trHeight w:val="198"/>
        </w:trPr>
        <w:tc>
          <w:tcPr>
            <w:tcW w:w="50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Payroll taxes related to stock-based compensation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sales and marketing expense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191</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195</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217</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 as a percent of GTV</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Adjusted sales and marketing expense as a percent of GTV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1205" w:right="339"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22"/>
          <w:szCs w:val="22"/>
          <w:b w:val="1"/>
          <w:bCs w:val="1"/>
          <w:color w:val="auto"/>
        </w:rPr>
        <w:t>MAPLEBEAR INC. DBA INSTACART</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RESULTS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 in millions, except percentages)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5"/>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 31,</w:t>
            </w:r>
          </w:p>
        </w:tc>
        <w:tc>
          <w:tcPr>
            <w:tcW w:w="20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 30,</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 30,</w:t>
            </w: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Mar. 31,</w:t>
            </w:r>
          </w:p>
        </w:tc>
      </w:tr>
      <w:tr>
        <w:trPr>
          <w:trHeight w:val="203"/>
        </w:trPr>
        <w:tc>
          <w:tcPr>
            <w:tcW w:w="5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r>
      <w:tr>
        <w:trPr>
          <w:trHeight w:val="19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w:t>
            </w:r>
          </w:p>
        </w:tc>
      </w:tr>
      <w:tr>
        <w:trPr>
          <w:trHeight w:val="198"/>
        </w:trPr>
        <w:tc>
          <w:tcPr>
            <w:tcW w:w="502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r>
      <w:tr>
        <w:trPr>
          <w:trHeight w:val="203"/>
        </w:trPr>
        <w:tc>
          <w:tcPr>
            <w:tcW w:w="502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Payroll taxes related to stock-based compensation </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3"/>
        </w:trPr>
        <w:tc>
          <w:tcPr>
            <w:tcW w:w="5020" w:type="dxa"/>
            <w:vAlign w:val="bottom"/>
            <w:shd w:val="clear" w:color="auto" w:fill="CCEEFF"/>
          </w:tcPr>
          <w:p>
            <w:pPr>
              <w:ind w:left="240"/>
              <w:spacing w:after="0" w:line="202" w:lineRule="exact"/>
              <w:rPr>
                <w:sz w:val="20"/>
                <w:szCs w:val="20"/>
                <w:color w:val="auto"/>
              </w:rPr>
            </w:pPr>
            <w:r>
              <w:rPr>
                <w:rFonts w:ascii="Arial" w:cs="Arial" w:eastAsia="Arial" w:hAnsi="Arial"/>
                <w:sz w:val="14"/>
                <w:szCs w:val="14"/>
                <w:color w:val="auto"/>
              </w:rPr>
              <w:t xml:space="preserve">Certain legal and regulatory accruals and settlements, net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203"/>
        </w:trPr>
        <w:tc>
          <w:tcPr>
            <w:tcW w:w="502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Reserves for sales and other indirect taxes, net </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Acquisition-related expenses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general and administrative expense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 as a percent of GTV</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0.9 %</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general and administrative expense as a percent of GTV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r>
      <w:tr>
        <w:trPr>
          <w:trHeight w:val="254"/>
        </w:trPr>
        <w:tc>
          <w:tcPr>
            <w:tcW w:w="5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556</w:t>
            </w:r>
          </w:p>
        </w:tc>
      </w:tr>
      <w:tr>
        <w:trPr>
          <w:trHeight w:val="207"/>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r>
      <w:tr>
        <w:trPr>
          <w:trHeight w:val="198"/>
        </w:trPr>
        <w:tc>
          <w:tcPr>
            <w:tcW w:w="50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(78)</w:t>
            </w:r>
          </w:p>
        </w:tc>
      </w:tr>
      <w:tr>
        <w:trPr>
          <w:trHeight w:val="206"/>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Payroll taxes related to stock-based compensation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r>
      <w:tr>
        <w:trPr>
          <w:trHeight w:val="203"/>
        </w:trPr>
        <w:tc>
          <w:tcPr>
            <w:tcW w:w="502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Certain legal and regulatory accruals and settlements, net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3"/>
        </w:trPr>
        <w:tc>
          <w:tcPr>
            <w:tcW w:w="5020" w:type="dxa"/>
            <w:vAlign w:val="bottom"/>
            <w:shd w:val="clear" w:color="auto" w:fill="CCEEFF"/>
          </w:tcPr>
          <w:p>
            <w:pPr>
              <w:ind w:left="240"/>
              <w:spacing w:after="0" w:line="202" w:lineRule="exact"/>
              <w:rPr>
                <w:sz w:val="20"/>
                <w:szCs w:val="20"/>
                <w:color w:val="auto"/>
              </w:rPr>
            </w:pPr>
            <w:r>
              <w:rPr>
                <w:rFonts w:ascii="Arial" w:cs="Arial" w:eastAsia="Arial" w:hAnsi="Arial"/>
                <w:sz w:val="14"/>
                <w:szCs w:val="14"/>
                <w:color w:val="auto"/>
              </w:rPr>
              <w:t xml:space="preserve">Reserves for sales and other indirect taxes, net </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5020" w:type="dxa"/>
            <w:vAlign w:val="bottom"/>
          </w:tcPr>
          <w:p>
            <w:pPr>
              <w:ind w:left="240"/>
              <w:spacing w:after="0"/>
              <w:rPr>
                <w:sz w:val="20"/>
                <w:szCs w:val="20"/>
                <w:color w:val="auto"/>
              </w:rPr>
            </w:pPr>
            <w:r>
              <w:rPr>
                <w:rFonts w:ascii="Arial" w:cs="Arial" w:eastAsia="Arial" w:hAnsi="Arial"/>
                <w:sz w:val="14"/>
                <w:szCs w:val="14"/>
                <w:color w:val="auto"/>
              </w:rPr>
              <w:t>Acquisition-related expenses</w:t>
            </w:r>
          </w:p>
        </w:tc>
        <w:tc>
          <w:tcPr>
            <w:tcW w:w="2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436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436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463</w:t>
            </w:r>
          </w:p>
        </w:tc>
      </w:t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 as a percent of GTV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 as a percent of GTV</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w:t>
            </w:r>
          </w:p>
        </w:tc>
      </w:tr>
    </w:tbl>
    <w:p>
      <w:pPr>
        <w:spacing w:after="0" w:line="217" w:lineRule="exact"/>
        <w:rPr>
          <w:sz w:val="20"/>
          <w:szCs w:val="20"/>
          <w:color w:val="auto"/>
        </w:rPr>
      </w:pPr>
    </w:p>
    <w:p>
      <w:pPr>
        <w:ind w:left="220" w:hanging="151"/>
        <w:spacing w:after="0"/>
        <w:tabs>
          <w:tab w:leader="none" w:pos="220" w:val="left"/>
        </w:tabs>
        <w:numPr>
          <w:ilvl w:val="0"/>
          <w:numId w:val="164"/>
        </w:numPr>
        <w:rPr>
          <w:rFonts w:ascii="Arial" w:cs="Arial" w:eastAsia="Arial" w:hAnsi="Arial"/>
          <w:sz w:val="18"/>
          <w:szCs w:val="18"/>
          <w:color w:val="auto"/>
          <w:vertAlign w:val="superscript"/>
        </w:rPr>
      </w:pPr>
      <w:r>
        <w:rPr>
          <w:rFonts w:ascii="Arial" w:cs="Arial" w:eastAsia="Arial" w:hAnsi="Arial"/>
          <w:sz w:val="14"/>
          <w:szCs w:val="14"/>
          <w:color w:val="auto"/>
        </w:rPr>
        <w:t>Represents employer payroll taxes related to the vesting and settlement of certain equity awards.</w:t>
      </w:r>
    </w:p>
    <w:p>
      <w:pPr>
        <w:spacing w:after="0" w:line="147" w:lineRule="exact"/>
        <w:rPr>
          <w:rFonts w:ascii="Arial" w:cs="Arial" w:eastAsia="Arial" w:hAnsi="Arial"/>
          <w:sz w:val="18"/>
          <w:szCs w:val="18"/>
          <w:color w:val="auto"/>
          <w:vertAlign w:val="superscript"/>
        </w:rPr>
      </w:pPr>
    </w:p>
    <w:p>
      <w:pPr>
        <w:ind w:left="60" w:firstLine="9"/>
        <w:spacing w:after="0" w:line="222" w:lineRule="auto"/>
        <w:tabs>
          <w:tab w:leader="none" w:pos="245" w:val="left"/>
        </w:tabs>
        <w:numPr>
          <w:ilvl w:val="0"/>
          <w:numId w:val="164"/>
        </w:numPr>
        <w:rPr>
          <w:rFonts w:ascii="Arial" w:cs="Arial" w:eastAsia="Arial" w:hAnsi="Arial"/>
          <w:sz w:val="19"/>
          <w:szCs w:val="19"/>
          <w:color w:val="auto"/>
          <w:vertAlign w:val="superscript"/>
        </w:rPr>
      </w:pPr>
      <w:r>
        <w:rPr>
          <w:rFonts w:ascii="Arial" w:cs="Arial" w:eastAsia="Arial" w:hAnsi="Arial"/>
          <w:sz w:val="14"/>
          <w:szCs w:val="14"/>
          <w:color w:val="auto"/>
        </w:rPr>
        <w:t>Represents certain legal, regulatory, and policy expenses, including those related to worker classification, as well as non-recurring intellectual property matters and regulatory settlements.</w:t>
      </w:r>
    </w:p>
    <w:p>
      <w:pPr>
        <w:spacing w:after="0" w:line="148" w:lineRule="exact"/>
        <w:rPr>
          <w:rFonts w:ascii="Arial" w:cs="Arial" w:eastAsia="Arial" w:hAnsi="Arial"/>
          <w:sz w:val="19"/>
          <w:szCs w:val="19"/>
          <w:color w:val="auto"/>
          <w:vertAlign w:val="superscript"/>
        </w:rPr>
      </w:pPr>
    </w:p>
    <w:p>
      <w:pPr>
        <w:jc w:val="both"/>
        <w:ind w:left="60" w:firstLine="9"/>
        <w:spacing w:after="0" w:line="283" w:lineRule="auto"/>
        <w:tabs>
          <w:tab w:leader="none" w:pos="214" w:val="left"/>
        </w:tabs>
        <w:numPr>
          <w:ilvl w:val="0"/>
          <w:numId w:val="164"/>
        </w:numPr>
        <w:rPr>
          <w:rFonts w:ascii="Arial" w:cs="Arial" w:eastAsia="Arial" w:hAnsi="Arial"/>
          <w:sz w:val="9"/>
          <w:szCs w:val="9"/>
          <w:color w:val="auto"/>
        </w:rPr>
      </w:pPr>
      <w:r>
        <w:rPr>
          <w:rFonts w:ascii="Arial" w:cs="Arial" w:eastAsia="Arial" w:hAnsi="Arial"/>
          <w:sz w:val="14"/>
          <w:szCs w:val="14"/>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ind w:right="8"/>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Jun.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 30,</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w:t>
            </w:r>
          </w:p>
        </w:tc>
        <w:tc>
          <w:tcPr>
            <w:tcW w:w="180" w:type="dxa"/>
            <w:vAlign w:val="bottom"/>
          </w:tcPr>
          <w:p>
            <w:pPr>
              <w:spacing w:after="0"/>
              <w:rPr>
                <w:sz w:val="16"/>
                <w:szCs w:val="16"/>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204"/>
        </w:trPr>
        <w:tc>
          <w:tcPr>
            <w:tcW w:w="5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5320" w:type="dxa"/>
            <w:vAlign w:val="bottom"/>
          </w:tcPr>
          <w:p>
            <w:pPr>
              <w:ind w:left="180"/>
              <w:spacing w:after="0" w:line="149" w:lineRule="exact"/>
              <w:rPr>
                <w:sz w:val="20"/>
                <w:szCs w:val="20"/>
                <w:color w:val="auto"/>
              </w:rPr>
            </w:pPr>
            <w:r>
              <w:rPr>
                <w:rFonts w:ascii="Arial" w:cs="Arial" w:eastAsia="Arial" w:hAnsi="Arial"/>
                <w:sz w:val="14"/>
                <w:szCs w:val="14"/>
                <w:color w:val="auto"/>
              </w:rPr>
              <w:t>Purchases of property and equipment, including capitalized internal-use</w:t>
            </w: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software</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Due to rounding, numbers presented may not sum precisely to the totals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sectPr>
      <w:pgSz w:w="11900" w:h="16838" w:orient="portrait"/>
      <w:cols w:equalWidth="0" w:num="1">
        <w:col w:w="11220"/>
      </w:cols>
      <w:pgMar w:left="340" w:top="12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o"/>
      <w:numFmt w:val="bullet"/>
      <w:start w:val="1"/>
    </w:lvl>
  </w:abstractNum>
  <w:abstractNum w:abstractNumId="1">
    <w:nsid w:val="1A27709E"/>
    <w:multiLevelType w:val="hybridMultilevel"/>
    <w:lvl w:ilvl="0">
      <w:lvlJc w:val="left"/>
      <w:lvlText w:val="(%1)"/>
      <w:numFmt w:val="decimal"/>
      <w:start w:val="1"/>
    </w:lvl>
  </w:abstractNum>
  <w:abstractNum w:abstractNumId="2">
    <w:nsid w:val="71EA1109"/>
    <w:multiLevelType w:val="hybridMultilevel"/>
    <w:lvl w:ilvl="0">
      <w:lvlJc w:val="left"/>
      <w:lvlText w:val="(%1)"/>
      <w:numFmt w:val="decimal"/>
      <w:start w:val="1"/>
    </w:lvl>
  </w:abstractNum>
  <w:abstractNum w:abstractNumId="3">
    <w:nsid w:val="100F59DC"/>
    <w:multiLevelType w:val="hybridMultilevel"/>
    <w:lvl w:ilvl="0">
      <w:lvlJc w:val="left"/>
      <w:lvlText w:val="(%1)"/>
      <w:numFmt w:val="decimal"/>
      <w:start w:val="1"/>
    </w:lvl>
  </w:abstractNum>
  <w:abstractNum w:abstractNumId="4">
    <w:nsid w:val="7FB7E0AA"/>
    <w:multiLevelType w:val="hybridMultilevel"/>
    <w:lvl w:ilvl="0">
      <w:lvlJc w:val="left"/>
      <w:lvlText w:val="(%1)"/>
      <w:numFmt w:val="decimal"/>
      <w:start w:val="3"/>
    </w:lvl>
  </w:abstractNum>
  <w:abstractNum w:abstractNumId="5">
    <w:nsid w:val="6EB5BD4"/>
    <w:multiLevelType w:val="hybridMultilevel"/>
    <w:lvl w:ilvl="0">
      <w:lvlJc w:val="left"/>
      <w:lvlText w:val="(%1)"/>
      <w:numFmt w:val="lowerLetter"/>
      <w:start w:val="1"/>
    </w:lvl>
  </w:abstractNum>
  <w:abstractNum w:abstractNumId="6">
    <w:nsid w:val="6F6DD9AC"/>
    <w:multiLevelType w:val="hybridMultilevel"/>
    <w:lvl w:ilvl="0">
      <w:lvlJc w:val="left"/>
      <w:lvlText w:val="(%1)"/>
      <w:numFmt w:val="lowerLetter"/>
      <w:start w:val="35"/>
    </w:lvl>
  </w:abstractNum>
  <w:abstractNum w:abstractNumId="7">
    <w:nsid w:val="94211F2"/>
    <w:multiLevelType w:val="hybridMultilevel"/>
    <w:lvl w:ilvl="0">
      <w:lvlJc w:val="left"/>
      <w:lvlText w:val="(%1)"/>
      <w:numFmt w:val="lowerLetter"/>
      <w:start w:val="1"/>
    </w:lvl>
  </w:abstractNum>
  <w:abstractNum w:abstractNumId="8">
    <w:nsid w:val="885E1B"/>
    <w:multiLevelType w:val="hybridMultilevel"/>
    <w:lvl w:ilvl="0">
      <w:lvlJc w:val="left"/>
      <w:lvlText w:val="(%1)"/>
      <w:numFmt w:val="lowerLetter"/>
      <w:start w:val="1"/>
    </w:lvl>
  </w:abstractNum>
  <w:abstractNum w:abstractNumId="9">
    <w:nsid w:val="76272110"/>
    <w:multiLevelType w:val="hybridMultilevel"/>
    <w:lvl w:ilvl="0">
      <w:lvlJc w:val="left"/>
      <w:lvlText w:val="(%1)"/>
      <w:numFmt w:val="lowerLetter"/>
      <w:start w:val="7"/>
    </w:lvl>
  </w:abstractNum>
  <w:abstractNum w:abstractNumId="10">
    <w:nsid w:val="4C04A8AF"/>
    <w:multiLevelType w:val="hybridMultilevel"/>
    <w:lvl w:ilvl="0">
      <w:lvlJc w:val="left"/>
      <w:lvlText w:val="(%1)"/>
      <w:numFmt w:val="lowerLetter"/>
      <w:start w:val="1"/>
    </w:lvl>
  </w:abstractNum>
  <w:abstractNum w:abstractNumId="11">
    <w:nsid w:val="1716703B"/>
    <w:multiLevelType w:val="hybridMultilevel"/>
    <w:lvl w:ilvl="0">
      <w:lvlJc w:val="left"/>
      <w:lvlText w:val="%1"/>
      <w:numFmt w:val="lowerLetter"/>
      <w:start w:val="1"/>
    </w:lvl>
    <w:lvl w:ilvl="1">
      <w:lvlJc w:val="left"/>
      <w:lvlText w:val="(%2)"/>
      <w:numFmt w:val="lowerLetter"/>
      <w:start w:val="3"/>
    </w:lvl>
  </w:abstractNum>
  <w:abstractNum w:abstractNumId="12">
    <w:nsid w:val="14E17E33"/>
    <w:multiLevelType w:val="hybridMultilevel"/>
    <w:lvl w:ilvl="0">
      <w:lvlJc w:val="left"/>
      <w:lvlText w:val="(%1)"/>
      <w:numFmt w:val="lowerLetter"/>
      <w:start w:val="9"/>
    </w:lvl>
    <w:lvl w:ilvl="1">
      <w:lvlJc w:val="left"/>
      <w:lvlText w:val="(%2)"/>
      <w:numFmt w:val="lowerLetter"/>
      <w:start w:val="4"/>
    </w:lvl>
  </w:abstractNum>
  <w:abstractNum w:abstractNumId="13">
    <w:nsid w:val="3222E7CD"/>
    <w:multiLevelType w:val="hybridMultilevel"/>
    <w:lvl w:ilvl="0">
      <w:lvlJc w:val="left"/>
      <w:lvlText w:val="(%1)"/>
      <w:numFmt w:val="lowerLetter"/>
      <w:start w:val="1"/>
    </w:lvl>
  </w:abstractNum>
  <w:abstractNum w:abstractNumId="14">
    <w:nsid w:val="74DE0EE3"/>
    <w:multiLevelType w:val="hybridMultilevel"/>
    <w:lvl w:ilvl="0">
      <w:lvlJc w:val="left"/>
      <w:lvlText w:val="(%1)"/>
      <w:numFmt w:val="lowerLetter"/>
      <w:start w:val="2"/>
    </w:lvl>
  </w:abstractNum>
  <w:abstractNum w:abstractNumId="15">
    <w:nsid w:val="68EBC550"/>
    <w:multiLevelType w:val="hybridMultilevel"/>
    <w:lvl w:ilvl="0">
      <w:lvlJc w:val="left"/>
      <w:lvlText w:val="(%1)"/>
      <w:numFmt w:val="lowerLetter"/>
      <w:start w:val="1"/>
    </w:lvl>
  </w:abstractNum>
  <w:abstractNum w:abstractNumId="16">
    <w:nsid w:val="2DF6D648"/>
    <w:multiLevelType w:val="hybridMultilevel"/>
    <w:lvl w:ilvl="0">
      <w:lvlJc w:val="left"/>
      <w:lvlText w:val="(%1)"/>
      <w:numFmt w:val="lowerLetter"/>
      <w:start w:val="2"/>
    </w:lvl>
  </w:abstractNum>
  <w:abstractNum w:abstractNumId="17">
    <w:nsid w:val="46B7D447"/>
    <w:multiLevelType w:val="hybridMultilevel"/>
    <w:lvl w:ilvl="0">
      <w:lvlJc w:val="left"/>
      <w:lvlText w:val="(%1)"/>
      <w:numFmt w:val="lowerLetter"/>
      <w:start w:val="1"/>
    </w:lvl>
  </w:abstractNum>
  <w:abstractNum w:abstractNumId="18">
    <w:nsid w:val="4A2AC315"/>
    <w:multiLevelType w:val="hybridMultilevel"/>
    <w:lvl w:ilvl="0">
      <w:lvlJc w:val="left"/>
      <w:lvlText w:val="(%1)"/>
      <w:numFmt w:val="lowerLetter"/>
      <w:start w:val="1"/>
    </w:lvl>
  </w:abstractNum>
  <w:abstractNum w:abstractNumId="19">
    <w:nsid w:val="39EE015C"/>
    <w:multiLevelType w:val="hybridMultilevel"/>
    <w:lvl w:ilvl="0">
      <w:lvlJc w:val="left"/>
      <w:lvlText w:val="(%1)"/>
      <w:numFmt w:val="lowerRoman"/>
      <w:start w:val="1"/>
    </w:lvl>
  </w:abstractNum>
  <w:abstractNum w:abstractNumId="20">
    <w:nsid w:val="57FC4FBB"/>
    <w:multiLevelType w:val="hybridMultilevel"/>
    <w:lvl w:ilvl="0">
      <w:lvlJc w:val="left"/>
      <w:lvlText w:val="(%1)"/>
      <w:numFmt w:val="lowerRoman"/>
      <w:start w:val="3"/>
    </w:lvl>
  </w:abstractNum>
  <w:abstractNum w:abstractNumId="21">
    <w:nsid w:val="CC1016F"/>
    <w:multiLevelType w:val="hybridMultilevel"/>
    <w:lvl w:ilvl="0">
      <w:lvlJc w:val="left"/>
      <w:lvlText w:val="(%1)"/>
      <w:numFmt w:val="lowerLetter"/>
      <w:start w:val="1"/>
    </w:lvl>
  </w:abstractNum>
  <w:abstractNum w:abstractNumId="22">
    <w:nsid w:val="43F18422"/>
    <w:multiLevelType w:val="hybridMultilevel"/>
    <w:lvl w:ilvl="0">
      <w:lvlJc w:val="left"/>
      <w:lvlText w:val="(%1)"/>
      <w:numFmt w:val="lowerLetter"/>
      <w:start w:val="1"/>
    </w:lvl>
    <w:lvl w:ilvl="1">
      <w:lvlJc w:val="left"/>
      <w:lvlText w:val="(%2)"/>
      <w:numFmt w:val="lowerRoman"/>
      <w:start w:val="1"/>
    </w:lvl>
  </w:abstractNum>
  <w:abstractNum w:abstractNumId="23">
    <w:nsid w:val="60EF0119"/>
    <w:multiLevelType w:val="hybridMultilevel"/>
    <w:lvl w:ilvl="0">
      <w:lvlJc w:val="left"/>
      <w:lvlText w:val="(%1)"/>
      <w:numFmt w:val="lowerLetter"/>
      <w:start w:val="3"/>
    </w:lvl>
  </w:abstractNum>
  <w:abstractNum w:abstractNumId="24">
    <w:nsid w:val="26F324BA"/>
    <w:multiLevelType w:val="hybridMultilevel"/>
    <w:lvl w:ilvl="0">
      <w:lvlJc w:val="left"/>
      <w:lvlText w:val="(%1)"/>
      <w:numFmt w:val="lowerLetter"/>
      <w:start w:val="1"/>
    </w:lvl>
  </w:abstractNum>
  <w:abstractNum w:abstractNumId="25">
    <w:nsid w:val="7F01579B"/>
    <w:multiLevelType w:val="hybridMultilevel"/>
    <w:lvl w:ilvl="0">
      <w:lvlJc w:val="left"/>
      <w:lvlText w:val="(%1)"/>
      <w:numFmt w:val="lowerLetter"/>
      <w:start w:val="3"/>
    </w:lvl>
  </w:abstractNum>
  <w:abstractNum w:abstractNumId="26">
    <w:nsid w:val="49DA307D"/>
    <w:multiLevelType w:val="hybridMultilevel"/>
    <w:lvl w:ilvl="0">
      <w:lvlJc w:val="left"/>
      <w:lvlText w:val="(%1)"/>
      <w:numFmt w:val="lowerLetter"/>
      <w:start w:val="1"/>
    </w:lvl>
  </w:abstractNum>
  <w:abstractNum w:abstractNumId="27">
    <w:nsid w:val="7055A5F5"/>
    <w:multiLevelType w:val="hybridMultilevel"/>
    <w:lvl w:ilvl="0">
      <w:lvlJc w:val="left"/>
      <w:lvlText w:val="%1"/>
      <w:numFmt w:val="decimal"/>
      <w:start w:val="1"/>
    </w:lvl>
    <w:lvl w:ilvl="1">
      <w:lvlJc w:val="left"/>
      <w:lvlText w:val="(%2)"/>
      <w:numFmt w:val="lowerLetter"/>
      <w:start w:val="1"/>
    </w:lvl>
  </w:abstractNum>
  <w:abstractNum w:abstractNumId="28">
    <w:nsid w:val="5FB8370B"/>
    <w:multiLevelType w:val="hybridMultilevel"/>
    <w:lvl w:ilvl="0">
      <w:lvlJc w:val="left"/>
      <w:lvlText w:val="(%1)"/>
      <w:numFmt w:val="decimal"/>
      <w:start w:val="3"/>
    </w:lvl>
    <w:lvl w:ilvl="1">
      <w:lvlJc w:val="left"/>
      <w:lvlText w:val="%2"/>
      <w:numFmt w:val="lowerLetter"/>
      <w:start w:val="1"/>
    </w:lvl>
  </w:abstractNum>
  <w:abstractNum w:abstractNumId="29">
    <w:nsid w:val="50801EE1"/>
    <w:multiLevelType w:val="hybridMultilevel"/>
    <w:lvl w:ilvl="0">
      <w:lvlJc w:val="left"/>
      <w:lvlText w:val="(%1)"/>
      <w:numFmt w:val="lowerLetter"/>
      <w:start w:val="2"/>
    </w:lvl>
  </w:abstractNum>
  <w:abstractNum w:abstractNumId="30">
    <w:nsid w:val="488AC1A"/>
    <w:multiLevelType w:val="hybridMultilevel"/>
    <w:lvl w:ilvl="0">
      <w:lvlJc w:val="left"/>
      <w:lvlText w:val="(%1)"/>
      <w:numFmt w:val="lowerLetter"/>
      <w:start w:val="1"/>
    </w:lvl>
    <w:lvl w:ilvl="1">
      <w:lvlJc w:val="left"/>
      <w:lvlText w:val="(%2)"/>
      <w:numFmt w:val="lowerLetter"/>
      <w:start w:val="9"/>
    </w:lvl>
  </w:abstractNum>
  <w:abstractNum w:abstractNumId="31">
    <w:nsid w:val="5FB8011C"/>
    <w:multiLevelType w:val="hybridMultilevel"/>
    <w:lvl w:ilvl="0">
      <w:lvlJc w:val="left"/>
      <w:lvlText w:val="%1"/>
      <w:numFmt w:val="lowerLetter"/>
      <w:start w:val="1"/>
    </w:lvl>
    <w:lvl w:ilvl="1">
      <w:lvlJc w:val="left"/>
      <w:lvlText w:val="(%2)"/>
      <w:numFmt w:val="lowerRoman"/>
      <w:start w:val="2"/>
    </w:lvl>
  </w:abstractNum>
  <w:abstractNum w:abstractNumId="32">
    <w:nsid w:val="6AA78F7F"/>
    <w:multiLevelType w:val="hybridMultilevel"/>
    <w:lvl w:ilvl="0">
      <w:lvlJc w:val="left"/>
      <w:lvlText w:val="(%1)"/>
      <w:numFmt w:val="lowerLetter"/>
      <w:start w:val="2"/>
    </w:lvl>
    <w:lvl w:ilvl="1">
      <w:lvlJc w:val="left"/>
      <w:lvlText w:val="%2"/>
      <w:numFmt w:val="lowerRoman"/>
      <w:start w:val="1"/>
    </w:lvl>
  </w:abstractNum>
  <w:abstractNum w:abstractNumId="33">
    <w:nsid w:val="7672BD23"/>
    <w:multiLevelType w:val="hybridMultilevel"/>
    <w:lvl w:ilvl="0">
      <w:lvlJc w:val="left"/>
      <w:lvlText w:val="(%1)"/>
      <w:numFmt w:val="lowerLetter"/>
      <w:start w:val="1"/>
    </w:lvl>
  </w:abstractNum>
  <w:abstractNum w:abstractNumId="34">
    <w:nsid w:val="6FC75AF8"/>
    <w:multiLevelType w:val="hybridMultilevel"/>
    <w:lvl w:ilvl="0">
      <w:lvlJc w:val="left"/>
      <w:lvlText w:val="(%1)"/>
      <w:numFmt w:val="lowerLetter"/>
      <w:start w:val="8"/>
    </w:lvl>
  </w:abstractNum>
  <w:abstractNum w:abstractNumId="35">
    <w:nsid w:val="6A5F7029"/>
    <w:multiLevelType w:val="hybridMultilevel"/>
    <w:lvl w:ilvl="0">
      <w:lvlJc w:val="left"/>
      <w:lvlText w:val="(%1)"/>
      <w:numFmt w:val="lowerRoman"/>
      <w:start w:val="1"/>
    </w:lvl>
  </w:abstractNum>
  <w:abstractNum w:abstractNumId="36">
    <w:nsid w:val="7D5E18F8"/>
    <w:multiLevelType w:val="hybridMultilevel"/>
    <w:lvl w:ilvl="0">
      <w:lvlJc w:val="left"/>
      <w:lvlText w:val="(%1)"/>
      <w:numFmt w:val="lowerLetter"/>
      <w:start w:val="1"/>
    </w:lvl>
  </w:abstractNum>
  <w:abstractNum w:abstractNumId="37">
    <w:nsid w:val="5F3534A4"/>
    <w:multiLevelType w:val="hybridMultilevel"/>
    <w:lvl w:ilvl="0">
      <w:lvlJc w:val="left"/>
      <w:lvlText w:val="(%1)"/>
      <w:numFmt w:val="lowerRoman"/>
      <w:start w:val="1"/>
    </w:lvl>
  </w:abstractNum>
  <w:abstractNum w:abstractNumId="38">
    <w:nsid w:val="73A1821B"/>
    <w:multiLevelType w:val="hybridMultilevel"/>
    <w:lvl w:ilvl="0">
      <w:lvlJc w:val="left"/>
      <w:lvlText w:val="(%1)"/>
      <w:numFmt w:val="lowerLetter"/>
      <w:start w:val="1"/>
    </w:lvl>
  </w:abstractNum>
  <w:abstractNum w:abstractNumId="39">
    <w:nsid w:val="7DE67713"/>
    <w:multiLevelType w:val="hybridMultilevel"/>
    <w:lvl w:ilvl="0">
      <w:lvlJc w:val="left"/>
      <w:lvlText w:val="(%1)"/>
      <w:numFmt w:val="lowerLetter"/>
      <w:start w:val="1"/>
    </w:lvl>
  </w:abstractNum>
  <w:abstractNum w:abstractNumId="40">
    <w:nsid w:val="555C55B5"/>
    <w:multiLevelType w:val="hybridMultilevel"/>
    <w:lvl w:ilvl="0">
      <w:lvlJc w:val="left"/>
      <w:lvlText w:val="(%1)"/>
      <w:numFmt w:val="lowerLetter"/>
      <w:start w:val="2"/>
    </w:lvl>
  </w:abstractNum>
  <w:abstractNum w:abstractNumId="41">
    <w:nsid w:val="3FA62ACA"/>
    <w:multiLevelType w:val="hybridMultilevel"/>
    <w:lvl w:ilvl="0">
      <w:lvlJc w:val="left"/>
      <w:lvlText w:val="(%1)"/>
      <w:numFmt w:val="lowerLetter"/>
      <w:start w:val="1"/>
    </w:lvl>
  </w:abstractNum>
  <w:abstractNum w:abstractNumId="42">
    <w:nsid w:val="14FCE74E"/>
    <w:multiLevelType w:val="hybridMultilevel"/>
    <w:lvl w:ilvl="0">
      <w:lvlJc w:val="left"/>
      <w:lvlText w:val="(%1)"/>
      <w:numFmt w:val="lowerLetter"/>
      <w:start w:val="2"/>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45">
    <w:nsid w:val="9DAF632"/>
    <w:multiLevelType w:val="hybridMultilevel"/>
    <w:lvl w:ilvl="0">
      <w:lvlJc w:val="left"/>
      <w:lvlText w:val="(%1)"/>
      <w:numFmt w:val="upperLetter"/>
      <w:start w:val="3"/>
    </w:lvl>
  </w:abstractNum>
  <w:abstractNum w:abstractNumId="46">
    <w:nsid w:val="53299938"/>
    <w:multiLevelType w:val="hybridMultilevel"/>
    <w:lvl w:ilvl="0">
      <w:lvlJc w:val="left"/>
      <w:lvlText w:val="(%1)"/>
      <w:numFmt w:val="lowerLetter"/>
      <w:start w:val="5"/>
    </w:lvl>
  </w:abstractNum>
  <w:abstractNum w:abstractNumId="47">
    <w:nsid w:val="1FBFE8E0"/>
    <w:multiLevelType w:val="hybridMultilevel"/>
    <w:lvl w:ilvl="0">
      <w:lvlJc w:val="left"/>
      <w:lvlText w:val="(%1)"/>
      <w:numFmt w:val="lowerLetter"/>
      <w:start w:val="6"/>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1)"/>
      <w:numFmt w:val="lowerLetter"/>
      <w:start w:val="3"/>
    </w:lvl>
  </w:abstractNum>
  <w:abstractNum w:abstractNumId="50">
    <w:nsid w:val="59ADEA3D"/>
    <w:multiLevelType w:val="hybridMultilevel"/>
    <w:lvl w:ilvl="0">
      <w:lvlJc w:val="left"/>
      <w:lvlText w:val="(%1)"/>
      <w:numFmt w:val="lowerLetter"/>
      <w:start w:val="1"/>
    </w:lvl>
  </w:abstractNum>
  <w:abstractNum w:abstractNumId="51">
    <w:nsid w:val="288F1A34"/>
    <w:multiLevelType w:val="hybridMultilevel"/>
    <w:lvl w:ilvl="0">
      <w:lvlJc w:val="left"/>
      <w:lvlText w:val="(%1)"/>
      <w:numFmt w:val="lowerLetter"/>
      <w:start w:val="61"/>
    </w:lvl>
    <w:lvl w:ilvl="1">
      <w:lvlJc w:val="left"/>
      <w:lvlText w:val="%2"/>
      <w:numFmt w:val="lowerLetter"/>
      <w:start w:val="1"/>
    </w:lvl>
  </w:abstractNum>
  <w:abstractNum w:abstractNumId="52">
    <w:nsid w:val="2A155DBC"/>
    <w:multiLevelType w:val="hybridMultilevel"/>
    <w:lvl w:ilvl="0">
      <w:lvlJc w:val="left"/>
      <w:lvlText w:val="(%1)"/>
      <w:numFmt w:val="lowerLetter"/>
      <w:start w:val="25"/>
    </w:lvl>
    <w:lvl w:ilvl="1">
      <w:lvlJc w:val="left"/>
      <w:lvlText w:val="(%2)"/>
      <w:numFmt w:val="lowerLetter"/>
      <w:start w:val="2"/>
    </w:lvl>
  </w:abstractNum>
  <w:abstractNum w:abstractNumId="53">
    <w:nsid w:val="1D9F6E5F"/>
    <w:multiLevelType w:val="hybridMultilevel"/>
    <w:lvl w:ilvl="0">
      <w:lvlJc w:val="left"/>
      <w:lvlText w:val="(%1)"/>
      <w:numFmt w:val="lowerRoman"/>
      <w:start w:val="1"/>
    </w:lvl>
  </w:abstractNum>
  <w:abstractNum w:abstractNumId="54">
    <w:nsid w:val="97E1B4E"/>
    <w:multiLevelType w:val="hybridMultilevel"/>
    <w:lvl w:ilvl="0">
      <w:lvlJc w:val="left"/>
      <w:lvlText w:val="(%1)"/>
      <w:numFmt w:val="lowerRoman"/>
      <w:start w:val="3"/>
    </w:lvl>
    <w:lvl w:ilvl="1">
      <w:lvlJc w:val="left"/>
      <w:lvlText w:val="(%2)"/>
      <w:numFmt w:val="upperLetter"/>
      <w:start w:val="1"/>
    </w:lvl>
  </w:abstractNum>
  <w:abstractNum w:abstractNumId="55">
    <w:nsid w:val="51088277"/>
    <w:multiLevelType w:val="hybridMultilevel"/>
    <w:lvl w:ilvl="0">
      <w:lvlJc w:val="left"/>
      <w:lvlText w:val="%1"/>
      <w:numFmt w:val="lowerRoman"/>
      <w:start w:val="1"/>
    </w:lvl>
    <w:lvl w:ilvl="1">
      <w:lvlJc w:val="left"/>
      <w:lvlText w:val="(%2)"/>
      <w:numFmt w:val="upperLetter"/>
      <w:start w:val="2"/>
    </w:lvl>
  </w:abstractNum>
  <w:abstractNum w:abstractNumId="56">
    <w:nsid w:val="1CA0C5FA"/>
    <w:multiLevelType w:val="hybridMultilevel"/>
    <w:lvl w:ilvl="0">
      <w:lvlJc w:val="left"/>
      <w:lvlText w:val="%1"/>
      <w:numFmt w:val="lowerLetter"/>
      <w:start w:val="1"/>
    </w:lvl>
    <w:lvl w:ilvl="1">
      <w:lvlJc w:val="left"/>
      <w:lvlText w:val="(%2)"/>
      <w:numFmt w:val="upperLetter"/>
      <w:start w:val="3"/>
    </w:lvl>
  </w:abstractNum>
  <w:abstractNum w:abstractNumId="57">
    <w:nsid w:val="53584BCB"/>
    <w:multiLevelType w:val="hybridMultilevel"/>
    <w:lvl w:ilvl="0">
      <w:lvlJc w:val="left"/>
      <w:lvlText w:val="(%1)"/>
      <w:numFmt w:val="lowerLetter"/>
      <w:start w:val="1"/>
    </w:lvl>
    <w:lvl w:ilvl="1">
      <w:lvlJc w:val="left"/>
      <w:lvlText w:val="%2"/>
      <w:numFmt w:val="upperLetter"/>
      <w:start w:val="1"/>
    </w:lvl>
  </w:abstractNum>
  <w:abstractNum w:abstractNumId="58">
    <w:nsid w:val="415E286C"/>
    <w:multiLevelType w:val="hybridMultilevel"/>
    <w:lvl w:ilvl="0">
      <w:lvlJc w:val="left"/>
      <w:lvlText w:val="(%1)"/>
      <w:numFmt w:val="lowerLetter"/>
      <w:start w:val="1"/>
    </w:lvl>
  </w:abstractNum>
  <w:abstractNum w:abstractNumId="59">
    <w:nsid w:val="7C58FD05"/>
    <w:multiLevelType w:val="hybridMultilevel"/>
    <w:lvl w:ilvl="0">
      <w:lvlJc w:val="left"/>
      <w:lvlText w:val="(%1)"/>
      <w:numFmt w:val="lowerLetter"/>
      <w:start w:val="2"/>
    </w:lvl>
  </w:abstractNum>
  <w:abstractNum w:abstractNumId="60">
    <w:nsid w:val="23D86AAC"/>
    <w:multiLevelType w:val="hybridMultilevel"/>
    <w:lvl w:ilvl="0">
      <w:lvlJc w:val="left"/>
      <w:lvlText w:val="(%1)"/>
      <w:numFmt w:val="lowerLetter"/>
      <w:start w:val="1"/>
    </w:lvl>
  </w:abstractNum>
  <w:abstractNum w:abstractNumId="61">
    <w:nsid w:val="45E6D486"/>
    <w:multiLevelType w:val="hybridMultilevel"/>
    <w:lvl w:ilvl="0">
      <w:lvlJc w:val="left"/>
      <w:lvlText w:val="(%1)"/>
      <w:numFmt w:val="lowerLetter"/>
      <w:start w:val="2"/>
    </w:lvl>
  </w:abstractNum>
  <w:abstractNum w:abstractNumId="62">
    <w:nsid w:val="5C10FE21"/>
    <w:multiLevelType w:val="hybridMultilevel"/>
    <w:lvl w:ilvl="0">
      <w:lvlJc w:val="left"/>
      <w:lvlText w:val="(%1)"/>
      <w:numFmt w:val="lowerLetter"/>
      <w:start w:val="35"/>
    </w:lvl>
    <w:lvl w:ilvl="1">
      <w:lvlJc w:val="left"/>
      <w:lvlText w:val="(%2)"/>
      <w:numFmt w:val="lowerLetter"/>
      <w:start w:val="4"/>
    </w:lvl>
  </w:abstractNum>
  <w:abstractNum w:abstractNumId="63">
    <w:nsid w:val="E7FFA2B"/>
    <w:multiLevelType w:val="hybridMultilevel"/>
    <w:lvl w:ilvl="0">
      <w:lvlJc w:val="left"/>
      <w:lvlText w:val="(%1)"/>
      <w:numFmt w:val="lowerLetter"/>
      <w:start w:val="5"/>
    </w:lvl>
  </w:abstractNum>
  <w:abstractNum w:abstractNumId="64">
    <w:nsid w:val="3C5991AA"/>
    <w:multiLevelType w:val="hybridMultilevel"/>
    <w:lvl w:ilvl="0">
      <w:lvlJc w:val="left"/>
      <w:lvlText w:val="(%1)"/>
      <w:numFmt w:val="lowerLetter"/>
      <w:start w:val="6"/>
    </w:lvl>
  </w:abstractNum>
  <w:abstractNum w:abstractNumId="65">
    <w:nsid w:val="4BD8591A"/>
    <w:multiLevelType w:val="hybridMultilevel"/>
    <w:lvl w:ilvl="0">
      <w:lvlJc w:val="left"/>
      <w:lvlText w:val="(%1)"/>
      <w:numFmt w:val="lowerRoman"/>
      <w:start w:val="1"/>
    </w:lvl>
  </w:abstractNum>
  <w:abstractNum w:abstractNumId="66">
    <w:nsid w:val="78DF6A55"/>
    <w:multiLevelType w:val="hybridMultilevel"/>
    <w:lvl w:ilvl="0">
      <w:lvlJc w:val="left"/>
      <w:lvlText w:val="(%1)"/>
      <w:numFmt w:val="lowerLetter"/>
      <w:start w:val="10"/>
    </w:lvl>
  </w:abstractNum>
  <w:abstractNum w:abstractNumId="67">
    <w:nsid w:val="39B7AAA2"/>
    <w:multiLevelType w:val="hybridMultilevel"/>
    <w:lvl w:ilvl="0">
      <w:lvlJc w:val="left"/>
      <w:lvlText w:val="(%1)"/>
      <w:numFmt w:val="lowerLetter"/>
      <w:start w:val="1"/>
    </w:lvl>
    <w:lvl w:ilvl="1">
      <w:lvlJc w:val="left"/>
      <w:lvlText w:val="(%2)"/>
      <w:numFmt w:val="lowerRoman"/>
      <w:start w:val="1"/>
    </w:lvl>
  </w:abstractNum>
  <w:abstractNum w:abstractNumId="68">
    <w:nsid w:val="2B0D8DBE"/>
    <w:multiLevelType w:val="hybridMultilevel"/>
    <w:lvl w:ilvl="0">
      <w:lvlJc w:val="left"/>
      <w:lvlText w:val="(%1)"/>
      <w:numFmt w:val="lowerLetter"/>
      <w:start w:val="3"/>
    </w:lvl>
  </w:abstractNum>
  <w:abstractNum w:abstractNumId="69">
    <w:nsid w:val="6C80EC70"/>
    <w:multiLevelType w:val="hybridMultilevel"/>
    <w:lvl w:ilvl="0">
      <w:lvlJc w:val="left"/>
      <w:lvlText w:val="(%1)"/>
      <w:numFmt w:val="lowerLetter"/>
      <w:start w:val="1"/>
    </w:lvl>
  </w:abstractNum>
  <w:abstractNum w:abstractNumId="70">
    <w:nsid w:val="379E21B5"/>
    <w:multiLevelType w:val="hybridMultilevel"/>
    <w:lvl w:ilvl="0">
      <w:lvlJc w:val="left"/>
      <w:lvlText w:val="(%1)"/>
      <w:numFmt w:val="lowerLetter"/>
      <w:start w:val="1"/>
    </w:lvl>
  </w:abstractNum>
  <w:abstractNum w:abstractNumId="71">
    <w:nsid w:val="69E373"/>
    <w:multiLevelType w:val="hybridMultilevel"/>
    <w:lvl w:ilvl="0">
      <w:lvlJc w:val="left"/>
      <w:lvlText w:val="(%1)"/>
      <w:numFmt w:val="lowerLetter"/>
      <w:start w:val="35"/>
    </w:lvl>
    <w:lvl w:ilvl="1">
      <w:lvlJc w:val="left"/>
      <w:lvlText w:val="(%2)"/>
      <w:numFmt w:val="lowerLetter"/>
      <w:start w:val="1"/>
    </w:lvl>
  </w:abstractNum>
  <w:abstractNum w:abstractNumId="72">
    <w:nsid w:val="2C27173B"/>
    <w:multiLevelType w:val="hybridMultilevel"/>
    <w:lvl w:ilvl="0">
      <w:lvlJc w:val="left"/>
      <w:lvlText w:val="(%1)"/>
      <w:numFmt w:val="lowerLetter"/>
      <w:start w:val="1"/>
    </w:lvl>
  </w:abstractNum>
  <w:abstractNum w:abstractNumId="73">
    <w:nsid w:val="4C9B0904"/>
    <w:multiLevelType w:val="hybridMultilevel"/>
    <w:lvl w:ilvl="0">
      <w:lvlJc w:val="left"/>
      <w:lvlText w:val="(%1)"/>
      <w:numFmt w:val="lowerLetter"/>
      <w:start w:val="6"/>
    </w:lvl>
  </w:abstractNum>
  <w:abstractNum w:abstractNumId="74">
    <w:nsid w:val="6AA7B7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5">
    <w:nsid w:val="1DF029D3"/>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76">
    <w:nsid w:val="5675FF36"/>
    <w:multiLevelType w:val="hybridMultilevel"/>
    <w:lvl w:ilvl="0">
      <w:lvlJc w:val="left"/>
      <w:lvlText w:val="(%1)"/>
      <w:numFmt w:val="lowerLetter"/>
      <w:start w:val="3"/>
    </w:lvl>
  </w:abstractNum>
  <w:abstractNum w:abstractNumId="77">
    <w:nsid w:val="3DD15094"/>
    <w:multiLevelType w:val="hybridMultilevel"/>
    <w:lvl w:ilvl="0">
      <w:lvlJc w:val="left"/>
      <w:lvlText w:val="(%1)"/>
      <w:numFmt w:val="lowerLetter"/>
      <w:start w:val="1"/>
    </w:lvl>
  </w:abstractNum>
  <w:abstractNum w:abstractNumId="78">
    <w:nsid w:val="3DB012B3"/>
    <w:multiLevelType w:val="hybridMultilevel"/>
    <w:lvl w:ilvl="0">
      <w:lvlJc w:val="left"/>
      <w:lvlText w:val="(%1)"/>
      <w:numFmt w:val="lowerLetter"/>
      <w:start w:val="1"/>
    </w:lvl>
    <w:lvl w:ilvl="1">
      <w:lvlJc w:val="left"/>
      <w:lvlText w:val="(%2)"/>
      <w:numFmt w:val="lowerLetter"/>
      <w:start w:val="7"/>
    </w:lvl>
  </w:abstractNum>
  <w:abstractNum w:abstractNumId="79">
    <w:nsid w:val="2708C9AF"/>
    <w:multiLevelType w:val="hybridMultilevel"/>
    <w:lvl w:ilvl="0">
      <w:lvlJc w:val="left"/>
      <w:lvlText w:val="(%1)"/>
      <w:numFmt w:val="lowerLetter"/>
      <w:start w:val="8"/>
    </w:lvl>
  </w:abstractNum>
  <w:abstractNum w:abstractNumId="80">
    <w:nsid w:val="5B25ACE2"/>
    <w:multiLevelType w:val="hybridMultilevel"/>
    <w:lvl w:ilvl="0">
      <w:lvlJc w:val="left"/>
      <w:lvlText w:val="(%1)"/>
      <w:numFmt w:val="lowerLetter"/>
      <w:start w:val="1"/>
    </w:lvl>
  </w:abstractNum>
  <w:abstractNum w:abstractNumId="81">
    <w:nsid w:val="175DFCF0"/>
    <w:multiLevelType w:val="hybridMultilevel"/>
    <w:lvl w:ilvl="0">
      <w:lvlJc w:val="left"/>
      <w:lvlText w:val="%1"/>
      <w:numFmt w:val="lowerLetter"/>
      <w:start w:val="1"/>
    </w:lvl>
    <w:lvl w:ilvl="1">
      <w:lvlJc w:val="left"/>
      <w:lvlText w:val="(%2)"/>
      <w:numFmt w:val="lowerLetter"/>
      <w:start w:val="1"/>
    </w:lvl>
  </w:abstractNum>
  <w:abstractNum w:abstractNumId="82">
    <w:nsid w:val="4F97E3E4"/>
    <w:multiLevelType w:val="hybridMultilevel"/>
    <w:lvl w:ilvl="0">
      <w:lvlJc w:val="left"/>
      <w:lvlText w:val="(%1)"/>
      <w:numFmt w:val="lowerLetter"/>
      <w:start w:val="35"/>
    </w:lvl>
    <w:lvl w:ilvl="1">
      <w:lvlJc w:val="left"/>
      <w:lvlText w:val="(%2)"/>
      <w:numFmt w:val="lowerLetter"/>
      <w:start w:val="2"/>
    </w:lvl>
  </w:abstractNum>
  <w:abstractNum w:abstractNumId="83">
    <w:nsid w:val="53B0A9E"/>
    <w:multiLevelType w:val="hybridMultilevel"/>
    <w:lvl w:ilvl="0">
      <w:lvlJc w:val="left"/>
      <w:lvlText w:val="(%1)"/>
      <w:numFmt w:val="lowerLetter"/>
      <w:start w:val="4"/>
    </w:lvl>
  </w:abstractNum>
  <w:abstractNum w:abstractNumId="84">
    <w:nsid w:val="34FD6B4F"/>
    <w:multiLevelType w:val="hybridMultilevel"/>
    <w:lvl w:ilvl="0">
      <w:lvlJc w:val="left"/>
      <w:lvlText w:val="(%1)"/>
      <w:numFmt w:val="lowerLetter"/>
      <w:start w:val="1"/>
    </w:lvl>
  </w:abstractNum>
  <w:abstractNum w:abstractNumId="85">
    <w:nsid w:val="5915FF32"/>
    <w:multiLevelType w:val="hybridMultilevel"/>
    <w:lvl w:ilvl="0">
      <w:lvlJc w:val="left"/>
      <w:lvlText w:val="(%1)"/>
      <w:numFmt w:val="lowerLetter"/>
      <w:start w:val="3"/>
    </w:lvl>
  </w:abstractNum>
  <w:abstractNum w:abstractNumId="86">
    <w:nsid w:val="56438D15"/>
    <w:multiLevelType w:val="hybridMultilevel"/>
    <w:lvl w:ilvl="0">
      <w:lvlJc w:val="left"/>
      <w:lvlText w:val="(%1)"/>
      <w:numFmt w:val="lowerLetter"/>
      <w:start w:val="2"/>
    </w:lvl>
  </w:abstractNum>
  <w:abstractNum w:abstractNumId="87">
    <w:nsid w:val="519E3149"/>
    <w:multiLevelType w:val="hybridMultilevel"/>
    <w:lvl w:ilvl="0">
      <w:lvlJc w:val="left"/>
      <w:lvlText w:val="(%1)"/>
      <w:numFmt w:val="lowerLetter"/>
      <w:start w:val="1"/>
    </w:lvl>
  </w:abstractNum>
  <w:abstractNum w:abstractNumId="88">
    <w:nsid w:val="2C6E4AFD"/>
    <w:multiLevelType w:val="hybridMultilevel"/>
    <w:lvl w:ilvl="0">
      <w:lvlJc w:val="left"/>
      <w:lvlText w:val="(%1)"/>
      <w:numFmt w:val="lowerRoman"/>
      <w:start w:val="1"/>
    </w:lvl>
  </w:abstractNum>
  <w:abstractNum w:abstractNumId="89">
    <w:nsid w:val="17A1B582"/>
    <w:multiLevelType w:val="hybridMultilevel"/>
    <w:lvl w:ilvl="0">
      <w:lvlJc w:val="left"/>
      <w:lvlText w:val="(%1)"/>
      <w:numFmt w:val="lowerRoman"/>
      <w:start w:val="2"/>
    </w:lvl>
  </w:abstractNum>
  <w:abstractNum w:abstractNumId="90">
    <w:nsid w:val="4DF72E4E"/>
    <w:multiLevelType w:val="hybridMultilevel"/>
    <w:lvl w:ilvl="0">
      <w:lvlJc w:val="left"/>
      <w:lvlText w:val="(%1)"/>
      <w:numFmt w:val="lowerLetter"/>
      <w:start w:val="1"/>
    </w:lvl>
    <w:lvl w:ilvl="1">
      <w:lvlJc w:val="left"/>
      <w:lvlText w:val="(%2)"/>
      <w:numFmt w:val="lowerRoman"/>
      <w:start w:val="1"/>
    </w:lvl>
  </w:abstractNum>
  <w:abstractNum w:abstractNumId="91">
    <w:nsid w:val="5046B5A9"/>
    <w:multiLevelType w:val="hybridMultilevel"/>
    <w:lvl w:ilvl="0">
      <w:lvlJc w:val="left"/>
      <w:lvlText w:val="(%1)"/>
      <w:numFmt w:val="lowerLetter"/>
      <w:start w:val="3"/>
    </w:lvl>
    <w:lvl w:ilvl="1">
      <w:lvlJc w:val="left"/>
      <w:lvlText w:val="(%2)"/>
      <w:numFmt w:val="lowerRoman"/>
      <w:start w:val="1"/>
    </w:lvl>
  </w:abstractNum>
  <w:abstractNum w:abstractNumId="92">
    <w:nsid w:val="5D888A08"/>
    <w:multiLevelType w:val="hybridMultilevel"/>
    <w:lvl w:ilvl="0">
      <w:lvlJc w:val="left"/>
      <w:lvlText w:val="%1"/>
      <w:numFmt w:val="lowerLetter"/>
      <w:start w:val="1"/>
    </w:lvl>
    <w:lvl w:ilvl="1">
      <w:lvlJc w:val="left"/>
      <w:lvlText w:val="(%2)"/>
      <w:numFmt w:val="lowerLetter"/>
      <w:start w:val="1"/>
    </w:lvl>
  </w:abstractNum>
  <w:abstractNum w:abstractNumId="93">
    <w:nsid w:val="2A082C70"/>
    <w:multiLevelType w:val="hybridMultilevel"/>
    <w:lvl w:ilvl="0">
      <w:lvlJc w:val="left"/>
      <w:lvlText w:val="(%1)"/>
      <w:numFmt w:val="lowerLetter"/>
      <w:start w:val="35"/>
    </w:lvl>
    <w:lvl w:ilvl="1">
      <w:lvlJc w:val="left"/>
      <w:lvlText w:val="(%2)"/>
      <w:numFmt w:val="lowerLetter"/>
      <w:start w:val="4"/>
    </w:lvl>
  </w:abstractNum>
  <w:abstractNum w:abstractNumId="94">
    <w:nsid w:val="5EC6AFD4"/>
    <w:multiLevelType w:val="hybridMultilevel"/>
    <w:lvl w:ilvl="0">
      <w:lvlJc w:val="left"/>
      <w:lvlText w:val="(%1)"/>
      <w:numFmt w:val="lowerLetter"/>
      <w:start w:val="5"/>
    </w:lvl>
  </w:abstractNum>
  <w:abstractNum w:abstractNumId="95">
    <w:nsid w:val="19E21BB2"/>
    <w:multiLevelType w:val="hybridMultilevel"/>
    <w:lvl w:ilvl="0">
      <w:lvlJc w:val="left"/>
      <w:lvlText w:val="(%1)"/>
      <w:numFmt w:val="lowerLetter"/>
      <w:start w:val="13"/>
    </w:lvl>
  </w:abstractNum>
  <w:abstractNum w:abstractNumId="96">
    <w:nsid w:val="75E0858A"/>
    <w:multiLevelType w:val="hybridMultilevel"/>
    <w:lvl w:ilvl="0">
      <w:lvlJc w:val="left"/>
      <w:lvlText w:val="(%1)"/>
      <w:numFmt w:val="lowerLetter"/>
      <w:start w:val="1"/>
    </w:lvl>
  </w:abstractNum>
  <w:abstractNum w:abstractNumId="97">
    <w:nsid w:val="57A61A29"/>
    <w:multiLevelType w:val="hybridMultilevel"/>
    <w:lvl w:ilvl="0">
      <w:lvlJc w:val="left"/>
      <w:lvlText w:val="(%1)"/>
      <w:numFmt w:val="lowerLetter"/>
      <w:start w:val="2"/>
    </w:lvl>
  </w:abstractNum>
  <w:abstractNum w:abstractNumId="98">
    <w:nsid w:val="5399C654"/>
    <w:multiLevelType w:val="hybridMultilevel"/>
    <w:lvl w:ilvl="0">
      <w:lvlJc w:val="left"/>
      <w:lvlText w:val="(%1)"/>
      <w:numFmt w:val="lowerLetter"/>
      <w:start w:val="9"/>
    </w:lvl>
  </w:abstractNum>
  <w:abstractNum w:abstractNumId="99">
    <w:nsid w:val="20EE1348"/>
    <w:multiLevelType w:val="hybridMultilevel"/>
    <w:lvl w:ilvl="0">
      <w:lvlJc w:val="left"/>
      <w:lvlText w:val="(%1)"/>
      <w:numFmt w:val="lowerRoman"/>
      <w:start w:val="1"/>
    </w:lvl>
  </w:abstractNum>
  <w:abstractNum w:abstractNumId="100">
    <w:nsid w:val="4427069A"/>
    <w:multiLevelType w:val="hybridMultilevel"/>
    <w:lvl w:ilvl="0">
      <w:lvlJc w:val="left"/>
      <w:lvlText w:val="(%1)"/>
      <w:numFmt w:val="lowerLetter"/>
      <w:start w:val="2"/>
    </w:lvl>
  </w:abstractNum>
  <w:abstractNum w:abstractNumId="101">
    <w:nsid w:val="B37E80A"/>
    <w:multiLevelType w:val="hybridMultilevel"/>
    <w:lvl w:ilvl="0">
      <w:lvlJc w:val="left"/>
      <w:lvlText w:val="(%1)"/>
      <w:numFmt w:val="lowerLetter"/>
      <w:start w:val="1"/>
    </w:lvl>
  </w:abstractNum>
  <w:abstractNum w:abstractNumId="102">
    <w:nsid w:val="2157F6BC"/>
    <w:multiLevelType w:val="hybridMultilevel"/>
    <w:lvl w:ilvl="0">
      <w:lvlJc w:val="left"/>
      <w:lvlText w:val="(%1)"/>
      <w:numFmt w:val="lowerLetter"/>
      <w:start w:val="3"/>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1)"/>
      <w:numFmt w:val="lowerLetter"/>
      <w:start w:val="2"/>
    </w:lvl>
  </w:abstractNum>
  <w:abstractNum w:abstractNumId="105">
    <w:nsid w:val="BFFAE18"/>
    <w:multiLevelType w:val="hybridMultilevel"/>
    <w:lvl w:ilvl="0">
      <w:lvlJc w:val="left"/>
      <w:lvlText w:val="(%1)"/>
      <w:numFmt w:val="lowerLetter"/>
      <w:start w:val="1"/>
    </w:lvl>
  </w:abstractNum>
  <w:abstractNum w:abstractNumId="106">
    <w:nsid w:val="E3E47A8"/>
    <w:multiLevelType w:val="hybridMultilevel"/>
    <w:lvl w:ilvl="0">
      <w:lvlJc w:val="left"/>
      <w:lvlText w:val="(%1)"/>
      <w:numFmt w:val="lowerLetter"/>
      <w:start w:val="2"/>
    </w:lvl>
  </w:abstractNum>
  <w:abstractNum w:abstractNumId="107">
    <w:nsid w:val="2E48F044"/>
    <w:multiLevelType w:val="hybridMultilevel"/>
    <w:lvl w:ilvl="0">
      <w:lvlJc w:val="left"/>
      <w:lvlText w:val="(%1)"/>
      <w:numFmt w:val="lowerLetter"/>
      <w:start w:val="1"/>
    </w:lvl>
  </w:abstractNum>
  <w:abstractNum w:abstractNumId="108">
    <w:nsid w:val="49D0FEAC"/>
    <w:multiLevelType w:val="hybridMultilevel"/>
    <w:lvl w:ilvl="0">
      <w:lvlJc w:val="left"/>
      <w:lvlText w:val="(%1)"/>
      <w:numFmt w:val="lowerLetter"/>
      <w:start w:val="4"/>
    </w:lvl>
  </w:abstractNum>
  <w:abstractNum w:abstractNumId="109">
    <w:nsid w:val="4BEE5A5B"/>
    <w:multiLevelType w:val="hybridMultilevel"/>
    <w:lvl w:ilvl="0">
      <w:lvlJc w:val="left"/>
      <w:lvlText w:val="(%1)"/>
      <w:numFmt w:val="lowerLetter"/>
      <w:start w:val="9"/>
    </w:lvl>
  </w:abstractNum>
  <w:abstractNum w:abstractNumId="110">
    <w:nsid w:val="5551B9F3"/>
    <w:multiLevelType w:val="hybridMultilevel"/>
    <w:lvl w:ilvl="0">
      <w:lvlJc w:val="left"/>
      <w:lvlText w:val="(%1)"/>
      <w:numFmt w:val="lowerLetter"/>
      <w:start w:val="1"/>
    </w:lvl>
  </w:abstractNum>
  <w:abstractNum w:abstractNumId="111">
    <w:nsid w:val="24F6AB8E"/>
    <w:multiLevelType w:val="hybridMultilevel"/>
    <w:lvl w:ilvl="0">
      <w:lvlJc w:val="left"/>
      <w:lvlText w:val="%1"/>
      <w:numFmt w:val="lowerLetter"/>
      <w:start w:val="1"/>
    </w:lvl>
    <w:lvl w:ilvl="1">
      <w:lvlJc w:val="left"/>
      <w:lvlText w:val="(%2)"/>
      <w:numFmt w:val="lowerLetter"/>
      <w:start w:val="2"/>
    </w:lvl>
  </w:abstractNum>
  <w:abstractNum w:abstractNumId="112">
    <w:nsid w:val="634C574C"/>
    <w:multiLevelType w:val="hybridMultilevel"/>
    <w:lvl w:ilvl="0">
      <w:lvlJc w:val="left"/>
      <w:lvlText w:val="(%1)"/>
      <w:numFmt w:val="lowerLetter"/>
      <w:start w:val="24"/>
    </w:lvl>
    <w:lvl w:ilvl="1">
      <w:lvlJc w:val="left"/>
      <w:lvlText w:val="%2"/>
      <w:numFmt w:val="lowerLetter"/>
      <w:start w:val="1"/>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1)"/>
      <w:numFmt w:val="lowerLetter"/>
      <w:start w:val="1"/>
    </w:lvl>
  </w:abstractNum>
  <w:abstractNum w:abstractNumId="115">
    <w:nsid w:val="1849C29B"/>
    <w:multiLevelType w:val="hybridMultilevel"/>
    <w:lvl w:ilvl="0">
      <w:lvlJc w:val="left"/>
      <w:lvlText w:val="(%1)"/>
      <w:numFmt w:val="lowerLetter"/>
      <w:start w:val="1"/>
    </w:lvl>
  </w:abstractNum>
  <w:abstractNum w:abstractNumId="116">
    <w:nsid w:val="7DFF9D09"/>
    <w:multiLevelType w:val="hybridMultilevel"/>
    <w:lvl w:ilvl="0">
      <w:lvlJc w:val="left"/>
      <w:lvlText w:val="(%1)"/>
      <w:numFmt w:val="lowerLetter"/>
      <w:start w:val="1"/>
    </w:lvl>
  </w:abstractNum>
  <w:abstractNum w:abstractNumId="117">
    <w:nsid w:val="754342"/>
    <w:multiLevelType w:val="hybridMultilevel"/>
    <w:lvl w:ilvl="0">
      <w:lvlJc w:val="left"/>
      <w:lvlText w:val="(%1)"/>
      <w:numFmt w:val="lowerLetter"/>
      <w:start w:val="2"/>
    </w:lvl>
    <w:lvl w:ilvl="1">
      <w:lvlJc w:val="left"/>
      <w:lvlText w:val="(%2)"/>
      <w:numFmt w:val="lowerRoman"/>
      <w:start w:val="1"/>
    </w:lvl>
  </w:abstractNum>
  <w:abstractNum w:abstractNumId="118">
    <w:nsid w:val="69E7F3E5"/>
    <w:multiLevelType w:val="hybridMultilevel"/>
    <w:lvl w:ilvl="0">
      <w:lvlJc w:val="left"/>
      <w:lvlText w:val="(%1)"/>
      <w:numFmt w:val="lowerLetter"/>
      <w:start w:val="3"/>
    </w:lvl>
  </w:abstractNum>
  <w:abstractNum w:abstractNumId="119">
    <w:nsid w:val="2A6DE806"/>
    <w:multiLevelType w:val="hybridMultilevel"/>
    <w:lvl w:ilvl="0">
      <w:lvlJc w:val="left"/>
      <w:lvlText w:val="(%1)"/>
      <w:numFmt w:val="lowerLetter"/>
      <w:start w:val="5"/>
    </w:lvl>
  </w:abstractNum>
  <w:abstractNum w:abstractNumId="120">
    <w:nsid w:val="1816F8C4"/>
    <w:multiLevelType w:val="hybridMultilevel"/>
    <w:lvl w:ilvl="0">
      <w:lvlJc w:val="left"/>
      <w:lvlText w:val="(%1)"/>
      <w:numFmt w:val="lowerLetter"/>
      <w:start w:val="1"/>
    </w:lvl>
  </w:abstractNum>
  <w:abstractNum w:abstractNumId="121">
    <w:nsid w:val="37DF2233"/>
    <w:multiLevelType w:val="hybridMultilevel"/>
    <w:lvl w:ilvl="0">
      <w:lvlJc w:val="left"/>
      <w:lvlText w:val="(%1)"/>
      <w:numFmt w:val="lowerLetter"/>
      <w:start w:val="1"/>
    </w:lvl>
    <w:lvl w:ilvl="1">
      <w:lvlJc w:val="left"/>
      <w:lvlText w:val="(%2)"/>
      <w:numFmt w:val="lowerRoman"/>
      <w:start w:val="1"/>
    </w:lvl>
  </w:abstractNum>
  <w:abstractNum w:abstractNumId="122">
    <w:nsid w:val="7AB49D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23">
    <w:nsid w:val="759F82C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24">
    <w:nsid w:val="61E74EA3"/>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1"/>
    </w:lvl>
  </w:abstractNum>
  <w:abstractNum w:abstractNumId="125">
    <w:nsid w:val="597B4D84"/>
    <w:multiLevelType w:val="hybridMultilevel"/>
    <w:lvl w:ilvl="0">
      <w:lvlJc w:val="left"/>
      <w:lvlText w:val="(%1)"/>
      <w:numFmt w:val="lowerLetter"/>
      <w:start w:val="1"/>
    </w:lvl>
    <w:lvl w:ilvl="1">
      <w:lvlJc w:val="left"/>
      <w:lvlText w:val="(%2)"/>
      <w:numFmt w:val="lowerRoman"/>
      <w:start w:val="1"/>
    </w:lvl>
  </w:abstractNum>
  <w:abstractNum w:abstractNumId="126">
    <w:nsid w:val="F819E7F"/>
    <w:multiLevelType w:val="hybridMultilevel"/>
    <w:lvl w:ilvl="0">
      <w:lvlJc w:val="left"/>
      <w:lvlText w:val="%1"/>
      <w:numFmt w:val="lowerLetter"/>
      <w:start w:val="1"/>
    </w:lvl>
    <w:lvl w:ilvl="1">
      <w:lvlJc w:val="left"/>
      <w:lvlText w:val="(%2)"/>
      <w:numFmt w:val="lowerRoman"/>
      <w:start w:val="3"/>
    </w:lvl>
  </w:abstractNum>
  <w:abstractNum w:abstractNumId="127">
    <w:nsid w:val="57C7D42D"/>
    <w:multiLevelType w:val="hybridMultilevel"/>
    <w:lvl w:ilvl="0">
      <w:lvlJc w:val="left"/>
      <w:lvlText w:val="(%1)"/>
      <w:numFmt w:val="lowerLetter"/>
      <w:start w:val="2"/>
    </w:lvl>
    <w:lvl w:ilvl="1">
      <w:lvlJc w:val="left"/>
      <w:lvlText w:val="%2"/>
      <w:numFmt w:val="lowerRoman"/>
      <w:start w:val="1"/>
    </w:lvl>
  </w:abstractNum>
  <w:abstractNum w:abstractNumId="128">
    <w:nsid w:val="312167AD"/>
    <w:multiLevelType w:val="hybridMultilevel"/>
    <w:lvl w:ilvl="0">
      <w:lvlJc w:val="left"/>
      <w:lvlText w:val="(%1)"/>
      <w:numFmt w:val="lowerRoman"/>
      <w:start w:val="1"/>
    </w:lvl>
  </w:abstractNum>
  <w:abstractNum w:abstractNumId="129">
    <w:nsid w:val="631B64D4"/>
    <w:multiLevelType w:val="hybridMultilevel"/>
    <w:lvl w:ilvl="0">
      <w:lvlJc w:val="left"/>
      <w:lvlText w:val="(%1)"/>
      <w:numFmt w:val="lowerRoman"/>
      <w:start w:val="2"/>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Letter"/>
      <w:start w:val="5"/>
    </w:lvl>
  </w:abstractNum>
  <w:abstractNum w:abstractNumId="132">
    <w:nsid w:val="6E534CDE"/>
    <w:multiLevelType w:val="hybridMultilevel"/>
    <w:lvl w:ilvl="0">
      <w:lvlJc w:val="left"/>
      <w:lvlText w:val="%1"/>
      <w:numFmt w:val="lowerLetter"/>
      <w:start w:val="1"/>
    </w:lvl>
    <w:lvl w:ilvl="1">
      <w:lvlJc w:val="left"/>
      <w:lvlText w:val="(%2)"/>
      <w:numFmt w:val="lowerLetter"/>
      <w:start w:val="1"/>
    </w:lvl>
  </w:abstractNum>
  <w:abstractNum w:abstractNumId="133">
    <w:nsid w:val="1A0DDE32"/>
    <w:multiLevelType w:val="hybridMultilevel"/>
    <w:lvl w:ilvl="0">
      <w:lvlJc w:val="left"/>
      <w:lvlText w:val="(%1)"/>
      <w:numFmt w:val="lowerLetter"/>
      <w:start w:val="2"/>
    </w:lvl>
    <w:lvl w:ilvl="1">
      <w:lvlJc w:val="left"/>
      <w:lvlText w:val="%2"/>
      <w:numFmt w:val="lowerLetter"/>
      <w:start w:val="1"/>
    </w:lvl>
  </w:abstractNum>
  <w:abstractNum w:abstractNumId="134">
    <w:nsid w:val="65968C1C"/>
    <w:multiLevelType w:val="hybridMultilevel"/>
    <w:lvl w:ilvl="0">
      <w:lvlJc w:val="left"/>
      <w:lvlText w:val="%1"/>
      <w:numFmt w:val="lowerRoman"/>
      <w:start w:val="1"/>
    </w:lvl>
    <w:lvl w:ilvl="1">
      <w:lvlJc w:val="left"/>
      <w:lvlText w:val="(%2)"/>
      <w:numFmt w:val="lowerLetter"/>
      <w:start w:val="1"/>
    </w:lvl>
  </w:abstractNum>
  <w:abstractNum w:abstractNumId="135">
    <w:nsid w:val="46263DEC"/>
    <w:multiLevelType w:val="hybridMultilevel"/>
    <w:lvl w:ilvl="0">
      <w:lvlJc w:val="left"/>
      <w:lvlText w:val="(%1)"/>
      <w:numFmt w:val="lowerRoman"/>
      <w:start w:val="6"/>
    </w:lvl>
    <w:lvl w:ilvl="1">
      <w:lvlJc w:val="left"/>
      <w:lvlText w:val="%2"/>
      <w:numFmt w:val="lowerLetter"/>
      <w:start w:val="1"/>
    </w:lvl>
  </w:abstractNum>
  <w:abstractNum w:abstractNumId="136">
    <w:nsid w:val="260D8C4A"/>
    <w:multiLevelType w:val="hybridMultilevel"/>
    <w:lvl w:ilvl="0">
      <w:lvlJc w:val="left"/>
      <w:lvlText w:val="(%1)"/>
      <w:numFmt w:val="lowerLetter"/>
      <w:start w:val="2"/>
    </w:lvl>
  </w:abstractNum>
  <w:abstractNum w:abstractNumId="137">
    <w:nsid w:val="73D4D3C4"/>
    <w:multiLevelType w:val="hybridMultilevel"/>
    <w:lvl w:ilvl="0">
      <w:lvlJc w:val="left"/>
      <w:lvlText w:val="(%1)"/>
      <w:numFmt w:val="lowerLetter"/>
      <w:start w:val="3"/>
    </w:lvl>
  </w:abstractNum>
  <w:abstractNum w:abstractNumId="138">
    <w:nsid w:val="746F2E30"/>
    <w:multiLevelType w:val="hybridMultilevel"/>
    <w:lvl w:ilvl="0">
      <w:lvlJc w:val="left"/>
      <w:lvlText w:val="(%1)"/>
      <w:numFmt w:val="lowerLetter"/>
      <w:start w:val="1"/>
    </w:lvl>
  </w:abstractNum>
  <w:abstractNum w:abstractNumId="139">
    <w:nsid w:val="6FDE8AF6"/>
    <w:multiLevelType w:val="hybridMultilevel"/>
    <w:lvl w:ilvl="0">
      <w:lvlJc w:val="left"/>
      <w:lvlText w:val="(%1)"/>
      <w:numFmt w:val="lowerLetter"/>
      <w:start w:val="2"/>
    </w:lvl>
  </w:abstractNum>
  <w:abstractNum w:abstractNumId="140">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1">
    <w:nsid w:val="49C0E823"/>
    <w:multiLevelType w:val="hybridMultilevel"/>
    <w:lvl w:ilvl="0">
      <w:lvlJc w:val="left"/>
      <w:lvlText w:val="%1"/>
      <w:numFmt w:val="lowerLetter"/>
      <w:start w:val="1"/>
    </w:lvl>
    <w:lvl w:ilvl="1">
      <w:lvlJc w:val="left"/>
      <w:lvlText w:val="(%2)"/>
      <w:numFmt w:val="upperLetter"/>
      <w:start w:val="5"/>
    </w:lvl>
  </w:abstractNum>
  <w:abstractNum w:abstractNumId="142">
    <w:nsid w:val="14D53685"/>
    <w:multiLevelType w:val="hybridMultilevel"/>
    <w:lvl w:ilvl="0">
      <w:lvlJc w:val="left"/>
      <w:lvlText w:val="(%1)"/>
      <w:numFmt w:val="lowerLetter"/>
      <w:start w:val="1"/>
    </w:lvl>
    <w:lvl w:ilvl="1">
      <w:lvlJc w:val="left"/>
      <w:lvlText w:val="%2"/>
      <w:numFmt w:val="upperLetter"/>
      <w:start w:val="1"/>
    </w:lvl>
  </w:abstractNum>
  <w:abstractNum w:abstractNumId="143">
    <w:nsid w:val="230F856C"/>
    <w:multiLevelType w:val="hybridMultilevel"/>
    <w:lvl w:ilvl="0">
      <w:lvlJc w:val="left"/>
      <w:lvlText w:val="%1"/>
      <w:numFmt w:val="lowerLetter"/>
      <w:start w:val="1"/>
    </w:lvl>
    <w:lvl w:ilvl="1">
      <w:lvlJc w:val="left"/>
      <w:lvlText w:val="(%2)"/>
      <w:numFmt w:val="lowerRoman"/>
      <w:start w:val="3"/>
    </w:lvl>
  </w:abstractNum>
  <w:abstractNum w:abstractNumId="144">
    <w:nsid w:val="6EAA85FB"/>
    <w:multiLevelType w:val="hybridMultilevel"/>
    <w:lvl w:ilvl="0">
      <w:lvlJc w:val="left"/>
      <w:lvlText w:val="(%1)"/>
      <w:numFmt w:val="lowerLetter"/>
      <w:start w:val="2"/>
    </w:lvl>
    <w:lvl w:ilvl="1">
      <w:lvlJc w:val="left"/>
      <w:lvlText w:val="%2"/>
      <w:numFmt w:val="lowerRoman"/>
      <w:start w:val="1"/>
    </w:lvl>
  </w:abstractNum>
  <w:abstractNum w:abstractNumId="145">
    <w:nsid w:val="3F06ECB2"/>
    <w:multiLevelType w:val="hybridMultilevel"/>
    <w:lvl w:ilvl="0">
      <w:lvlJc w:val="left"/>
      <w:lvlText w:val="%1"/>
      <w:numFmt w:val="lowerLetter"/>
      <w:start w:val="1"/>
    </w:lvl>
    <w:lvl w:ilvl="1">
      <w:lvlJc w:val="left"/>
      <w:lvlText w:val="(%2)"/>
      <w:numFmt w:val="lowerRoman"/>
      <w:start w:val="2"/>
    </w:lvl>
  </w:abstractNum>
  <w:abstractNum w:abstractNumId="146">
    <w:nsid w:val="3B594807"/>
    <w:multiLevelType w:val="hybridMultilevel"/>
    <w:lvl w:ilvl="0">
      <w:lvlJc w:val="left"/>
      <w:lvlText w:val="(%1)"/>
      <w:numFmt w:val="lowerLetter"/>
      <w:start w:val="3"/>
    </w:lvl>
    <w:lvl w:ilvl="1">
      <w:lvlJc w:val="left"/>
      <w:lvlText w:val="%2"/>
      <w:numFmt w:val="lowerRoman"/>
      <w:start w:val="1"/>
    </w:lvl>
  </w:abstractNum>
  <w:abstractNum w:abstractNumId="147">
    <w:nsid w:val="6CAA2304"/>
    <w:multiLevelType w:val="hybridMultilevel"/>
    <w:lvl w:ilvl="0">
      <w:lvlJc w:val="left"/>
      <w:lvlText w:val="(%1)"/>
      <w:numFmt w:val="lowerLetter"/>
      <w:start w:val="1"/>
    </w:lvl>
  </w:abstractNum>
  <w:abstractNum w:abstractNumId="148">
    <w:nsid w:val="3F7C2FF4"/>
    <w:multiLevelType w:val="hybridMultilevel"/>
    <w:lvl w:ilvl="0">
      <w:lvlJc w:val="left"/>
      <w:lvlText w:val="(%1)"/>
      <w:numFmt w:val="lowerLetter"/>
      <w:start w:val="4"/>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lowerLetter"/>
      <w:start w:val="2"/>
    </w:lvl>
  </w:abstractNum>
  <w:abstractNum w:abstractNumId="151">
    <w:nsid w:val="579328B9"/>
    <w:multiLevelType w:val="hybridMultilevel"/>
    <w:lvl w:ilvl="0">
      <w:lvlJc w:val="left"/>
      <w:lvlText w:val="(%1)"/>
      <w:numFmt w:val="lowerRoman"/>
      <w:start w:val="2"/>
    </w:lvl>
  </w:abstractNum>
  <w:abstractNum w:abstractNumId="152">
    <w:nsid w:val="5D205E20"/>
    <w:multiLevelType w:val="hybridMultilevel"/>
    <w:lvl w:ilvl="0">
      <w:lvlJc w:val="left"/>
      <w:lvlText w:val="(%1)"/>
      <w:numFmt w:val="lowerLetter"/>
      <w:start w:val="1"/>
    </w:lvl>
  </w:abstractNum>
  <w:abstractNum w:abstractNumId="153">
    <w:nsid w:val="11CCA8BA"/>
    <w:multiLevelType w:val="hybridMultilevel"/>
    <w:lvl w:ilvl="0">
      <w:lvlJc w:val="left"/>
      <w:lvlText w:val="(%1)"/>
      <w:numFmt w:val="lowerLetter"/>
      <w:start w:val="3"/>
    </w:lvl>
  </w:abstractNum>
  <w:abstractNum w:abstractNumId="154">
    <w:nsid w:val="4D32AB86"/>
    <w:multiLevelType w:val="hybridMultilevel"/>
    <w:lvl w:ilvl="0">
      <w:lvlJc w:val="left"/>
      <w:lvlText w:val="(%1)"/>
      <w:numFmt w:val="lowerLetter"/>
      <w:start w:val="1"/>
    </w:lvl>
    <w:lvl w:ilvl="1">
      <w:lvlJc w:val="left"/>
      <w:lvlText w:val="(%2)"/>
      <w:numFmt w:val="lowerRoman"/>
      <w:start w:val="1"/>
    </w:lvl>
  </w:abstractNum>
  <w:abstractNum w:abstractNumId="155">
    <w:nsid w:val="3F07ACC3"/>
    <w:multiLevelType w:val="hybridMultilevel"/>
    <w:lvl w:ilvl="0">
      <w:lvlJc w:val="left"/>
      <w:lvlText w:val="\emdash "/>
      <w:numFmt w:val="bullet"/>
      <w:start w:val="1"/>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1)"/>
      <w:numFmt w:val="decimal"/>
      <w:start w:val="1"/>
    </w:lvl>
  </w:abstractNum>
  <w:abstractNum w:abstractNumId="158">
    <w:nsid w:val="16CF80F1"/>
    <w:multiLevelType w:val="hybridMultilevel"/>
    <w:lvl w:ilvl="0">
      <w:lvlJc w:val="left"/>
      <w:lvlText w:val="•"/>
      <w:numFmt w:val="bullet"/>
      <w:start w:val="1"/>
    </w:lvl>
    <w:lvl w:ilvl="1">
      <w:lvlJc w:val="left"/>
      <w:lvlText w:val="◦"/>
      <w:numFmt w:val="bullet"/>
      <w:start w:val="1"/>
    </w:lvl>
  </w:abstractNum>
  <w:abstractNum w:abstractNumId="159">
    <w:nsid w:val="1C695DEC"/>
    <w:multiLevelType w:val="hybridMultilevel"/>
    <w:lvl w:ilvl="0">
      <w:lvlJc w:val="left"/>
      <w:lvlText w:val="•"/>
      <w:numFmt w:val="bullet"/>
      <w:start w:val="1"/>
    </w:lvl>
  </w:abstractNum>
  <w:abstractNum w:abstractNumId="160">
    <w:nsid w:val="3FCFAED9"/>
    <w:multiLevelType w:val="hybridMultilevel"/>
    <w:lvl w:ilvl="0">
      <w:lvlJc w:val="left"/>
      <w:lvlText w:val="(%1)"/>
      <w:numFmt w:val="decimal"/>
      <w:start w:val="2"/>
    </w:lvl>
  </w:abstractNum>
  <w:abstractNum w:abstractNumId="161">
    <w:nsid w:val="F856867"/>
    <w:multiLevelType w:val="hybridMultilevel"/>
    <w:lvl w:ilvl="0">
      <w:lvlJc w:val="left"/>
      <w:lvlText w:val="•"/>
      <w:numFmt w:val="bullet"/>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2026-05-06T06:06:56Z</dcterms:created>
  <dcterms:modified xsi:type="dcterms:W3CDTF">2026-05-06T06:06:56Z</dcterms:modified>
</cp:coreProperties>
</file>