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7</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22"/>
          <w:szCs w:val="22"/>
          <w:b w:val="1"/>
          <w:bCs w:val="1"/>
          <w:color w:val="0000FF"/>
        </w:rPr>
        <w:t>Maplebear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Class A 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Jung Yeon Son</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2800 Sand Hill Road, Suite 101</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Menlo Park, CA, 94025</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(650) 854-3927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05/07/2026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SEQUOIA CAPITAL GLOBAL GROWTH FUND III - ENDURANCE PARTNERS, L.P. ("SC GGF III")</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73" w:gutter="0" w:footer="0" w:header="0"/>
        </w:sectPr>
      </w:pPr>
    </w:p>
    <w:bookmarkStart w:id="1" w:name="page2"/>
    <w:bookmarkEnd w:id="1"/>
    <w:p>
      <w:pPr>
        <w:spacing w:after="0" w:line="200" w:lineRule="exact"/>
        <w:rPr>
          <w:sz w:val="20"/>
          <w:szCs w:val="20"/>
          <w:color w:val="auto"/>
        </w:rPr>
      </w:pPr>
    </w:p>
    <w:p>
      <w:pPr>
        <w:spacing w:after="0" w:line="3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8160"/>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814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351,374.00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351,374.00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351,374.00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10080"/>
          </w:cols>
          <w:pgMar w:left="320" w:top="126" w:right="339" w:bottom="0" w:gutter="0" w:footer="0" w:header="0"/>
        </w:sectPr>
      </w:pPr>
    </w:p>
    <w:p>
      <w:pPr>
        <w:spacing w:after="0" w:line="77"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Row 13. Based on a total of 235,029,814 shares of Class A common stock as of April 30, 2026, as reported in the Issuer's Quarterly Report on Form 10-Q filed with the Securities and Exchange Commission on May 7, 2026.</w:t>
      </w:r>
    </w:p>
    <w:p>
      <w:pPr>
        <w:spacing w:after="0" w:line="200" w:lineRule="exact"/>
        <w:rPr>
          <w:sz w:val="20"/>
          <w:szCs w:val="20"/>
          <w:color w:val="auto"/>
        </w:rPr>
      </w:pPr>
    </w:p>
    <w:p>
      <w:pPr>
        <w:sectPr>
          <w:pgSz w:w="11900" w:h="16838" w:orient="portrait"/>
          <w:cols w:equalWidth="0" w:num="2">
            <w:col w:w="1580" w:space="140"/>
            <w:col w:w="9520"/>
          </w:cols>
          <w:pgMar w:left="320" w:top="126" w:right="339" w:bottom="0" w:gutter="0" w:footer="0" w:header="0"/>
          <w:type w:val="continuous"/>
        </w:sectPr>
      </w:pPr>
    </w:p>
    <w:p>
      <w:pPr>
        <w:spacing w:after="0" w:line="200" w:lineRule="exact"/>
        <w:rPr>
          <w:sz w:val="20"/>
          <w:szCs w:val="20"/>
          <w:color w:val="auto"/>
        </w:rPr>
      </w:pPr>
    </w:p>
    <w:p>
      <w:pPr>
        <w:spacing w:after="0" w:line="2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1"/>
          <w:szCs w:val="21"/>
          <w:color w:val="auto"/>
        </w:rPr>
        <w:t>SEQUOIA CAPITAL US/E EXPANSION FUND I, L.P. ("SC US/E EXPANSION FUND I")</w:t>
      </w:r>
    </w:p>
    <w:p>
      <w:pPr>
        <w:spacing w:after="0" w:line="3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w:t>
      </w:r>
    </w:p>
    <w:p>
      <w:pPr>
        <w:sectPr>
          <w:pgSz w:w="11900" w:h="16838" w:orient="portrait"/>
          <w:cols w:equalWidth="0" w:num="1">
            <w:col w:w="11240"/>
          </w:cols>
          <w:pgMar w:left="320" w:top="126" w:right="339" w:bottom="0" w:gutter="0" w:footer="0" w:header="0"/>
          <w:type w:val="continuous"/>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jc w:val="right"/>
        <w:ind w:right="8160"/>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814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1,000,000.00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1,000,000.00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930" w:orient="portrait"/>
          <w:cols w:equalWidth="0" w:num="2">
            <w:col w:w="1100" w:space="60"/>
            <w:col w:w="10080"/>
          </w:cols>
          <w:pgMar w:left="320" w:top="355" w:right="339" w:bottom="0" w:gutter="0" w:footer="0" w:header="0"/>
        </w:sectPr>
      </w:pPr>
    </w:p>
    <w:p>
      <w:pPr>
        <w:spacing w:after="0" w:line="77"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Row 13. Based on a total of 235,029,814 shares of Class A common stock as of April 30, 2026, as reported in the Issuer's Quarterly Report on Form 10-Q filed with the Securities and Exchange Commission on May 7, 2026.</w:t>
      </w:r>
    </w:p>
    <w:p>
      <w:pPr>
        <w:spacing w:after="0" w:line="200" w:lineRule="exact"/>
        <w:rPr>
          <w:sz w:val="20"/>
          <w:szCs w:val="20"/>
          <w:color w:val="auto"/>
        </w:rPr>
      </w:pPr>
    </w:p>
    <w:p>
      <w:pPr>
        <w:sectPr>
          <w:pgSz w:w="11900" w:h="16930" w:orient="portrait"/>
          <w:cols w:equalWidth="0" w:num="2">
            <w:col w:w="1580" w:space="140"/>
            <w:col w:w="9520"/>
          </w:cols>
          <w:pgMar w:left="320" w:top="355" w:right="339" w:bottom="0" w:gutter="0" w:footer="0" w:header="0"/>
          <w:type w:val="continuous"/>
        </w:sectPr>
      </w:pPr>
    </w:p>
    <w:p>
      <w:pPr>
        <w:spacing w:after="0" w:line="200" w:lineRule="exact"/>
        <w:rPr>
          <w:sz w:val="20"/>
          <w:szCs w:val="20"/>
          <w:color w:val="auto"/>
        </w:rPr>
      </w:pPr>
    </w:p>
    <w:p>
      <w:pPr>
        <w:spacing w:after="0" w:line="2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233" w:lineRule="exact"/>
        <w:rPr>
          <w:sz w:val="20"/>
          <w:szCs w:val="20"/>
          <w:color w:val="auto"/>
        </w:rPr>
      </w:pPr>
    </w:p>
    <w:p>
      <w:pPr>
        <w:ind w:left="1160" w:right="560" w:hanging="1112"/>
        <w:spacing w:after="0" w:line="185" w:lineRule="auto"/>
        <w:tabs>
          <w:tab w:leader="none" w:pos="1160" w:val="left"/>
        </w:tabs>
        <w:numPr>
          <w:ilvl w:val="0"/>
          <w:numId w:val="5"/>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SEQUOIA CAPITAL US/E EXPANSION FUND I MANAGEMENT, L.P. ("SC US/E EXPANSION FUND I MGMT")</w:t>
      </w:r>
    </w:p>
    <w:p>
      <w:pPr>
        <w:spacing w:after="0" w:line="17" w:lineRule="exact"/>
        <w:rPr>
          <w:rFonts w:ascii="Times New Roman" w:cs="Times New Roman" w:eastAsia="Times New Roman" w:hAnsi="Times New Roman"/>
          <w:sz w:val="39"/>
          <w:szCs w:val="39"/>
          <w:color w:val="auto"/>
          <w:vertAlign w:val="superscript"/>
        </w:rPr>
      </w:pPr>
    </w:p>
    <w:p>
      <w:pPr>
        <w:ind w:left="1160"/>
        <w:spacing w:after="0"/>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CAYMAN ISLANDS</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40" w:type="dxa"/>
            <w:vAlign w:val="bottom"/>
          </w:tcPr>
          <w:p>
            <w:pPr>
              <w:spacing w:after="0"/>
              <w:rPr>
                <w:sz w:val="22"/>
                <w:szCs w:val="22"/>
                <w:color w:val="auto"/>
              </w:rPr>
            </w:pPr>
          </w:p>
        </w:tc>
        <w:tc>
          <w:tcPr>
            <w:tcW w:w="21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w:t>
            </w:r>
          </w:p>
        </w:tc>
        <w:tc>
          <w:tcPr>
            <w:tcW w:w="2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40" w:type="dxa"/>
            <w:vAlign w:val="bottom"/>
          </w:tcPr>
          <w:p>
            <w:pPr>
              <w:spacing w:after="0"/>
              <w:rPr>
                <w:sz w:val="21"/>
                <w:szCs w:val="21"/>
                <w:color w:val="auto"/>
              </w:rPr>
            </w:pPr>
          </w:p>
        </w:tc>
        <w:tc>
          <w:tcPr>
            <w:tcW w:w="210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40" w:type="dxa"/>
            <w:vAlign w:val="bottom"/>
          </w:tcPr>
          <w:p>
            <w:pPr>
              <w:spacing w:after="0"/>
              <w:rPr>
                <w:sz w:val="19"/>
                <w:szCs w:val="19"/>
                <w:color w:val="auto"/>
              </w:rPr>
            </w:pPr>
          </w:p>
        </w:tc>
        <w:tc>
          <w:tcPr>
            <w:tcW w:w="2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2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40" w:type="dxa"/>
            <w:vAlign w:val="bottom"/>
            <w:vMerge w:val="continue"/>
          </w:tcPr>
          <w:p>
            <w:pPr>
              <w:spacing w:after="0"/>
              <w:rPr>
                <w:sz w:val="11"/>
                <w:szCs w:val="11"/>
                <w:color w:val="auto"/>
              </w:rPr>
            </w:pPr>
          </w:p>
        </w:tc>
        <w:tc>
          <w:tcPr>
            <w:tcW w:w="2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3,150,331.00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2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40" w:type="dxa"/>
            <w:vAlign w:val="bottom"/>
          </w:tcPr>
          <w:p>
            <w:pPr>
              <w:spacing w:after="0"/>
              <w:rPr>
                <w:sz w:val="11"/>
                <w:szCs w:val="11"/>
                <w:color w:val="auto"/>
              </w:rPr>
            </w:pPr>
          </w:p>
        </w:tc>
        <w:tc>
          <w:tcPr>
            <w:tcW w:w="2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9</w:t>
            </w:r>
          </w:p>
        </w:tc>
        <w:tc>
          <w:tcPr>
            <w:tcW w:w="2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40" w:type="dxa"/>
            <w:vAlign w:val="bottom"/>
            <w:vMerge w:val="continue"/>
          </w:tcPr>
          <w:p>
            <w:pPr>
              <w:spacing w:after="0"/>
              <w:rPr>
                <w:sz w:val="16"/>
                <w:szCs w:val="16"/>
                <w:color w:val="auto"/>
              </w:rPr>
            </w:pPr>
          </w:p>
        </w:tc>
        <w:tc>
          <w:tcPr>
            <w:tcW w:w="2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12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2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930" w:orient="portrait"/>
          <w:cols w:equalWidth="0" w:num="1">
            <w:col w:w="11240"/>
          </w:cols>
          <w:pgMar w:left="320" w:top="355" w:right="339" w:bottom="0" w:gutter="0" w:footer="0" w:header="0"/>
          <w:type w:val="continuous"/>
        </w:sectPr>
      </w:pPr>
    </w:p>
    <w:bookmarkStart w:id="3" w:name="page4"/>
    <w:bookmarkEnd w:id="3"/>
    <w:p>
      <w:pPr>
        <w:ind w:left="1480"/>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2"/>
          <w:szCs w:val="22"/>
          <w:color w:val="auto"/>
        </w:rPr>
        <w:t>10</w:t>
      </w:r>
    </w:p>
    <w:p>
      <w:pPr>
        <w:ind w:left="1480"/>
        <w:spacing w:after="0"/>
        <w:rPr>
          <w:sz w:val="20"/>
          <w:szCs w:val="20"/>
          <w:color w:val="auto"/>
        </w:rPr>
      </w:pPr>
      <w:r>
        <w:rPr>
          <w:rFonts w:ascii="Times New Roman" w:cs="Times New Roman" w:eastAsia="Times New Roman" w:hAnsi="Times New Roman"/>
          <w:sz w:val="22"/>
          <w:szCs w:val="22"/>
          <w:color w:val="auto"/>
        </w:rPr>
        <w:t>3,150,331.00</w:t>
      </w:r>
    </w:p>
    <w:p>
      <w:pPr>
        <w:spacing w:after="0" w:line="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3,150,331.00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1.3 %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PN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Row 8, 10 and 11. Includes 2,150,331 shares directly owned by SC US/E EXPANSION FUND I MGMT and</w:t>
      </w:r>
    </w:p>
    <w:tbl>
      <w:tblPr>
        <w:tblLayout w:type="fixed"/>
        <w:tblInd w:w="0" w:type="dxa"/>
        <w:tblCellMar>
          <w:top w:w="0" w:type="dxa"/>
          <w:left w:w="0" w:type="dxa"/>
          <w:bottom w:w="0" w:type="dxa"/>
          <w:right w:w="0" w:type="dxa"/>
        </w:tblCellMar>
      </w:tblPr>
      <w:tr>
        <w:trPr>
          <w:trHeight w:val="221"/>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1" w:lineRule="exact"/>
              <w:rPr>
                <w:sz w:val="20"/>
                <w:szCs w:val="20"/>
                <w:color w:val="auto"/>
              </w:rPr>
            </w:pPr>
            <w:r>
              <w:rPr>
                <w:rFonts w:ascii="Times New Roman" w:cs="Times New Roman" w:eastAsia="Times New Roman" w:hAnsi="Times New Roman"/>
                <w:sz w:val="22"/>
                <w:szCs w:val="22"/>
                <w:color w:val="auto"/>
              </w:rPr>
              <w:t>1,000,000 shares directly owned by SC US/E EXPANSION FUND I. The general partner of SC US/E EXPANSION</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FUND I is SC US/E EXPANSION FUND I MGMT. Row 13. Based on a total of 235,029,814 shares of Class A</w:t>
            </w:r>
          </w:p>
        </w:tc>
      </w:tr>
    </w:tbl>
    <w:p>
      <w:pPr>
        <w:jc w:val="both"/>
        <w:spacing w:after="0" w:line="197" w:lineRule="auto"/>
        <w:rPr>
          <w:sz w:val="20"/>
          <w:szCs w:val="20"/>
          <w:color w:val="auto"/>
        </w:rPr>
      </w:pPr>
      <w:r>
        <w:rPr>
          <w:rFonts w:ascii="Times New Roman" w:cs="Times New Roman" w:eastAsia="Times New Roman" w:hAnsi="Times New Roman"/>
          <w:sz w:val="38"/>
          <w:szCs w:val="38"/>
          <w:b w:val="1"/>
          <w:bCs w:val="1"/>
          <w:color w:val="auto"/>
          <w:vertAlign w:val="superscript"/>
        </w:rPr>
        <w:t>Reporting</w:t>
      </w:r>
      <w:r>
        <w:rPr>
          <w:rFonts w:ascii="Times New Roman" w:cs="Times New Roman" w:eastAsia="Times New Roman" w:hAnsi="Times New Roman"/>
          <w:sz w:val="22"/>
          <w:szCs w:val="22"/>
          <w:color w:val="auto"/>
        </w:rPr>
        <w:t xml:space="preserve"> common stock as of April 30, 2026, as reported in the Issuer's Quarterly Report on Form 10-Q filed with the Securities </w:t>
      </w:r>
      <w:r>
        <w:rPr>
          <w:rFonts w:ascii="Times New Roman" w:cs="Times New Roman" w:eastAsia="Times New Roman" w:hAnsi="Times New Roman"/>
          <w:sz w:val="38"/>
          <w:szCs w:val="38"/>
          <w:b w:val="1"/>
          <w:bCs w:val="1"/>
          <w:color w:val="auto"/>
          <w:vertAlign w:val="superscript"/>
        </w:rPr>
        <w:t>Person:</w:t>
      </w:r>
      <w:r>
        <w:rPr>
          <w:rFonts w:ascii="Times New Roman" w:cs="Times New Roman" w:eastAsia="Times New Roman" w:hAnsi="Times New Roman"/>
          <w:sz w:val="22"/>
          <w:szCs w:val="22"/>
          <w:color w:val="auto"/>
        </w:rPr>
        <w:t xml:space="preserve"> and Exchange Commission on May 7, 2026.</w:t>
      </w:r>
    </w:p>
    <w:p>
      <w:pPr>
        <w:spacing w:after="0" w:line="200" w:lineRule="exact"/>
        <w:rPr>
          <w:sz w:val="20"/>
          <w:szCs w:val="20"/>
          <w:color w:val="auto"/>
        </w:rPr>
      </w:pPr>
    </w:p>
    <w:p>
      <w:pPr>
        <w:spacing w:after="0" w:line="3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SCGGF III - U.S./INDIA MANAGEMENT, L.P. ("SCGGF III - U.S./INDIA MANAGEMENT")</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355" w:right="33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8160"/>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814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1,217,532.00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1,217,532.00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1,217,532.00</w:t>
      </w:r>
    </w:p>
    <w:p>
      <w:pPr>
        <w:sectPr>
          <w:pgSz w:w="11900" w:h="16838" w:orient="portrait"/>
          <w:cols w:equalWidth="0" w:num="2">
            <w:col w:w="1100" w:space="60"/>
            <w:col w:w="10080"/>
          </w:cols>
          <w:pgMar w:left="320" w:top="355" w:right="339" w:bottom="0" w:gutter="0" w:footer="0" w:header="0"/>
          <w:type w:val="continuous"/>
        </w:sectPr>
      </w:pPr>
    </w:p>
    <w:bookmarkStart w:id="4" w:name="page5"/>
    <w:bookmarkEnd w:id="4"/>
    <w:p>
      <w:pPr>
        <w:ind w:left="40"/>
        <w:spacing w:after="0"/>
        <w:tabs>
          <w:tab w:leader="none" w:pos="1140" w:val="left"/>
        </w:tabs>
        <w:rPr>
          <w:sz w:val="20"/>
          <w:szCs w:val="20"/>
          <w:color w:val="auto"/>
        </w:rPr>
      </w:pPr>
      <w:r>
        <w:rPr>
          <w:rFonts w:ascii="Times New Roman" w:cs="Times New Roman" w:eastAsia="Times New Roman" w:hAnsi="Times New Roman"/>
          <w:sz w:val="21"/>
          <w:szCs w:val="21"/>
          <w:color w:val="auto"/>
        </w:rPr>
        <w:t>12</w:t>
      </w:r>
      <w:r>
        <w:rPr>
          <w:sz w:val="20"/>
          <w:szCs w:val="20"/>
          <w:color w:val="auto"/>
        </w:rPr>
        <w:tab/>
      </w: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173355</wp:posOffset>
            </wp:positionV>
            <wp:extent cx="128905" cy="128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0.5 %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PN</w:t>
      </w:r>
    </w:p>
    <w:p>
      <w:pPr>
        <w:sectPr>
          <w:pgSz w:w="11900" w:h="16838" w:orient="portrait"/>
          <w:cols w:equalWidth="0" w:num="1">
            <w:col w:w="11240"/>
          </w:cols>
          <w:pgMar w:left="320" w:top="112" w:right="339" w:bottom="0" w:gutter="0" w:footer="0" w:header="0"/>
        </w:sectPr>
      </w:pPr>
    </w:p>
    <w:p>
      <w:pPr>
        <w:spacing w:after="0" w:line="253"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Row 13. Based on a total of 235,029,814 shares of Class A common stock as of April 30, 2026, as reported in the Issuer's Quarterly Report on Form 10-Q filed with the Securities and Exchange Commission on May 7, 2026.</w:t>
      </w:r>
    </w:p>
    <w:p>
      <w:pPr>
        <w:spacing w:after="0" w:line="200" w:lineRule="exact"/>
        <w:rPr>
          <w:sz w:val="20"/>
          <w:szCs w:val="20"/>
          <w:color w:val="auto"/>
        </w:rPr>
      </w:pPr>
    </w:p>
    <w:p>
      <w:pPr>
        <w:sectPr>
          <w:pgSz w:w="11900" w:h="16838" w:orient="portrait"/>
          <w:cols w:equalWidth="0" w:num="2">
            <w:col w:w="1580" w:space="140"/>
            <w:col w:w="9520"/>
          </w:cols>
          <w:pgMar w:left="320" w:top="112" w:right="339" w:bottom="0" w:gutter="0" w:footer="0" w:header="0"/>
          <w:type w:val="continuous"/>
        </w:sectPr>
      </w:pPr>
    </w:p>
    <w:p>
      <w:pPr>
        <w:spacing w:after="0" w:line="200" w:lineRule="exact"/>
        <w:rPr>
          <w:sz w:val="20"/>
          <w:szCs w:val="20"/>
          <w:color w:val="auto"/>
        </w:rPr>
      </w:pPr>
    </w:p>
    <w:p>
      <w:pPr>
        <w:spacing w:after="0" w:line="2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233" w:lineRule="exact"/>
        <w:rPr>
          <w:sz w:val="20"/>
          <w:szCs w:val="20"/>
          <w:color w:val="auto"/>
        </w:rPr>
      </w:pPr>
    </w:p>
    <w:p>
      <w:pPr>
        <w:ind w:left="1160" w:right="180" w:hanging="1112"/>
        <w:spacing w:after="0" w:line="185" w:lineRule="auto"/>
        <w:tabs>
          <w:tab w:leader="none" w:pos="1160" w:val="left"/>
        </w:tabs>
        <w:numPr>
          <w:ilvl w:val="0"/>
          <w:numId w:val="9"/>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SEQUOIA CAPITAL GLOBAL GROWTH FUND III - ENDURANCE PARTNERS MANAGEMENT, L.P. ("SC GGF III MGMT")</w:t>
      </w:r>
    </w:p>
    <w:p>
      <w:pPr>
        <w:spacing w:after="0" w:line="17" w:lineRule="exact"/>
        <w:rPr>
          <w:rFonts w:ascii="Times New Roman" w:cs="Times New Roman" w:eastAsia="Times New Roman" w:hAnsi="Times New Roman"/>
          <w:sz w:val="39"/>
          <w:szCs w:val="39"/>
          <w:color w:val="auto"/>
          <w:vertAlign w:val="superscript"/>
        </w:rPr>
      </w:pPr>
    </w:p>
    <w:p>
      <w:pPr>
        <w:ind w:left="1160"/>
        <w:spacing w:after="0"/>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0"/>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112" w:right="339" w:bottom="0" w:gutter="0" w:footer="0" w:header="0"/>
          <w:type w:val="continuous"/>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2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8160"/>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814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351,374.00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351,374.00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351,374.00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ectPr>
          <w:pgSz w:w="11900" w:h="16838" w:orient="portrait"/>
          <w:cols w:equalWidth="0" w:num="2">
            <w:col w:w="1100" w:space="60"/>
            <w:col w:w="10080"/>
          </w:cols>
          <w:pgMar w:left="320" w:top="112" w:right="339" w:bottom="0" w:gutter="0" w:footer="0" w:header="0"/>
          <w:type w:val="continuous"/>
        </w:sectPr>
      </w:pPr>
    </w:p>
    <w:bookmarkStart w:id="5" w:name="page6"/>
    <w:bookmarkEnd w:id="5"/>
    <w:p>
      <w:pPr>
        <w:spacing w:after="0" w:line="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jc w:val="both"/>
        <w:spacing w:after="0" w:line="239" w:lineRule="auto"/>
        <w:rPr>
          <w:sz w:val="20"/>
          <w:szCs w:val="20"/>
          <w:color w:val="auto"/>
        </w:rPr>
      </w:pPr>
      <w:r>
        <w:rPr>
          <w:rFonts w:ascii="Times New Roman" w:cs="Times New Roman" w:eastAsia="Times New Roman" w:hAnsi="Times New Roman"/>
          <w:sz w:val="22"/>
          <w:szCs w:val="22"/>
          <w:color w:val="auto"/>
        </w:rPr>
        <w:t>Row 8, 10 and 11. Includes 351,374 shares directly owned by SC GGF III. The general partner of SC GGF III is SC GGF III MGMT. Row 13. Based on a total of 235,029,814 shares of Class A common stock as of April 30, 2026, as reported in the Issuer's Quarterly Report on Form 10-Q filed with the Securities and Exchange Commission on May 7, 2026.</w:t>
      </w:r>
    </w:p>
    <w:p>
      <w:pPr>
        <w:spacing w:after="0" w:line="200" w:lineRule="exact"/>
        <w:rPr>
          <w:sz w:val="20"/>
          <w:szCs w:val="20"/>
          <w:color w:val="auto"/>
        </w:rPr>
      </w:pPr>
    </w:p>
    <w:p>
      <w:pPr>
        <w:sectPr>
          <w:pgSz w:w="11900" w:h="16838" w:orient="portrait"/>
          <w:cols w:equalWidth="0" w:num="2">
            <w:col w:w="920" w:space="240"/>
            <w:col w:w="10080"/>
          </w:cols>
          <w:pgMar w:left="320" w:top="355" w:right="339" w:bottom="69" w:gutter="0" w:footer="0" w:header="0"/>
        </w:sectPr>
      </w:pPr>
    </w:p>
    <w:p>
      <w:pPr>
        <w:spacing w:after="0" w:line="200" w:lineRule="exact"/>
        <w:rPr>
          <w:sz w:val="20"/>
          <w:szCs w:val="20"/>
          <w:color w:val="auto"/>
        </w:rPr>
      </w:pPr>
    </w:p>
    <w:p>
      <w:pPr>
        <w:spacing w:after="0" w:line="3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SEQUOIA CAPITAL FUND PARALLEL, LLC ("SCFP")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60" w:hanging="1112"/>
        <w:spacing w:after="0"/>
        <w:tabs>
          <w:tab w:leader="none" w:pos="1160" w:val="left"/>
        </w:tabs>
        <w:numPr>
          <w:ilvl w:val="0"/>
          <w:numId w:val="1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355" w:right="339" w:bottom="69" w:gutter="0" w:footer="0" w:header="0"/>
          <w:type w:val="continuous"/>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3,064,306.00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3,064,306.00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3,064,306.00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100" w:space="60"/>
            <w:col w:w="10080"/>
          </w:cols>
          <w:pgMar w:left="320" w:top="355" w:right="339" w:bottom="69" w:gutter="0" w:footer="0" w:header="0"/>
          <w:type w:val="continuous"/>
        </w:sectPr>
      </w:pPr>
    </w:p>
    <w:p>
      <w:pPr>
        <w:spacing w:after="0" w:line="77"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Row 13. Based on a total of 235,029,814 shares of Class A common stock as of April 30, 2026, as reported in the Issuer's Quarterly Report on Form 10-Q filed with the Securities and Exchange Commission on May 7, 2026.</w:t>
      </w:r>
    </w:p>
    <w:p>
      <w:pPr>
        <w:spacing w:after="0" w:line="200" w:lineRule="exact"/>
        <w:rPr>
          <w:sz w:val="20"/>
          <w:szCs w:val="20"/>
          <w:color w:val="auto"/>
        </w:rPr>
      </w:pPr>
    </w:p>
    <w:p>
      <w:pPr>
        <w:sectPr>
          <w:pgSz w:w="11900" w:h="16838" w:orient="portrait"/>
          <w:cols w:equalWidth="0" w:num="2">
            <w:col w:w="1580" w:space="140"/>
            <w:col w:w="9520"/>
          </w:cols>
          <w:pgMar w:left="320" w:top="355" w:right="339" w:bottom="69" w:gutter="0" w:footer="0" w:header="0"/>
          <w:type w:val="continuous"/>
        </w:sectPr>
      </w:pPr>
    </w:p>
    <w:p>
      <w:pPr>
        <w:spacing w:after="0" w:line="200" w:lineRule="exact"/>
        <w:rPr>
          <w:sz w:val="20"/>
          <w:szCs w:val="20"/>
          <w:color w:val="auto"/>
        </w:rPr>
      </w:pPr>
    </w:p>
    <w:p>
      <w:pPr>
        <w:spacing w:after="0" w:line="2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5"/>
          <w:szCs w:val="25"/>
          <w:color w:val="auto"/>
        </w:rPr>
        <w:t>SCHEDULE 13D</w:t>
      </w:r>
    </w:p>
    <w:p>
      <w:pPr>
        <w:sectPr>
          <w:pgSz w:w="11900" w:h="16838" w:orient="portrait"/>
          <w:cols w:equalWidth="0" w:num="1">
            <w:col w:w="11240"/>
          </w:cols>
          <w:pgMar w:left="320" w:top="355" w:right="339" w:bottom="69" w:gutter="0" w:footer="0" w:header="0"/>
          <w:type w:val="continuous"/>
        </w:sectPr>
      </w:pPr>
    </w:p>
    <w:bookmarkStart w:id="6" w:name="page7"/>
    <w:bookmarkEnd w:id="6"/>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SEQUOIA CAPITAL FUND, L.P. ("SCF")</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60" w:hanging="1112"/>
        <w:spacing w:after="0"/>
        <w:tabs>
          <w:tab w:leader="none" w:pos="1160" w:val="left"/>
        </w:tabs>
        <w:numPr>
          <w:ilvl w:val="0"/>
          <w:numId w:val="1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108" w:right="33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8160"/>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814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20,144,842.00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20,144,842.00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20,144,842.00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10080"/>
          </w:cols>
          <w:pgMar w:left="320" w:top="108" w:right="339" w:bottom="0" w:gutter="0" w:footer="0" w:header="0"/>
          <w:type w:val="continuous"/>
        </w:sectPr>
      </w:pPr>
    </w:p>
    <w:p>
      <w:pPr>
        <w:spacing w:after="0" w:line="77"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Row 13. Based on a total of 235,029,814 shares of Class A common stock as of April 30, 2026, as reported in the Issuer's Quarterly Report on Form 10-Q filed with the Securities and Exchange Commission on May 7, 2026.</w:t>
      </w:r>
    </w:p>
    <w:p>
      <w:pPr>
        <w:spacing w:after="0" w:line="200" w:lineRule="exact"/>
        <w:rPr>
          <w:sz w:val="20"/>
          <w:szCs w:val="20"/>
          <w:color w:val="auto"/>
        </w:rPr>
      </w:pPr>
    </w:p>
    <w:p>
      <w:pPr>
        <w:sectPr>
          <w:pgSz w:w="11900" w:h="16838" w:orient="portrait"/>
          <w:cols w:equalWidth="0" w:num="2">
            <w:col w:w="1580" w:space="140"/>
            <w:col w:w="9520"/>
          </w:cols>
          <w:pgMar w:left="320" w:top="108" w:right="339" w:bottom="0" w:gutter="0" w:footer="0" w:header="0"/>
          <w:type w:val="continuous"/>
        </w:sectPr>
      </w:pPr>
    </w:p>
    <w:p>
      <w:pPr>
        <w:spacing w:after="0" w:line="200" w:lineRule="exact"/>
        <w:rPr>
          <w:sz w:val="20"/>
          <w:szCs w:val="20"/>
          <w:color w:val="auto"/>
        </w:rPr>
      </w:pPr>
    </w:p>
    <w:p>
      <w:pPr>
        <w:spacing w:after="0" w:line="2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1"/>
          <w:szCs w:val="21"/>
          <w:color w:val="auto"/>
        </w:rPr>
        <w:t>SEQUOIA CAPITAL FUND MANAGEMENT, L.P. ("SEQUOIA CAPITAL FUND MANAGEMENT")</w:t>
      </w:r>
    </w:p>
    <w:p>
      <w:pPr>
        <w:spacing w:after="0" w:line="3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108" w:right="339" w:bottom="0" w:gutter="0" w:footer="0" w:header="0"/>
          <w:type w:val="continuous"/>
        </w:sectPr>
      </w:pPr>
    </w:p>
    <w:bookmarkStart w:id="7" w:name="page8"/>
    <w:bookmarkEnd w:id="7"/>
    <w:p>
      <w:pPr>
        <w:ind w:left="1160" w:hanging="1112"/>
        <w:spacing w:after="0"/>
        <w:tabs>
          <w:tab w:leader="none" w:pos="116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0" w:type="dxa"/>
        <w:tblCellMar>
          <w:top w:w="0" w:type="dxa"/>
          <w:left w:w="0" w:type="dxa"/>
          <w:bottom w:w="0" w:type="dxa"/>
          <w:right w:w="0" w:type="dxa"/>
        </w:tblCellMar>
      </w:tblPr>
      <w:tr>
        <w:trPr>
          <w:trHeight w:val="282"/>
        </w:trPr>
        <w:tc>
          <w:tcPr>
            <w:tcW w:w="9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5</w:t>
            </w:r>
          </w:p>
        </w:tc>
        <w:tc>
          <w:tcPr>
            <w:tcW w:w="120" w:type="dxa"/>
            <w:vAlign w:val="bottom"/>
          </w:tcPr>
          <w:p>
            <w:pPr>
              <w:spacing w:after="0"/>
              <w:rPr>
                <w:sz w:val="24"/>
                <w:szCs w:val="24"/>
                <w:color w:val="auto"/>
              </w:rPr>
            </w:pPr>
          </w:p>
        </w:tc>
        <w:tc>
          <w:tcPr>
            <w:tcW w:w="10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96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6</w:t>
            </w:r>
          </w:p>
        </w:tc>
        <w:tc>
          <w:tcPr>
            <w:tcW w:w="120" w:type="dxa"/>
            <w:vAlign w:val="bottom"/>
          </w:tcPr>
          <w:p>
            <w:pPr>
              <w:spacing w:after="0"/>
              <w:rPr>
                <w:sz w:val="24"/>
                <w:szCs w:val="24"/>
                <w:color w:val="auto"/>
              </w:rPr>
            </w:pPr>
          </w:p>
        </w:tc>
        <w:tc>
          <w:tcPr>
            <w:tcW w:w="101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96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016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CAYMAN ISLANDS</w:t>
            </w:r>
          </w:p>
        </w:tc>
        <w:tc>
          <w:tcPr>
            <w:tcW w:w="0" w:type="dxa"/>
            <w:vAlign w:val="bottom"/>
          </w:tcPr>
          <w:p>
            <w:pPr>
              <w:spacing w:after="0"/>
              <w:rPr>
                <w:sz w:val="1"/>
                <w:szCs w:val="1"/>
                <w:color w:val="auto"/>
              </w:rPr>
            </w:pPr>
          </w:p>
        </w:tc>
      </w:tr>
      <w:tr>
        <w:trPr>
          <w:trHeight w:val="243"/>
        </w:trPr>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1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16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1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080" w:type="dxa"/>
            <w:vAlign w:val="bottom"/>
            <w:gridSpan w:val="2"/>
            <w:vMerge w:val="restart"/>
          </w:tcPr>
          <w:p>
            <w:pPr>
              <w:ind w:left="40"/>
              <w:spacing w:after="0"/>
              <w:rPr>
                <w:sz w:val="20"/>
                <w:szCs w:val="20"/>
                <w:color w:val="auto"/>
              </w:rPr>
            </w:pPr>
            <w:r>
              <w:rPr>
                <w:rFonts w:ascii="Times New Roman" w:cs="Times New Roman" w:eastAsia="Times New Roman" w:hAnsi="Times New Roman"/>
                <w:sz w:val="22"/>
                <w:szCs w:val="22"/>
                <w:color w:val="auto"/>
              </w:rPr>
              <w:t>Number of</w:t>
            </w:r>
          </w:p>
        </w:tc>
        <w:tc>
          <w:tcPr>
            <w:tcW w:w="1016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080" w:type="dxa"/>
            <w:vAlign w:val="bottom"/>
            <w:gridSpan w:val="2"/>
            <w:vMerge w:val="continue"/>
          </w:tcPr>
          <w:p>
            <w:pPr>
              <w:spacing w:after="0"/>
              <w:rPr>
                <w:sz w:val="3"/>
                <w:szCs w:val="3"/>
                <w:color w:val="auto"/>
              </w:rPr>
            </w:pPr>
          </w:p>
        </w:tc>
        <w:tc>
          <w:tcPr>
            <w:tcW w:w="1016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960" w:type="dxa"/>
            <w:vAlign w:val="bottom"/>
          </w:tcPr>
          <w:p>
            <w:pPr>
              <w:ind w:left="40"/>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120" w:type="dxa"/>
            <w:vAlign w:val="bottom"/>
          </w:tcPr>
          <w:p>
            <w:pPr>
              <w:spacing w:after="0"/>
              <w:rPr>
                <w:sz w:val="18"/>
                <w:szCs w:val="18"/>
                <w:color w:val="auto"/>
              </w:rPr>
            </w:pPr>
          </w:p>
        </w:tc>
        <w:tc>
          <w:tcPr>
            <w:tcW w:w="10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240" w:type="dxa"/>
            <w:vAlign w:val="bottom"/>
            <w:gridSpan w:val="3"/>
          </w:tcPr>
          <w:p>
            <w:pPr>
              <w:ind w:left="40"/>
              <w:spacing w:after="0" w:line="243" w:lineRule="exact"/>
              <w:rPr>
                <w:sz w:val="20"/>
                <w:szCs w:val="20"/>
                <w:color w:val="auto"/>
              </w:rPr>
            </w:pPr>
            <w:r>
              <w:rPr>
                <w:rFonts w:ascii="Times New Roman" w:cs="Times New Roman" w:eastAsia="Times New Roman" w:hAnsi="Times New Roman"/>
                <w:sz w:val="22"/>
                <w:szCs w:val="22"/>
                <w:color w:val="auto"/>
              </w:rPr>
              <w:t>Beneficially 8</w:t>
            </w:r>
          </w:p>
        </w:tc>
        <w:tc>
          <w:tcPr>
            <w:tcW w:w="0" w:type="dxa"/>
            <w:vAlign w:val="bottom"/>
          </w:tcPr>
          <w:p>
            <w:pPr>
              <w:spacing w:after="0"/>
              <w:rPr>
                <w:sz w:val="1"/>
                <w:szCs w:val="1"/>
                <w:color w:val="auto"/>
              </w:rPr>
            </w:pPr>
          </w:p>
        </w:tc>
      </w:tr>
      <w:tr>
        <w:trPr>
          <w:trHeight w:val="270"/>
        </w:trPr>
        <w:tc>
          <w:tcPr>
            <w:tcW w:w="96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8"/>
              </w:rPr>
              <w:t>Owned by</w:t>
            </w:r>
          </w:p>
        </w:tc>
        <w:tc>
          <w:tcPr>
            <w:tcW w:w="120" w:type="dxa"/>
            <w:vAlign w:val="bottom"/>
          </w:tcPr>
          <w:p>
            <w:pPr>
              <w:spacing w:after="0"/>
              <w:rPr>
                <w:sz w:val="23"/>
                <w:szCs w:val="23"/>
                <w:color w:val="auto"/>
              </w:rPr>
            </w:pPr>
          </w:p>
        </w:tc>
        <w:tc>
          <w:tcPr>
            <w:tcW w:w="1016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23,209,148.00</w:t>
            </w:r>
          </w:p>
        </w:tc>
        <w:tc>
          <w:tcPr>
            <w:tcW w:w="0" w:type="dxa"/>
            <w:vAlign w:val="bottom"/>
          </w:tcPr>
          <w:p>
            <w:pPr>
              <w:spacing w:after="0"/>
              <w:rPr>
                <w:sz w:val="1"/>
                <w:szCs w:val="1"/>
                <w:color w:val="auto"/>
              </w:rPr>
            </w:pPr>
          </w:p>
        </w:tc>
      </w:tr>
      <w:tr>
        <w:trPr>
          <w:trHeight w:val="243"/>
        </w:trPr>
        <w:tc>
          <w:tcPr>
            <w:tcW w:w="9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120" w:type="dxa"/>
            <w:vAlign w:val="bottom"/>
          </w:tcPr>
          <w:p>
            <w:pPr>
              <w:spacing w:after="0"/>
              <w:rPr>
                <w:sz w:val="21"/>
                <w:szCs w:val="21"/>
                <w:color w:val="auto"/>
              </w:rPr>
            </w:pPr>
          </w:p>
        </w:tc>
        <w:tc>
          <w:tcPr>
            <w:tcW w:w="1016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9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120" w:type="dxa"/>
            <w:vAlign w:val="bottom"/>
          </w:tcPr>
          <w:p>
            <w:pPr>
              <w:spacing w:after="0"/>
              <w:rPr>
                <w:sz w:val="21"/>
                <w:szCs w:val="21"/>
                <w:color w:val="auto"/>
              </w:rPr>
            </w:pPr>
          </w:p>
        </w:tc>
        <w:tc>
          <w:tcPr>
            <w:tcW w:w="101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9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120" w:type="dxa"/>
            <w:vAlign w:val="bottom"/>
          </w:tcPr>
          <w:p>
            <w:pPr>
              <w:spacing w:after="0"/>
              <w:rPr>
                <w:sz w:val="21"/>
                <w:szCs w:val="21"/>
                <w:color w:val="auto"/>
              </w:rPr>
            </w:pPr>
          </w:p>
        </w:tc>
        <w:tc>
          <w:tcPr>
            <w:tcW w:w="1016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9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With:</w:t>
            </w:r>
          </w:p>
        </w:tc>
        <w:tc>
          <w:tcPr>
            <w:tcW w:w="120" w:type="dxa"/>
            <w:vAlign w:val="bottom"/>
          </w:tcPr>
          <w:p>
            <w:pPr>
              <w:spacing w:after="0"/>
              <w:rPr>
                <w:sz w:val="24"/>
                <w:szCs w:val="24"/>
                <w:color w:val="auto"/>
              </w:rPr>
            </w:pPr>
          </w:p>
        </w:tc>
        <w:tc>
          <w:tcPr>
            <w:tcW w:w="1016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1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1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16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23,209,148.00</w:t>
            </w:r>
          </w:p>
        </w:tc>
        <w:tc>
          <w:tcPr>
            <w:tcW w:w="0" w:type="dxa"/>
            <w:vAlign w:val="bottom"/>
          </w:tcPr>
          <w:p>
            <w:pPr>
              <w:spacing w:after="0"/>
              <w:rPr>
                <w:sz w:val="1"/>
                <w:szCs w:val="1"/>
                <w:color w:val="auto"/>
              </w:rPr>
            </w:pPr>
          </w:p>
        </w:tc>
      </w:tr>
      <w:tr>
        <w:trPr>
          <w:trHeight w:val="338"/>
        </w:trPr>
        <w:tc>
          <w:tcPr>
            <w:tcW w:w="96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11</w:t>
            </w:r>
          </w:p>
        </w:tc>
        <w:tc>
          <w:tcPr>
            <w:tcW w:w="120" w:type="dxa"/>
            <w:vAlign w:val="bottom"/>
          </w:tcPr>
          <w:p>
            <w:pPr>
              <w:spacing w:after="0"/>
              <w:rPr>
                <w:sz w:val="24"/>
                <w:szCs w:val="24"/>
                <w:color w:val="auto"/>
              </w:rPr>
            </w:pPr>
          </w:p>
        </w:tc>
        <w:tc>
          <w:tcPr>
            <w:tcW w:w="101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96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016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23,209,148.00</w:t>
            </w:r>
          </w:p>
        </w:tc>
        <w:tc>
          <w:tcPr>
            <w:tcW w:w="0" w:type="dxa"/>
            <w:vAlign w:val="bottom"/>
          </w:tcPr>
          <w:p>
            <w:pPr>
              <w:spacing w:after="0"/>
              <w:rPr>
                <w:sz w:val="1"/>
                <w:szCs w:val="1"/>
                <w:color w:val="auto"/>
              </w:rPr>
            </w:pPr>
          </w:p>
        </w:tc>
      </w:tr>
      <w:tr>
        <w:trPr>
          <w:trHeight w:val="243"/>
        </w:trPr>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1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96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12</w:t>
            </w:r>
          </w:p>
        </w:tc>
        <w:tc>
          <w:tcPr>
            <w:tcW w:w="120" w:type="dxa"/>
            <w:vAlign w:val="bottom"/>
          </w:tcPr>
          <w:p>
            <w:pPr>
              <w:spacing w:after="0"/>
              <w:rPr>
                <w:sz w:val="24"/>
                <w:szCs w:val="24"/>
                <w:color w:val="auto"/>
              </w:rPr>
            </w:pPr>
          </w:p>
        </w:tc>
        <w:tc>
          <w:tcPr>
            <w:tcW w:w="101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9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96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13</w:t>
            </w:r>
          </w:p>
        </w:tc>
        <w:tc>
          <w:tcPr>
            <w:tcW w:w="120" w:type="dxa"/>
            <w:vAlign w:val="bottom"/>
          </w:tcPr>
          <w:p>
            <w:pPr>
              <w:spacing w:after="0"/>
              <w:rPr>
                <w:sz w:val="24"/>
                <w:szCs w:val="24"/>
                <w:color w:val="auto"/>
              </w:rPr>
            </w:pPr>
          </w:p>
        </w:tc>
        <w:tc>
          <w:tcPr>
            <w:tcW w:w="101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96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016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9.9 %</w:t>
            </w:r>
          </w:p>
        </w:tc>
        <w:tc>
          <w:tcPr>
            <w:tcW w:w="0" w:type="dxa"/>
            <w:vAlign w:val="bottom"/>
          </w:tcPr>
          <w:p>
            <w:pPr>
              <w:spacing w:after="0"/>
              <w:rPr>
                <w:sz w:val="1"/>
                <w:szCs w:val="1"/>
                <w:color w:val="auto"/>
              </w:rPr>
            </w:pPr>
          </w:p>
        </w:tc>
      </w:tr>
      <w:tr>
        <w:trPr>
          <w:trHeight w:val="243"/>
        </w:trPr>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1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96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14</w:t>
            </w:r>
          </w:p>
        </w:tc>
        <w:tc>
          <w:tcPr>
            <w:tcW w:w="120" w:type="dxa"/>
            <w:vAlign w:val="bottom"/>
          </w:tcPr>
          <w:p>
            <w:pPr>
              <w:spacing w:after="0"/>
              <w:rPr>
                <w:sz w:val="24"/>
                <w:szCs w:val="24"/>
                <w:color w:val="auto"/>
              </w:rPr>
            </w:pPr>
          </w:p>
        </w:tc>
        <w:tc>
          <w:tcPr>
            <w:tcW w:w="101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96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016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PN</w:t>
            </w:r>
          </w:p>
        </w:tc>
        <w:tc>
          <w:tcPr>
            <w:tcW w:w="0" w:type="dxa"/>
            <w:vAlign w:val="bottom"/>
          </w:tcPr>
          <w:p>
            <w:pPr>
              <w:spacing w:after="0"/>
              <w:rPr>
                <w:sz w:val="1"/>
                <w:szCs w:val="1"/>
                <w:color w:val="auto"/>
              </w:rPr>
            </w:pPr>
          </w:p>
        </w:tc>
      </w:tr>
      <w:tr>
        <w:trPr>
          <w:trHeight w:val="243"/>
        </w:trPr>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1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77"/>
        </w:trPr>
        <w:tc>
          <w:tcPr>
            <w:tcW w:w="96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w:t>
            </w:r>
          </w:p>
        </w:tc>
        <w:tc>
          <w:tcPr>
            <w:tcW w:w="1028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w w:val="99"/>
              </w:rPr>
              <w:t>Row 8, 10 and 11. Includes 3,064,306 shares directly owned by SCFP and 20,144,842 shares directly owned by SCF.</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280" w:type="dxa"/>
            <w:vAlign w:val="bottom"/>
            <w:gridSpan w:val="2"/>
          </w:tcPr>
          <w:p>
            <w:pPr>
              <w:ind w:left="20"/>
              <w:spacing w:after="0" w:line="229" w:lineRule="exact"/>
              <w:rPr>
                <w:sz w:val="20"/>
                <w:szCs w:val="20"/>
                <w:color w:val="auto"/>
              </w:rPr>
            </w:pPr>
            <w:r>
              <w:rPr>
                <w:rFonts w:ascii="Times New Roman" w:cs="Times New Roman" w:eastAsia="Times New Roman" w:hAnsi="Times New Roman"/>
                <w:sz w:val="22"/>
                <w:szCs w:val="22"/>
                <w:color w:val="auto"/>
              </w:rPr>
              <w:t>SEQUOIA CAPITAL FUND MANAGEMENT is the general partner of SCF and the manager of SCFP. Row 13.</w:t>
            </w:r>
          </w:p>
        </w:tc>
        <w:tc>
          <w:tcPr>
            <w:tcW w:w="0" w:type="dxa"/>
            <w:vAlign w:val="bottom"/>
          </w:tcPr>
          <w:p>
            <w:pPr>
              <w:spacing w:after="0"/>
              <w:rPr>
                <w:sz w:val="1"/>
                <w:szCs w:val="1"/>
                <w:color w:val="auto"/>
              </w:rPr>
            </w:pPr>
          </w:p>
        </w:tc>
      </w:tr>
      <w:tr>
        <w:trPr>
          <w:trHeight w:val="240"/>
        </w:trPr>
        <w:tc>
          <w:tcPr>
            <w:tcW w:w="96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280" w:type="dxa"/>
            <w:vAlign w:val="bottom"/>
            <w:gridSpan w:val="2"/>
          </w:tcPr>
          <w:p>
            <w:pPr>
              <w:ind w:left="20"/>
              <w:spacing w:after="0" w:line="240" w:lineRule="exact"/>
              <w:rPr>
                <w:sz w:val="20"/>
                <w:szCs w:val="20"/>
                <w:color w:val="auto"/>
              </w:rPr>
            </w:pPr>
            <w:r>
              <w:rPr>
                <w:rFonts w:ascii="Times New Roman" w:cs="Times New Roman" w:eastAsia="Times New Roman" w:hAnsi="Times New Roman"/>
                <w:sz w:val="22"/>
                <w:szCs w:val="22"/>
                <w:color w:val="auto"/>
              </w:rPr>
              <w:t>Based on a total of 235,029,814 shares of Class A common stock as of April 30, 2026, as reported in the Issuer's</w:t>
            </w:r>
          </w:p>
        </w:tc>
        <w:tc>
          <w:tcPr>
            <w:tcW w:w="0" w:type="dxa"/>
            <w:vAlign w:val="bottom"/>
          </w:tcPr>
          <w:p>
            <w:pPr>
              <w:spacing w:after="0"/>
              <w:rPr>
                <w:sz w:val="1"/>
                <w:szCs w:val="1"/>
                <w:color w:val="auto"/>
              </w:rPr>
            </w:pPr>
          </w:p>
        </w:tc>
      </w:tr>
      <w:tr>
        <w:trPr>
          <w:trHeight w:val="243"/>
        </w:trPr>
        <w:tc>
          <w:tcPr>
            <w:tcW w:w="96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w:t>
            </w:r>
          </w:p>
        </w:tc>
        <w:tc>
          <w:tcPr>
            <w:tcW w:w="1028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22"/>
                <w:szCs w:val="22"/>
                <w:color w:val="auto"/>
              </w:rPr>
              <w:t>Quarterly Report on Form 10-Q filed with the Securities and Exchange Commission on May 7, 2026.</w:t>
            </w:r>
          </w:p>
        </w:tc>
        <w:tc>
          <w:tcPr>
            <w:tcW w:w="0" w:type="dxa"/>
            <w:vAlign w:val="bottom"/>
          </w:tcPr>
          <w:p>
            <w:pPr>
              <w:spacing w:after="0"/>
              <w:rPr>
                <w:sz w:val="1"/>
                <w:szCs w:val="1"/>
                <w:color w:val="auto"/>
              </w:rPr>
            </w:pPr>
          </w:p>
        </w:tc>
      </w:tr>
      <w:tr>
        <w:trPr>
          <w:trHeight w:val="257"/>
        </w:trPr>
        <w:tc>
          <w:tcPr>
            <w:tcW w:w="96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120" w:type="dxa"/>
            <w:vAlign w:val="bottom"/>
          </w:tcPr>
          <w:p>
            <w:pPr>
              <w:spacing w:after="0"/>
              <w:rPr>
                <w:sz w:val="22"/>
                <w:szCs w:val="22"/>
                <w:color w:val="auto"/>
              </w:rPr>
            </w:pPr>
          </w:p>
        </w:tc>
        <w:tc>
          <w:tcPr>
            <w:tcW w:w="101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-5554980</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-2048510</wp:posOffset>
            </wp:positionV>
            <wp:extent cx="128905"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SC US (TTGP), LTD. ("SC US (TTGP)")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hanging="1112"/>
        <w:spacing w:after="0"/>
        <w:tabs>
          <w:tab w:leader="none" w:pos="116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w:t>
      </w:r>
    </w:p>
    <w:p>
      <w:pPr>
        <w:sectPr>
          <w:pgSz w:w="11900" w:h="16838" w:orient="portrait"/>
          <w:cols w:equalWidth="0" w:num="1">
            <w:col w:w="11240"/>
          </w:cols>
          <w:pgMar w:left="320" w:top="111" w:right="339" w:bottom="0" w:gutter="0" w:footer="0" w:header="0"/>
        </w:sectPr>
      </w:pPr>
    </w:p>
    <w:bookmarkStart w:id="8" w:name="page9"/>
    <w:bookmarkEnd w:id="8"/>
    <w:tbl>
      <w:tblPr>
        <w:tblLayout w:type="fixed"/>
        <w:tblInd w:w="40" w:type="dxa"/>
        <w:tblCellMar>
          <w:top w:w="0" w:type="dxa"/>
          <w:left w:w="0" w:type="dxa"/>
          <w:bottom w:w="0" w:type="dxa"/>
          <w:right w:w="0" w:type="dxa"/>
        </w:tblCellMar>
      </w:tblPr>
      <w:tr>
        <w:trPr>
          <w:trHeight w:val="283"/>
        </w:trPr>
        <w:tc>
          <w:tcPr>
            <w:tcW w:w="1100" w:type="dxa"/>
            <w:vAlign w:val="bottom"/>
          </w:tcPr>
          <w:p>
            <w:pPr>
              <w:spacing w:after="0"/>
              <w:rPr>
                <w:sz w:val="24"/>
                <w:szCs w:val="24"/>
                <w:color w:val="auto"/>
              </w:rPr>
            </w:pP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CAYMAN ISLANDS</w:t>
            </w: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27,928,385.00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27,928,385.00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27,928,385.00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11.9 %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PN</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-1129665</wp:posOffset>
            </wp:positionV>
            <wp:extent cx="128905" cy="1289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Row 8, 10 and 11. Includes 1,217,532 shares directly owned by SCGGF III - U.S./INDIA MANAGEMENT, 351,374</w:t>
      </w:r>
    </w:p>
    <w:tbl>
      <w:tblPr>
        <w:tblLayout w:type="fixed"/>
        <w:tblInd w:w="0" w:type="dxa"/>
        <w:tblCellMar>
          <w:top w:w="0" w:type="dxa"/>
          <w:left w:w="0" w:type="dxa"/>
          <w:bottom w:w="0" w:type="dxa"/>
          <w:right w:w="0" w:type="dxa"/>
        </w:tblCellMar>
      </w:tblPr>
      <w:tr>
        <w:trPr>
          <w:trHeight w:val="221"/>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1" w:lineRule="exact"/>
              <w:rPr>
                <w:sz w:val="20"/>
                <w:szCs w:val="20"/>
                <w:color w:val="auto"/>
              </w:rPr>
            </w:pPr>
            <w:r>
              <w:rPr>
                <w:rFonts w:ascii="Times New Roman" w:cs="Times New Roman" w:eastAsia="Times New Roman" w:hAnsi="Times New Roman"/>
                <w:sz w:val="22"/>
                <w:szCs w:val="22"/>
                <w:color w:val="auto"/>
                <w:w w:val="98"/>
              </w:rPr>
              <w:t>shares directly owned by SC GGF III, 1,000,000 shares directly owned by SC US/E EXPANSION FUND I, 2,150,331</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shares directly owned by SC US/E EXPANSION FUND I MGMT, 3,064,306 shares directly owned by SCFP and</w:t>
            </w:r>
          </w:p>
        </w:tc>
      </w:tr>
    </w:tbl>
    <w:p>
      <w:pPr>
        <w:jc w:val="both"/>
        <w:spacing w:after="0" w:line="197" w:lineRule="auto"/>
        <w:rPr>
          <w:sz w:val="20"/>
          <w:szCs w:val="20"/>
          <w:color w:val="auto"/>
        </w:rPr>
      </w:pPr>
      <w:r>
        <w:rPr>
          <w:rFonts w:ascii="Times New Roman" w:cs="Times New Roman" w:eastAsia="Times New Roman" w:hAnsi="Times New Roman"/>
          <w:sz w:val="35"/>
          <w:szCs w:val="35"/>
          <w:b w:val="1"/>
          <w:bCs w:val="1"/>
          <w:color w:val="auto"/>
          <w:vertAlign w:val="superscript"/>
        </w:rPr>
        <w:t>Reporting</w:t>
      </w:r>
      <w:r>
        <w:rPr>
          <w:rFonts w:ascii="Times New Roman" w:cs="Times New Roman" w:eastAsia="Times New Roman" w:hAnsi="Times New Roman"/>
          <w:sz w:val="20"/>
          <w:szCs w:val="20"/>
          <w:color w:val="auto"/>
        </w:rPr>
        <w:t xml:space="preserve"> 20,144,842 shares directly owned by SCF. The general partner of SC GGF III is SC GGF III MGMT. The general </w:t>
      </w:r>
      <w:r>
        <w:rPr>
          <w:rFonts w:ascii="Times New Roman" w:cs="Times New Roman" w:eastAsia="Times New Roman" w:hAnsi="Times New Roman"/>
          <w:sz w:val="35"/>
          <w:szCs w:val="35"/>
          <w:b w:val="1"/>
          <w:bCs w:val="1"/>
          <w:color w:val="auto"/>
          <w:vertAlign w:val="superscript"/>
        </w:rPr>
        <w:t>Person:</w:t>
      </w:r>
      <w:r>
        <w:rPr>
          <w:rFonts w:ascii="Times New Roman" w:cs="Times New Roman" w:eastAsia="Times New Roman" w:hAnsi="Times New Roman"/>
          <w:sz w:val="20"/>
          <w:szCs w:val="20"/>
          <w:color w:val="auto"/>
        </w:rPr>
        <w:t xml:space="preserve"> partner of SC US/E EXPANSION FUND I is SC US/E EXPANSION FUND I MGMT. The General Partner of SCF</w:t>
      </w:r>
    </w:p>
    <w:p>
      <w:pPr>
        <w:spacing w:after="0" w:line="2" w:lineRule="exact"/>
        <w:rPr>
          <w:sz w:val="20"/>
          <w:szCs w:val="20"/>
          <w:color w:val="auto"/>
        </w:rPr>
      </w:pPr>
    </w:p>
    <w:p>
      <w:pPr>
        <w:jc w:val="both"/>
        <w:ind w:left="920"/>
        <w:spacing w:after="0" w:line="233" w:lineRule="auto"/>
        <w:rPr>
          <w:sz w:val="20"/>
          <w:szCs w:val="20"/>
          <w:color w:val="auto"/>
        </w:rPr>
      </w:pPr>
      <w:r>
        <w:rPr>
          <w:rFonts w:ascii="Times New Roman" w:cs="Times New Roman" w:eastAsia="Times New Roman" w:hAnsi="Times New Roman"/>
          <w:sz w:val="22"/>
          <w:szCs w:val="22"/>
          <w:color w:val="auto"/>
        </w:rPr>
        <w:t>and the manager of SCFP is SEQUOIA CAPITAL FUND MANAGEMENT. SC US TTGP is the General Partner of SCGGF III- U.S./INDIA MANAGEMENT, SC GGF III MGMT, SC US/E EXPANSION FUND I MGMT and SEQUOIA CAPITAL FUND MANAGEMENT. Row 13. Based on a total of 235,029,814 shares of Class A common stock as of April 30, 2026, as reported in the Issuer's Quarterly Report on Form 10-Q filed with the Securities and Exchange Commission on May 7, 2026.</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Class A Common Stock, par value $0.0001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Maplebear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50 Beale Street, Suite 600, San Francisco, CALIFORNIA , 94105.</w:t>
      </w:r>
    </w:p>
    <w:p>
      <w:pPr>
        <w:spacing w:after="0" w:line="20" w:lineRule="exact"/>
        <w:rPr>
          <w:sz w:val="20"/>
          <w:szCs w:val="20"/>
          <w:color w:val="auto"/>
        </w:rPr>
      </w:pPr>
    </w:p>
    <w:p>
      <w:pPr>
        <w:jc w:val="right"/>
        <w:ind w:left="40" w:right="40"/>
        <w:spacing w:after="0" w:line="243"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EXPLANATORY NOTE Except as set forth in this Amendment No. 7, the initial Schedule 13D that was filed on</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February 27, 2024, as amended by Amendment No. 1 thereto on August 13, 2024 ("Amendment No. 1"),</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Amendment No. 2 thereto on August 28, 2024 ("Amendment No. 2"), Amendment No. 3 thereto on September 4, 2024 ("Amendment No. 3"), Amendment No. 4 thereto on September 9, 2024 ("Amendment No. 4"), Amendment No. 5 thereto on November 21, 2024 ("Amendment No. 5") and Amendment No. 6 thereto on June 3, 2025 ("Amendment No. 6" and collectively, with the initial Schedule 13D, Amendment No. 1, Amendment No. 2, Amendment No. 3, Amendment No. 4 and Amendment No. 5, the "Original 13D") remains in effect, and capitalized terms used herein but not defined herein have such respective meanings, as defined in such Original 13D. The information set forth in response to the Item below shall be deemed to be a response to all Items where such information is relevant. The information set forth in the Exhibits to the Original 13D is expressly incorporated herein by reference and the response to each Item of this Statement is qualified in its entirety by the provisions of such Exhibits. This Amendment No. 7 is being filed due to a change in the aggregate number of securities of the Issuer</w:t>
      </w:r>
    </w:p>
    <w:p>
      <w:pPr>
        <w:spacing w:after="0" w:line="25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outstanding.</w:t>
      </w:r>
    </w:p>
    <w:p>
      <w:pPr>
        <w:sectPr>
          <w:pgSz w:w="11900" w:h="16838" w:orient="portrait"/>
          <w:cols w:equalWidth="0" w:num="1">
            <w:col w:w="11240"/>
          </w:cols>
          <w:pgMar w:left="320" w:top="111" w:right="339" w:bottom="0" w:gutter="0" w:footer="0" w:header="0"/>
        </w:sectPr>
      </w:pPr>
    </w:p>
    <w:bookmarkStart w:id="9" w:name="page10"/>
    <w:bookmarkEnd w:id="9"/>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5" w:lineRule="exact"/>
        <w:rPr>
          <w:sz w:val="20"/>
          <w:szCs w:val="20"/>
          <w:color w:val="auto"/>
        </w:rPr>
      </w:pPr>
    </w:p>
    <w:p>
      <w:pPr>
        <w:ind w:left="920" w:right="40"/>
        <w:spacing w:after="0" w:line="243" w:lineRule="auto"/>
        <w:rPr>
          <w:sz w:val="20"/>
          <w:szCs w:val="20"/>
          <w:color w:val="auto"/>
        </w:rPr>
      </w:pPr>
      <w:r>
        <w:rPr>
          <w:rFonts w:ascii="Times New Roman" w:cs="Times New Roman" w:eastAsia="Times New Roman" w:hAnsi="Times New Roman"/>
          <w:sz w:val="21"/>
          <w:szCs w:val="21"/>
          <w:color w:val="auto"/>
        </w:rPr>
        <w:t>Paragraphs (a) and (c) of Item 5 of the Original 13D are hereby amended and restated in their entirety as follows: The aggregate number of Class A Common Stock and the percentage of total outstanding Class A Common Stock beneficially owned by the Reporting Persons is set forth below. References to percentage ownerships of Class A Common Stock in this Statement are based upon the 235,029,814 shares of Class A common stock stated to be outstanding as of April 30, 2026, as reported in the Company's Quarterly Report on Form 10-Q filed with the Securities and Exchange Commission on May 7, 2026. The Reporting Persons may be deemed to beneficially own an aggregate of 27,928,385 shares of Class A Common Stock, which constitutes approximately 11.9% of the Company's Class A Common Stock, calculated in accordance with Rule 13d-3 under the Act. The filing of this Statement shall not be construed as an admission that a Reporting Person beneficially owns those shares held by any other Reporting Person. SC GGF III beneficially owns 351,374 shares of Class A Common Stock, which represents approximately</w:t>
      </w:r>
    </w:p>
    <w:p>
      <w:pPr>
        <w:spacing w:after="0" w:line="9" w:lineRule="exact"/>
        <w:rPr>
          <w:sz w:val="20"/>
          <w:szCs w:val="20"/>
          <w:color w:val="auto"/>
        </w:rPr>
      </w:pPr>
    </w:p>
    <w:p>
      <w:pPr>
        <w:ind w:left="920" w:right="60"/>
        <w:spacing w:after="0" w:line="241" w:lineRule="auto"/>
        <w:rPr>
          <w:sz w:val="20"/>
          <w:szCs w:val="20"/>
          <w:color w:val="auto"/>
        </w:rPr>
      </w:pPr>
      <w:r>
        <w:rPr>
          <w:rFonts w:ascii="Times New Roman" w:cs="Times New Roman" w:eastAsia="Times New Roman" w:hAnsi="Times New Roman"/>
          <w:sz w:val="21"/>
          <w:szCs w:val="21"/>
          <w:color w:val="auto"/>
        </w:rPr>
        <w:t>0.1% of the outstanding Class A Common Stock calculated in accordance with the requirements of Rule 13d-3 under the Act. SC US/E Expansion Fund I beneficially owns 1,000,000 shares of Class A Common Stock, which represents approximately 0.4% of the outstanding Class A Common Stock calculated in accordance with the requirements of Rule 13d-3 under the Act. SC US/E Expansion Fund I MGMT, as the general partner of SC US/E Expansion Fund I, may be deemed to beneficially own an aggregate of 3,150,331 shares of Class A Common Stock, comprised of 2,150,331 shares of Class A Common Stock directly owned by SC US/E Expansion Fund I MGMT and 1,000,000 shares of Class A Common Stock directly owned by SC US/E Expansion Fund I, which represents approximately</w:t>
      </w:r>
    </w:p>
    <w:p>
      <w:pPr>
        <w:spacing w:after="0" w:line="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1.3% of the outstanding Class A Common Stock calculated in accordance with the requirements of Rule 13d-3 under</w:t>
      </w:r>
    </w:p>
    <w:p>
      <w:pPr>
        <w:spacing w:after="0" w:line="2" w:lineRule="exact"/>
        <w:rPr>
          <w:sz w:val="20"/>
          <w:szCs w:val="20"/>
          <w:color w:val="auto"/>
        </w:rPr>
      </w:pPr>
    </w:p>
    <w:p>
      <w:pPr>
        <w:ind w:left="920" w:right="20" w:hanging="912"/>
        <w:spacing w:after="0" w:line="220" w:lineRule="auto"/>
        <w:tabs>
          <w:tab w:leader="none" w:pos="920" w:val="left"/>
        </w:tabs>
        <w:numPr>
          <w:ilvl w:val="0"/>
          <w:numId w:val="18"/>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the Act. SCGGF III - U.S./India Management beneficially owns 1,217,532 shares of Class A Common Stock, which represents approximately 0.5% of the outstanding Class A Common Stock calculated in accordance with the requirements of Rule 13d-3 under the Act. SC GGF III MGMT, as the general partner of SC GGF III, may be deemed to beneficially own an aggregate of 351,374 shares of Class A Common Stock, which represents approximately 0.1% of the outstanding Class A Common Stock calculated in accordance with the requirements of Rule 13d-3 under the Act. SCFP beneficially owns 3,064,306 shares of Class A Common Stock, which represents approximately 1.3% of the outstanding Class A Common Stock calculated in accordance with the requirements of Rule 13d-3 under the Act. SCF beneficially owns 20,144,842 shares of Class A Common Stock, which represents approximately 8.6% of the outstanding Class A Common Stock calculated in accordance with the requirements of Rule 13d-3 under the Act. Sequoia Capital Fund Management, as the general partner of SCF and manager of SCFP, may be deemed to beneficially own an aggregate of 23,209,148 shares of Class A Common Stock, which represents approximately 9.9% of the outstanding Class A Common Stock calculated in accordance with the requirements of Rule 13d-3 under the Act. SC US (TTGP), as the general partner of SCGGF III - U.S./India Management, SC GGF III MGMT, SC US/E Expansion Fund I MGMT and Sequoia Capital Fund Management, may be deemed to beneficially own an aggregate of 27,928,385 shares of Class A Common Stock, which represents approximately 11.9% of the outstanding Class A Common Stock calculated in accordance with the requirements of Rule 13d-3 under the Act. By virtue of the relationship described herein, the Reporting Persons may be deemed to constitute a "group" for purposes of Rule 13(d)(3) of the Act. Each Reporting Person expressly disclaims beneficial ownership of any securities reported herein except to the extent such Reporting Person actually exercises voting or dispositive power with respect to such securities.</w:t>
      </w:r>
    </w:p>
    <w:p>
      <w:pPr>
        <w:spacing w:after="0" w:line="3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Except as described in this Item 5(c), the Reporting Persons have not effected any transactions in the Class A</w:t>
      </w:r>
    </w:p>
    <w:p>
      <w:pPr>
        <w:spacing w:after="0" w:line="14" w:lineRule="exact"/>
        <w:rPr>
          <w:sz w:val="20"/>
          <w:szCs w:val="20"/>
          <w:color w:val="auto"/>
        </w:rPr>
      </w:pPr>
    </w:p>
    <w:p>
      <w:pPr>
        <w:ind w:left="920" w:right="680" w:hanging="912"/>
        <w:spacing w:after="0" w:line="237" w:lineRule="auto"/>
        <w:tabs>
          <w:tab w:leader="none" w:pos="92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Common Stock during the past 60 days. On March 31, 2026, SCF had a reduction of 66,882 shares of Class A Common Stock through transactions with certain of its limited partners.</w:t>
      </w:r>
    </w:p>
    <w:p>
      <w:pPr>
        <w:spacing w:after="0" w:line="28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SEQUOIA CAPITAL GLOBAL GROWTH FUND III -</w:t>
      </w:r>
    </w:p>
    <w:p>
      <w:pPr>
        <w:spacing w:after="0" w:line="1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ENDURANCE PARTNERS, L.P. ("SC GGF III")</w:t>
      </w:r>
    </w:p>
    <w:p>
      <w:pPr>
        <w:spacing w:after="0" w:line="128" w:lineRule="exact"/>
        <w:rPr>
          <w:sz w:val="20"/>
          <w:szCs w:val="20"/>
          <w:color w:val="auto"/>
        </w:rPr>
      </w:pPr>
    </w:p>
    <w:p>
      <w:pPr>
        <w:ind w:left="456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Jung Yeon Son</w:t>
      </w:r>
    </w:p>
    <w:p>
      <w:pPr>
        <w:spacing w:after="0" w:line="4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2"/>
          <w:szCs w:val="22"/>
          <w:color w:val="auto"/>
        </w:rPr>
        <w:t>Name/Title: Jung Yeon Son, Authorized Signatory</w:t>
      </w:r>
    </w:p>
    <w:p>
      <w:pPr>
        <w:spacing w:after="0" w:line="44" w:lineRule="exact"/>
        <w:rPr>
          <w:sz w:val="20"/>
          <w:szCs w:val="20"/>
          <w:color w:val="auto"/>
        </w:rPr>
      </w:pPr>
    </w:p>
    <w:p>
      <w:pPr>
        <w:ind w:left="456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05/11/2026</w:t>
      </w:r>
    </w:p>
    <w:p>
      <w:pPr>
        <w:spacing w:after="0" w:line="15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1"/>
          <w:szCs w:val="21"/>
          <w:color w:val="auto"/>
        </w:rPr>
        <w:t>SEQUOIA CAPITAL US/E EXPANSION FUND I, L.P. ("SC</w:t>
      </w:r>
    </w:p>
    <w:p>
      <w:pPr>
        <w:spacing w:after="0" w:line="2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US/E EXPANSION FUND I")</w:t>
      </w:r>
    </w:p>
    <w:p>
      <w:pPr>
        <w:spacing w:after="0" w:line="128" w:lineRule="exact"/>
        <w:rPr>
          <w:sz w:val="20"/>
          <w:szCs w:val="20"/>
          <w:color w:val="auto"/>
        </w:rPr>
      </w:pPr>
    </w:p>
    <w:p>
      <w:pPr>
        <w:ind w:left="456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Jung Yeon Son</w:t>
      </w:r>
    </w:p>
    <w:p>
      <w:pPr>
        <w:spacing w:after="0" w:line="4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2"/>
          <w:szCs w:val="22"/>
          <w:color w:val="auto"/>
        </w:rPr>
        <w:t>Name/Title: Jung Yeon Son, Authorized Signatory</w:t>
      </w:r>
    </w:p>
    <w:p>
      <w:pPr>
        <w:spacing w:after="0" w:line="44" w:lineRule="exact"/>
        <w:rPr>
          <w:sz w:val="20"/>
          <w:szCs w:val="20"/>
          <w:color w:val="auto"/>
        </w:rPr>
      </w:pPr>
    </w:p>
    <w:p>
      <w:pPr>
        <w:ind w:left="456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05/11/2026</w:t>
      </w:r>
    </w:p>
    <w:p>
      <w:pPr>
        <w:spacing w:after="0" w:line="15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SEQUOIA CAPITAL US/E EXPANSION FUND I</w:t>
      </w:r>
    </w:p>
    <w:p>
      <w:pPr>
        <w:spacing w:after="0" w:line="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MANAGEMENT, L.P. ("SC US/E EXPANSION FUND I</w:t>
      </w:r>
    </w:p>
    <w:p>
      <w:pPr>
        <w:ind w:left="5660"/>
        <w:spacing w:after="0"/>
        <w:rPr>
          <w:sz w:val="20"/>
          <w:szCs w:val="20"/>
          <w:color w:val="auto"/>
        </w:rPr>
      </w:pPr>
      <w:r>
        <w:rPr>
          <w:rFonts w:ascii="Times New Roman" w:cs="Times New Roman" w:eastAsia="Times New Roman" w:hAnsi="Times New Roman"/>
          <w:sz w:val="22"/>
          <w:szCs w:val="22"/>
          <w:color w:val="auto"/>
        </w:rPr>
        <w:t>MGMT")</w:t>
      </w:r>
    </w:p>
    <w:p>
      <w:pPr>
        <w:spacing w:after="0" w:line="128" w:lineRule="exact"/>
        <w:rPr>
          <w:sz w:val="20"/>
          <w:szCs w:val="20"/>
          <w:color w:val="auto"/>
        </w:rPr>
      </w:pPr>
    </w:p>
    <w:p>
      <w:pPr>
        <w:ind w:left="456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Jung Yeon Son</w:t>
      </w:r>
    </w:p>
    <w:p>
      <w:pPr>
        <w:spacing w:after="0" w:line="4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2"/>
          <w:szCs w:val="22"/>
          <w:color w:val="auto"/>
        </w:rPr>
        <w:t>Name/Title: Jung Yeon Son, Authorized Signatory</w:t>
      </w:r>
    </w:p>
    <w:p>
      <w:pPr>
        <w:sectPr>
          <w:pgSz w:w="11900" w:h="16838" w:orient="portrait"/>
          <w:cols w:equalWidth="0" w:num="1">
            <w:col w:w="11140"/>
          </w:cols>
          <w:pgMar w:left="360" w:top="111" w:right="399" w:bottom="0" w:gutter="0" w:footer="0" w:header="0"/>
        </w:sectPr>
      </w:pPr>
    </w:p>
    <w:bookmarkStart w:id="10" w:name="page11"/>
    <w:bookmarkEnd w:id="10"/>
    <w:p>
      <w:pPr>
        <w:ind w:left="3480"/>
        <w:spacing w:after="0"/>
        <w:tabs>
          <w:tab w:leader="none" w:pos="45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05/11/2026</w:t>
      </w:r>
    </w:p>
    <w:p>
      <w:pPr>
        <w:spacing w:after="0" w:line="153" w:lineRule="exact"/>
        <w:rPr>
          <w:sz w:val="20"/>
          <w:szCs w:val="20"/>
          <w:color w:val="auto"/>
        </w:rPr>
      </w:pPr>
    </w:p>
    <w:p>
      <w:pPr>
        <w:ind w:left="4580" w:right="40"/>
        <w:spacing w:after="0" w:line="258" w:lineRule="auto"/>
        <w:rPr>
          <w:sz w:val="20"/>
          <w:szCs w:val="20"/>
          <w:color w:val="auto"/>
        </w:rPr>
      </w:pPr>
      <w:r>
        <w:rPr>
          <w:rFonts w:ascii="Times New Roman" w:cs="Times New Roman" w:eastAsia="Times New Roman" w:hAnsi="Times New Roman"/>
          <w:sz w:val="22"/>
          <w:szCs w:val="22"/>
          <w:color w:val="auto"/>
        </w:rPr>
        <w:t>SCGGF III - U.S./INDIA MANAGEMENT, L.P. ("SCGGF III - U.S./INDIA MANAGEMENT")</w:t>
      </w:r>
    </w:p>
    <w:p>
      <w:pPr>
        <w:spacing w:after="0" w:line="104" w:lineRule="exact"/>
        <w:rPr>
          <w:sz w:val="20"/>
          <w:szCs w:val="20"/>
          <w:color w:val="auto"/>
        </w:rPr>
      </w:pPr>
    </w:p>
    <w:p>
      <w:pPr>
        <w:ind w:left="3480"/>
        <w:spacing w:after="0"/>
        <w:tabs>
          <w:tab w:leader="none" w:pos="4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Jung Yeon Son</w:t>
      </w:r>
    </w:p>
    <w:p>
      <w:pPr>
        <w:spacing w:after="0" w:line="44"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2"/>
          <w:szCs w:val="22"/>
          <w:color w:val="auto"/>
        </w:rPr>
        <w:t>Name/Title: Jung Yeon Son, Authorized Signatory</w:t>
      </w:r>
    </w:p>
    <w:p>
      <w:pPr>
        <w:spacing w:after="0" w:line="44" w:lineRule="exact"/>
        <w:rPr>
          <w:sz w:val="20"/>
          <w:szCs w:val="20"/>
          <w:color w:val="auto"/>
        </w:rPr>
      </w:pPr>
    </w:p>
    <w:p>
      <w:pPr>
        <w:ind w:left="3480"/>
        <w:spacing w:after="0"/>
        <w:tabs>
          <w:tab w:leader="none" w:pos="45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05/11/2026</w:t>
      </w:r>
    </w:p>
    <w:p>
      <w:pPr>
        <w:spacing w:after="0" w:line="152" w:lineRule="exact"/>
        <w:rPr>
          <w:sz w:val="20"/>
          <w:szCs w:val="20"/>
          <w:color w:val="auto"/>
        </w:rPr>
      </w:pPr>
    </w:p>
    <w:p>
      <w:pPr>
        <w:ind w:left="4580"/>
        <w:spacing w:after="0" w:line="244" w:lineRule="auto"/>
        <w:rPr>
          <w:sz w:val="20"/>
          <w:szCs w:val="20"/>
          <w:color w:val="auto"/>
        </w:rPr>
      </w:pPr>
      <w:r>
        <w:rPr>
          <w:rFonts w:ascii="Times New Roman" w:cs="Times New Roman" w:eastAsia="Times New Roman" w:hAnsi="Times New Roman"/>
          <w:sz w:val="22"/>
          <w:szCs w:val="22"/>
          <w:color w:val="auto"/>
        </w:rPr>
        <w:t>SEQUOIA CAPITAL GLOBAL GROWTH FUND III - ENDURANCE PARTNERS MANAGEMENT, L.P. ("SC GGF III MGMT")</w:t>
      </w:r>
    </w:p>
    <w:p>
      <w:pPr>
        <w:spacing w:after="0" w:line="119" w:lineRule="exact"/>
        <w:rPr>
          <w:sz w:val="20"/>
          <w:szCs w:val="20"/>
          <w:color w:val="auto"/>
        </w:rPr>
      </w:pPr>
    </w:p>
    <w:p>
      <w:pPr>
        <w:ind w:left="3480"/>
        <w:spacing w:after="0"/>
        <w:tabs>
          <w:tab w:leader="none" w:pos="4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Jung Yeon Son</w:t>
      </w:r>
    </w:p>
    <w:p>
      <w:pPr>
        <w:spacing w:after="0" w:line="44"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2"/>
          <w:szCs w:val="22"/>
          <w:color w:val="auto"/>
        </w:rPr>
        <w:t>Name/Title: Jung Yeon Son, Authorized Signatory</w:t>
      </w:r>
    </w:p>
    <w:p>
      <w:pPr>
        <w:spacing w:after="0" w:line="44" w:lineRule="exact"/>
        <w:rPr>
          <w:sz w:val="20"/>
          <w:szCs w:val="20"/>
          <w:color w:val="auto"/>
        </w:rPr>
      </w:pPr>
    </w:p>
    <w:p>
      <w:pPr>
        <w:ind w:left="3480"/>
        <w:spacing w:after="0"/>
        <w:tabs>
          <w:tab w:leader="none" w:pos="45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05/11/2026</w:t>
      </w:r>
    </w:p>
    <w:p>
      <w:pPr>
        <w:spacing w:after="0" w:line="152"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2"/>
          <w:szCs w:val="22"/>
          <w:color w:val="auto"/>
        </w:rPr>
        <w:t>SEQUOIA CAPITAL FUND PARALLEL, LLC ("SCFP")</w:t>
      </w:r>
    </w:p>
    <w:p>
      <w:pPr>
        <w:spacing w:after="0" w:line="152" w:lineRule="exact"/>
        <w:rPr>
          <w:sz w:val="20"/>
          <w:szCs w:val="20"/>
          <w:color w:val="auto"/>
        </w:rPr>
      </w:pPr>
    </w:p>
    <w:p>
      <w:pPr>
        <w:ind w:left="3480"/>
        <w:spacing w:after="0"/>
        <w:tabs>
          <w:tab w:leader="none" w:pos="4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Jung Yeon Son</w:t>
      </w:r>
    </w:p>
    <w:p>
      <w:pPr>
        <w:spacing w:after="0" w:line="44"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2"/>
          <w:szCs w:val="22"/>
          <w:color w:val="auto"/>
        </w:rPr>
        <w:t>Name/Title: Jung Yeon Son, Authorized Signatory</w:t>
      </w:r>
    </w:p>
    <w:p>
      <w:pPr>
        <w:spacing w:after="0" w:line="44" w:lineRule="exact"/>
        <w:rPr>
          <w:sz w:val="20"/>
          <w:szCs w:val="20"/>
          <w:color w:val="auto"/>
        </w:rPr>
      </w:pPr>
    </w:p>
    <w:p>
      <w:pPr>
        <w:ind w:left="3480"/>
        <w:spacing w:after="0"/>
        <w:tabs>
          <w:tab w:leader="none" w:pos="45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05/11/2026</w:t>
      </w:r>
    </w:p>
    <w:p>
      <w:pPr>
        <w:spacing w:after="0" w:line="152"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2"/>
          <w:szCs w:val="22"/>
          <w:color w:val="auto"/>
        </w:rPr>
        <w:t>SEQUOIA CAPITAL FUND, L.P. ("SCF")</w:t>
      </w:r>
    </w:p>
    <w:p>
      <w:pPr>
        <w:spacing w:after="0" w:line="152" w:lineRule="exact"/>
        <w:rPr>
          <w:sz w:val="20"/>
          <w:szCs w:val="20"/>
          <w:color w:val="auto"/>
        </w:rPr>
      </w:pPr>
    </w:p>
    <w:p>
      <w:pPr>
        <w:ind w:left="3480"/>
        <w:spacing w:after="0"/>
        <w:tabs>
          <w:tab w:leader="none" w:pos="4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Jung Yeon Son</w:t>
      </w:r>
    </w:p>
    <w:p>
      <w:pPr>
        <w:spacing w:after="0" w:line="44"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2"/>
          <w:szCs w:val="22"/>
          <w:color w:val="auto"/>
        </w:rPr>
        <w:t>Name/Title: Jung Yeon Son, Authorized Signatory</w:t>
      </w:r>
    </w:p>
    <w:p>
      <w:pPr>
        <w:spacing w:after="0" w:line="44" w:lineRule="exact"/>
        <w:rPr>
          <w:sz w:val="20"/>
          <w:szCs w:val="20"/>
          <w:color w:val="auto"/>
        </w:rPr>
      </w:pPr>
    </w:p>
    <w:p>
      <w:pPr>
        <w:ind w:left="3480"/>
        <w:spacing w:after="0"/>
        <w:tabs>
          <w:tab w:leader="none" w:pos="45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05/11/2026</w:t>
      </w:r>
    </w:p>
    <w:p>
      <w:pPr>
        <w:spacing w:after="0" w:line="152"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SEQUOIA CAPITAL FUND MANAGEMENT, L.P.</w:t>
      </w:r>
    </w:p>
    <w:p>
      <w:pPr>
        <w:spacing w:after="0" w:line="1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("SEQUOIA CAPITAL FUND MANAGEMENT")</w:t>
      </w:r>
    </w:p>
    <w:p>
      <w:pPr>
        <w:spacing w:after="0" w:line="128" w:lineRule="exact"/>
        <w:rPr>
          <w:sz w:val="20"/>
          <w:szCs w:val="20"/>
          <w:color w:val="auto"/>
        </w:rPr>
      </w:pPr>
    </w:p>
    <w:p>
      <w:pPr>
        <w:ind w:left="3480"/>
        <w:spacing w:after="0"/>
        <w:tabs>
          <w:tab w:leader="none" w:pos="4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Jung Yeon Son</w:t>
      </w:r>
    </w:p>
    <w:p>
      <w:pPr>
        <w:spacing w:after="0" w:line="44"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2"/>
          <w:szCs w:val="22"/>
          <w:color w:val="auto"/>
        </w:rPr>
        <w:t>Name/Title: Jung Yeon Son, Authorized Signatory</w:t>
      </w:r>
    </w:p>
    <w:p>
      <w:pPr>
        <w:spacing w:after="0" w:line="44" w:lineRule="exact"/>
        <w:rPr>
          <w:sz w:val="20"/>
          <w:szCs w:val="20"/>
          <w:color w:val="auto"/>
        </w:rPr>
      </w:pPr>
    </w:p>
    <w:p>
      <w:pPr>
        <w:ind w:left="3480"/>
        <w:spacing w:after="0"/>
        <w:tabs>
          <w:tab w:leader="none" w:pos="45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05/11/2026</w:t>
      </w:r>
    </w:p>
    <w:p>
      <w:pPr>
        <w:spacing w:after="0" w:line="152"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SC US (TTGP), LTD. ("SC US (TTGP)")</w:t>
      </w:r>
    </w:p>
    <w:p>
      <w:pPr>
        <w:spacing w:after="0" w:line="152" w:lineRule="exact"/>
        <w:rPr>
          <w:sz w:val="20"/>
          <w:szCs w:val="20"/>
          <w:color w:val="auto"/>
        </w:rPr>
      </w:pPr>
    </w:p>
    <w:p>
      <w:pPr>
        <w:ind w:left="3480"/>
        <w:spacing w:after="0"/>
        <w:tabs>
          <w:tab w:leader="none" w:pos="4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Jung Yeon Son</w:t>
      </w:r>
    </w:p>
    <w:p>
      <w:pPr>
        <w:spacing w:after="0" w:line="44"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2"/>
          <w:szCs w:val="22"/>
          <w:color w:val="auto"/>
        </w:rPr>
        <w:t>Name/Title: Jung Yeon Son, Authorized Signatory</w:t>
      </w:r>
    </w:p>
    <w:p>
      <w:pPr>
        <w:spacing w:after="0" w:line="44" w:lineRule="exact"/>
        <w:rPr>
          <w:sz w:val="20"/>
          <w:szCs w:val="20"/>
          <w:color w:val="auto"/>
        </w:rPr>
      </w:pPr>
    </w:p>
    <w:p>
      <w:pPr>
        <w:ind w:left="3480"/>
        <w:spacing w:after="0"/>
        <w:tabs>
          <w:tab w:leader="none" w:pos="45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05/11/2026</w:t>
      </w:r>
    </w:p>
    <w:sectPr>
      <w:pgSz w:w="11900" w:h="16838" w:orient="portrait"/>
      <w:cols w:equalWidth="0" w:num="1">
        <w:col w:w="10040"/>
      </w:cols>
      <w:pgMar w:left="1440" w:top="112"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DB127F8"/>
    <w:multiLevelType w:val="hybridMultilevel"/>
    <w:lvl w:ilvl="0">
      <w:lvlJc w:val="left"/>
      <w:lvlText w:val="2"/>
      <w:numFmt w:val="bullet"/>
      <w:start w:val="1"/>
    </w:lvl>
  </w:abstractNum>
  <w:abstractNum w:abstractNumId="1">
    <w:nsid w:val="216231B"/>
    <w:multiLevelType w:val="hybridMultilevel"/>
    <w:lvl w:ilvl="0">
      <w:lvlJc w:val="left"/>
      <w:lvlText w:val="2"/>
      <w:numFmt w:val="bullet"/>
      <w:start w:val="1"/>
    </w:lvl>
  </w:abstractNum>
  <w:abstractNum w:abstractNumId="2">
    <w:nsid w:val="1F16E9E8"/>
    <w:multiLevelType w:val="hybridMultilevel"/>
    <w:lvl w:ilvl="0">
      <w:lvlJc w:val="left"/>
      <w:lvlText w:val="3"/>
      <w:numFmt w:val="bullet"/>
      <w:start w:val="1"/>
    </w:lvl>
  </w:abstractNum>
  <w:abstractNum w:abstractNumId="3">
    <w:nsid w:val="1190CDE7"/>
    <w:multiLevelType w:val="hybridMultilevel"/>
    <w:lvl w:ilvl="0">
      <w:lvlJc w:val="left"/>
      <w:lvlText w:val="6"/>
      <w:numFmt w:val="bullet"/>
      <w:start w:val="1"/>
    </w:lvl>
  </w:abstractNum>
  <w:abstractNum w:abstractNumId="4">
    <w:nsid w:val="66EF438D"/>
    <w:multiLevelType w:val="hybridMultilevel"/>
    <w:lvl w:ilvl="0">
      <w:lvlJc w:val="left"/>
      <w:lvlText w:val="1"/>
      <w:numFmt w:val="bullet"/>
      <w:start w:val="1"/>
    </w:lvl>
  </w:abstractNum>
  <w:abstractNum w:abstractNumId="5">
    <w:nsid w:val="140E0F76"/>
    <w:multiLevelType w:val="hybridMultilevel"/>
    <w:lvl w:ilvl="0">
      <w:lvlJc w:val="left"/>
      <w:lvlText w:val="2"/>
      <w:numFmt w:val="bullet"/>
      <w:start w:val="1"/>
    </w:lvl>
  </w:abstractNum>
  <w:abstractNum w:abstractNumId="6">
    <w:nsid w:val="3352255A"/>
    <w:multiLevelType w:val="hybridMultilevel"/>
    <w:lvl w:ilvl="0">
      <w:lvlJc w:val="left"/>
      <w:lvlText w:val="3"/>
      <w:numFmt w:val="bullet"/>
      <w:start w:val="1"/>
    </w:lvl>
  </w:abstractNum>
  <w:abstractNum w:abstractNumId="7">
    <w:nsid w:val="109CF92E"/>
    <w:multiLevelType w:val="hybridMultilevel"/>
    <w:lvl w:ilvl="0">
      <w:lvlJc w:val="left"/>
      <w:lvlText w:val="2"/>
      <w:numFmt w:val="bullet"/>
      <w:start w:val="1"/>
    </w:lvl>
  </w:abstractNum>
  <w:abstractNum w:abstractNumId="8">
    <w:nsid w:val="DED7263"/>
    <w:multiLevelType w:val="hybridMultilevel"/>
    <w:lvl w:ilvl="0">
      <w:lvlJc w:val="left"/>
      <w:lvlText w:val="1"/>
      <w:numFmt w:val="bullet"/>
      <w:start w:val="1"/>
    </w:lvl>
  </w:abstractNum>
  <w:abstractNum w:abstractNumId="9">
    <w:nsid w:val="7FDCC233"/>
    <w:multiLevelType w:val="hybridMultilevel"/>
    <w:lvl w:ilvl="0">
      <w:lvlJc w:val="left"/>
      <w:lvlText w:val="2"/>
      <w:numFmt w:val="bullet"/>
      <w:start w:val="1"/>
    </w:lvl>
  </w:abstractNum>
  <w:abstractNum w:abstractNumId="10">
    <w:nsid w:val="1BEFD79F"/>
    <w:multiLevelType w:val="hybridMultilevel"/>
    <w:lvl w:ilvl="0">
      <w:lvlJc w:val="left"/>
      <w:lvlText w:val="2"/>
      <w:numFmt w:val="bullet"/>
      <w:start w:val="1"/>
    </w:lvl>
  </w:abstractNum>
  <w:abstractNum w:abstractNumId="11">
    <w:nsid w:val="41A7C4C9"/>
    <w:multiLevelType w:val="hybridMultilevel"/>
    <w:lvl w:ilvl="0">
      <w:lvlJc w:val="left"/>
      <w:lvlText w:val="2"/>
      <w:numFmt w:val="bullet"/>
      <w:start w:val="1"/>
    </w:lvl>
  </w:abstractNum>
  <w:abstractNum w:abstractNumId="12">
    <w:nsid w:val="6B68079A"/>
    <w:multiLevelType w:val="hybridMultilevel"/>
    <w:lvl w:ilvl="0">
      <w:lvlJc w:val="left"/>
      <w:lvlText w:val="2"/>
      <w:numFmt w:val="bullet"/>
      <w:start w:val="1"/>
    </w:lvl>
  </w:abstractNum>
  <w:abstractNum w:abstractNumId="13">
    <w:nsid w:val="4E6AFB66"/>
    <w:multiLevelType w:val="hybridMultilevel"/>
    <w:lvl w:ilvl="0">
      <w:lvlJc w:val="left"/>
      <w:lvlText w:val="3"/>
      <w:numFmt w:val="bullet"/>
      <w:start w:val="1"/>
    </w:lvl>
  </w:abstractNum>
  <w:abstractNum w:abstractNumId="14">
    <w:nsid w:val="25E45D32"/>
    <w:multiLevelType w:val="hybridMultilevel"/>
    <w:lvl w:ilvl="0">
      <w:lvlJc w:val="left"/>
      <w:lvlText w:val="2"/>
      <w:numFmt w:val="bullet"/>
      <w:start w:val="1"/>
    </w:lvl>
  </w:abstractNum>
  <w:abstractNum w:abstractNumId="15">
    <w:nsid w:val="519B500D"/>
    <w:multiLevelType w:val="hybridMultilevel"/>
    <w:lvl w:ilvl="0">
      <w:lvlJc w:val="left"/>
      <w:lvlText w:val="3"/>
      <w:numFmt w:val="bullet"/>
      <w:start w:val="1"/>
    </w:lvl>
  </w:abstractNum>
  <w:abstractNum w:abstractNumId="16">
    <w:nsid w:val="431BD7B7"/>
    <w:multiLevelType w:val="hybridMultilevel"/>
    <w:lvl w:ilvl="0">
      <w:lvlJc w:val="left"/>
      <w:lvlText w:val="6"/>
      <w:numFmt w:val="bullet"/>
      <w:start w:val="1"/>
    </w:lvl>
  </w:abstractNum>
  <w:abstractNum w:abstractNumId="17">
    <w:nsid w:val="3F2DBA31"/>
    <w:multiLevelType w:val="hybridMultilevel"/>
    <w:lvl w:ilvl="0">
      <w:lvlJc w:val="left"/>
      <w:lvlText w:val="(%1)"/>
      <w:numFmt w:val="lowerLetter"/>
      <w:start w:val="1"/>
    </w:lvl>
  </w:abstractNum>
  <w:abstractNum w:abstractNumId="18">
    <w:nsid w:val="7C83E458"/>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2026-05-11T19:33:41Z</dcterms:created>
  <dcterms:modified xsi:type="dcterms:W3CDTF">2026-05-11T19:33:41Z</dcterms:modified>
</cp:coreProperties>
</file>