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55880</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75565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2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64770</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MAPLEBEAR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69850</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56" w:lineRule="exact"/>
        <w:rPr>
          <w:sz w:val="24"/>
          <w:szCs w:val="24"/>
          <w:color w:val="auto"/>
        </w:rPr>
      </w:pPr>
    </w:p>
    <w:tbl>
      <w:tblPr>
        <w:tblLayout w:type="fixed"/>
        <w:tblInd w:w="1140" w:type="dxa"/>
        <w:tblCellMar>
          <w:top w:w="0" w:type="dxa"/>
          <w:left w:w="0" w:type="dxa"/>
          <w:bottom w:w="0" w:type="dxa"/>
          <w:right w:w="0" w:type="dxa"/>
        </w:tblCellMar>
      </w:tblPr>
      <w:tr>
        <w:trPr>
          <w:trHeight w:val="229"/>
        </w:trPr>
        <w:tc>
          <w:tcPr>
            <w:tcW w:w="2060" w:type="dxa"/>
            <w:vAlign w:val="bottom"/>
          </w:tcPr>
          <w:p>
            <w:pPr>
              <w:spacing w:after="0"/>
              <w:rPr>
                <w:sz w:val="19"/>
                <w:szCs w:val="19"/>
                <w:color w:val="auto"/>
              </w:rPr>
            </w:pPr>
          </w:p>
        </w:tc>
        <w:tc>
          <w:tcPr>
            <w:tcW w:w="498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80" w:type="dxa"/>
            <w:vAlign w:val="bottom"/>
          </w:tcPr>
          <w:p>
            <w:pPr>
              <w:jc w:val="right"/>
              <w:ind w:right="2117"/>
              <w:spacing w:after="0"/>
              <w:rPr>
                <w:sz w:val="20"/>
                <w:szCs w:val="20"/>
                <w:color w:val="auto"/>
              </w:rPr>
            </w:pPr>
            <w:r>
              <w:rPr>
                <w:rFonts w:ascii="Times New Roman" w:cs="Times New Roman" w:eastAsia="Times New Roman" w:hAnsi="Times New Roman"/>
                <w:sz w:val="18"/>
                <w:szCs w:val="18"/>
                <w:b w:val="1"/>
                <w:bCs w:val="1"/>
                <w:color w:val="auto"/>
              </w:rPr>
              <w:t>001-41805</w:t>
            </w:r>
          </w:p>
        </w:tc>
        <w:tc>
          <w:tcPr>
            <w:tcW w:w="160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46-0723335</w:t>
            </w:r>
          </w:p>
        </w:tc>
        <w:tc>
          <w:tcPr>
            <w:tcW w:w="0" w:type="dxa"/>
            <w:vAlign w:val="bottom"/>
          </w:tcPr>
          <w:p>
            <w:pPr>
              <w:spacing w:after="0"/>
              <w:rPr>
                <w:sz w:val="1"/>
                <w:szCs w:val="1"/>
                <w:color w:val="auto"/>
              </w:rPr>
            </w:pPr>
          </w:p>
        </w:tc>
      </w:tr>
      <w:tr>
        <w:trPr>
          <w:trHeight w:val="148"/>
        </w:trPr>
        <w:tc>
          <w:tcPr>
            <w:tcW w:w="2060" w:type="dxa"/>
            <w:vAlign w:val="bottom"/>
          </w:tcPr>
          <w:p>
            <w:pPr>
              <w:jc w:val="center"/>
              <w:ind w:right="322"/>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9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color w:val="auto"/>
              </w:rPr>
              <w:t>(Commission File Number)</w:t>
            </w:r>
          </w:p>
        </w:tc>
        <w:tc>
          <w:tcPr>
            <w:tcW w:w="1600" w:type="dxa"/>
            <w:vAlign w:val="bottom"/>
          </w:tcPr>
          <w:p>
            <w:pPr>
              <w:jc w:val="center"/>
              <w:ind w:left="422"/>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2060" w:type="dxa"/>
            <w:vAlign w:val="bottom"/>
          </w:tcPr>
          <w:p>
            <w:pPr>
              <w:jc w:val="center"/>
              <w:ind w:right="322"/>
              <w:spacing w:after="0"/>
              <w:rPr>
                <w:sz w:val="20"/>
                <w:szCs w:val="20"/>
                <w:color w:val="auto"/>
              </w:rPr>
            </w:pPr>
            <w:r>
              <w:rPr>
                <w:rFonts w:ascii="Times New Roman" w:cs="Times New Roman" w:eastAsia="Times New Roman" w:hAnsi="Times New Roman"/>
                <w:sz w:val="14"/>
                <w:szCs w:val="14"/>
                <w:color w:val="auto"/>
              </w:rPr>
              <w:t>incorporation)</w:t>
            </w:r>
          </w:p>
        </w:tc>
        <w:tc>
          <w:tcPr>
            <w:tcW w:w="4980" w:type="dxa"/>
            <w:vAlign w:val="bottom"/>
            <w:vMerge w:val="continue"/>
          </w:tcPr>
          <w:p>
            <w:pPr>
              <w:spacing w:after="0"/>
              <w:rPr>
                <w:sz w:val="16"/>
                <w:szCs w:val="16"/>
                <w:color w:val="auto"/>
              </w:rPr>
            </w:pPr>
          </w:p>
        </w:tc>
        <w:tc>
          <w:tcPr>
            <w:tcW w:w="1600" w:type="dxa"/>
            <w:vAlign w:val="bottom"/>
          </w:tcPr>
          <w:p>
            <w:pPr>
              <w:jc w:val="center"/>
              <w:ind w:left="462"/>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460"/>
        </w:trPr>
        <w:tc>
          <w:tcPr>
            <w:tcW w:w="2060" w:type="dxa"/>
            <w:vAlign w:val="bottom"/>
          </w:tcPr>
          <w:p>
            <w:pPr>
              <w:spacing w:after="0"/>
              <w:rPr>
                <w:sz w:val="24"/>
                <w:szCs w:val="24"/>
                <w:color w:val="auto"/>
              </w:rPr>
            </w:pPr>
          </w:p>
        </w:tc>
        <w:tc>
          <w:tcPr>
            <w:tcW w:w="498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50 Beale Street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Suite 600</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60" w:type="dxa"/>
            <w:vAlign w:val="bottom"/>
          </w:tcPr>
          <w:p>
            <w:pPr>
              <w:spacing w:after="0"/>
              <w:rPr>
                <w:sz w:val="18"/>
                <w:szCs w:val="18"/>
                <w:color w:val="auto"/>
              </w:rPr>
            </w:pPr>
          </w:p>
        </w:tc>
        <w:tc>
          <w:tcPr>
            <w:tcW w:w="498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San Francisco</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California 94105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49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060" w:type="dxa"/>
            <w:vAlign w:val="bottom"/>
          </w:tcPr>
          <w:p>
            <w:pPr>
              <w:spacing w:after="0"/>
              <w:rPr>
                <w:sz w:val="24"/>
                <w:szCs w:val="24"/>
                <w:color w:val="auto"/>
              </w:rPr>
            </w:pPr>
          </w:p>
        </w:tc>
        <w:tc>
          <w:tcPr>
            <w:tcW w:w="49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(888) 246-7822</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49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49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49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26"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1"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05"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1"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46"/>
        </w:trPr>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00" w:type="dxa"/>
            <w:vAlign w:val="bottom"/>
          </w:tcPr>
          <w:p>
            <w:pPr>
              <w:spacing w:after="0"/>
              <w:rPr>
                <w:sz w:val="17"/>
                <w:szCs w:val="17"/>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CART</w:t>
            </w:r>
          </w:p>
        </w:tc>
        <w:tc>
          <w:tcPr>
            <w:tcW w:w="100" w:type="dxa"/>
            <w:vAlign w:val="bottom"/>
          </w:tcPr>
          <w:p>
            <w:pPr>
              <w:spacing w:after="0"/>
              <w:rPr>
                <w:sz w:val="17"/>
                <w:szCs w:val="17"/>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57"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16, 2024,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Maplebear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upon recommendation of the Nominating and Corporate Governance Committee of the Board, expanded the size of the Board from eight to nine directors and appointed Mary Beth Laughton as a Class I director, effective immediately. The term of Ms. Laughton’s directorship will expire at the Company’s 2027 Annual Meeting of Stockholders, or until her successor has been duly elected and qualified, or until her earlier death, resignation or removal.</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Mary Beth Laughton has over 25 years of experience leading high profile consumer brands. Since August 2023, Ms. Laughton has served as the Head of Nike Global Direct to Consumer at Nike, Inc., an athletic apparel and footwear company. From October 2019 to March 2023, Ms. Laughton served as President and Chief Executive Officer of Athleta LLC, a women’s activewear brand owned by Gap Inc. From July 2012 to October 2019, Ms. Laughton served in various roles at Sephora USA Inc., a personal care and beauty product retailer, including most recently as Executive Vice President of Omnichannel Retail. Before joining Sephora, Ms. Laughton held a variety of strategy, merchandising, and e-commerce roles at Nike. Ms. Laughton holds a B.S. in Accounting and Finance from Indiana University and an M.B.A. from Harvard Business School.</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arrangement or understanding between Ms. Laughton and the Company or any other person pursuant to which Ms. Laughton was elected as a director. Additionally, there are no transactions involving the Company and Ms. Laughton that the Company would be required to report pursuant to Item 404(a) of Regulation S-K promulgated by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 her service on the Board, Ms. Laughton will be compensated pursuant to the Company’s non-employee director compensation policy (the “</w:t>
      </w:r>
      <w:r>
        <w:rPr>
          <w:rFonts w:ascii="Times New Roman" w:cs="Times New Roman" w:eastAsia="Times New Roman" w:hAnsi="Times New Roman"/>
          <w:sz w:val="18"/>
          <w:szCs w:val="18"/>
          <w:b w:val="1"/>
          <w:bCs w:val="1"/>
          <w:i w:val="1"/>
          <w:iCs w:val="1"/>
          <w:color w:val="auto"/>
        </w:rPr>
        <w:t>Non-Employee Director Compensation Policy</w:t>
      </w:r>
      <w:r>
        <w:rPr>
          <w:rFonts w:ascii="Times New Roman" w:cs="Times New Roman" w:eastAsia="Times New Roman" w:hAnsi="Times New Roman"/>
          <w:sz w:val="18"/>
          <w:szCs w:val="18"/>
          <w:color w:val="auto"/>
        </w:rPr>
        <w:t>”). The Non-Employee Director Compensation Policy is described under the heading “Non-Employee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in the Company’s definitive proxy statement for the 2024 Annual Meeting of Stockholders, which was filed with the Commission on April 17, 2024. A copy of the Non-Employee Director Compensation Policy is attached as Exhibit 10.6 to the Company’s Registration Statement on Form S-1 filed with the Commission on August 25, 2023 (File No. 333-274213).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Laughton has entered into the Company’s standard form of indemnification agreement, the form of which is attached as Exhibit 10.1 to the Company’s Registration Statement on Form S-1 filed with the Commission on August 25, 2023 (File No. 333-274213).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Maplebear Inc.</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August 19,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Emily Reuter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Emily Reuter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2024-08-19T15:38:12Z</dcterms:created>
  <dcterms:modified xsi:type="dcterms:W3CDTF">2024-08-19T15:38:12Z</dcterms:modified>
</cp:coreProperties>
</file>