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-231775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38"/>
              <w:spacing w:after="0" w:line="139"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17780</wp:posOffset>
            </wp:positionV>
            <wp:extent cx="7047865" cy="509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09206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Sharma Asha</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MAPLEBEAR INC.</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50 BEALE STREET, SUITE 600</w:t>
      </w:r>
    </w:p>
    <w:p>
      <w:pPr>
        <w:spacing w:after="0" w:line="28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right="160"/>
        <w:spacing w:after="0"/>
        <w:rPr>
          <w:sz w:val="20"/>
          <w:szCs w:val="20"/>
          <w:color w:val="auto"/>
        </w:rPr>
      </w:pPr>
      <w:r>
        <w:rPr>
          <w:rFonts w:ascii="Arial" w:cs="Arial" w:eastAsia="Arial" w:hAnsi="Arial"/>
          <w:sz w:val="32"/>
          <w:szCs w:val="32"/>
          <w:color w:val="0000FF"/>
          <w:vertAlign w:val="superscript"/>
        </w:rPr>
        <w:t>SAN</w:t>
      </w:r>
      <w:r>
        <w:rPr>
          <w:rFonts w:ascii="Arial" w:cs="Arial" w:eastAsia="Arial" w:hAnsi="Arial"/>
          <w:sz w:val="16"/>
          <w:szCs w:val="16"/>
          <w:color w:val="0000FF"/>
        </w:rPr>
        <w:t xml:space="preserve"> CA 94105 FRANCISCO</w:t>
      </w:r>
    </w:p>
    <w:p>
      <w:pPr>
        <w:spacing w:after="0" w:line="33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Maplebear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CART</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080" w:type="dxa"/>
            <w:vAlign w:val="bottom"/>
            <w:tcBorders>
              <w:bottom w:val="single" w:sz="8" w:color="0000EE"/>
            </w:tcBorders>
          </w:tcPr>
          <w:p>
            <w:pPr>
              <w:spacing w:after="0"/>
              <w:rPr>
                <w:sz w:val="3"/>
                <w:szCs w:val="3"/>
                <w:color w:val="auto"/>
              </w:rPr>
            </w:pPr>
          </w:p>
        </w:tc>
        <w:tc>
          <w:tcPr>
            <w:tcW w:w="2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40" w:type="dxa"/>
            <w:vAlign w:val="bottom"/>
          </w:tcPr>
          <w:p>
            <w:pPr>
              <w:ind w:left="100"/>
              <w:spacing w:after="0" w:line="115"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8"/>
        </w:trPr>
        <w:tc>
          <w:tcPr>
            <w:tcW w:w="1280" w:type="dxa"/>
            <w:vAlign w:val="bottom"/>
            <w:gridSpan w:val="3"/>
          </w:tcPr>
          <w:p>
            <w:pPr>
              <w:ind w:left="60"/>
              <w:spacing w:after="0"/>
              <w:rPr>
                <w:sz w:val="20"/>
                <w:szCs w:val="20"/>
                <w:color w:val="auto"/>
              </w:rPr>
            </w:pPr>
            <w:r>
              <w:rPr>
                <w:rFonts w:ascii="Arial" w:cs="Arial" w:eastAsia="Arial" w:hAnsi="Arial"/>
                <w:sz w:val="16"/>
                <w:szCs w:val="16"/>
                <w:color w:val="0000FF"/>
              </w:rPr>
              <w:t>09/18/2023</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6"/>
                <w:szCs w:val="16"/>
                <w:color w:val="0000FF"/>
              </w:rPr>
              <w:t>Chief Operating Officer</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20" w:right="440"/>
        <w:spacing w:after="0" w:line="27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40"/>
              <w:spacing w:after="0" w:line="123"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20" w:type="dxa"/>
            <w:vAlign w:val="bottom"/>
            <w:gridSpan w:val="2"/>
          </w:tcPr>
          <w:p>
            <w:pPr>
              <w:ind w:left="7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 or</w:t>
            </w: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4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Non-Voting Common Stock</w:t>
            </w:r>
            <w:r>
              <w:rPr>
                <w:rFonts w:ascii="Arial" w:cs="Arial" w:eastAsia="Arial" w:hAnsi="Arial"/>
                <w:sz w:val="20"/>
                <w:szCs w:val="20"/>
                <w:color w:val="008000"/>
                <w:vertAlign w:val="superscript"/>
              </w:rPr>
              <w:t>(1)</w:t>
            </w:r>
          </w:p>
        </w:tc>
        <w:tc>
          <w:tcPr>
            <w:tcW w:w="1720" w:type="dxa"/>
            <w:vAlign w:val="bottom"/>
            <w:tcBorders>
              <w:bottom w:val="single" w:sz="8" w:color="2C2C2C"/>
            </w:tcBorders>
            <w:gridSpan w:val="2"/>
          </w:tcPr>
          <w:p>
            <w:pPr>
              <w:ind w:left="820"/>
              <w:spacing w:after="0"/>
              <w:rPr>
                <w:sz w:val="20"/>
                <w:szCs w:val="20"/>
                <w:color w:val="auto"/>
              </w:rPr>
            </w:pPr>
            <w:r>
              <w:rPr>
                <w:rFonts w:ascii="Arial" w:cs="Arial" w:eastAsia="Arial" w:hAnsi="Arial"/>
                <w:sz w:val="16"/>
                <w:szCs w:val="16"/>
                <w:color w:val="0000FF"/>
              </w:rPr>
              <w:t>09/18/2023</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13"/>
                <w:szCs w:val="13"/>
                <w:color w:val="0000FF"/>
                <w:w w:val="91"/>
              </w:rPr>
              <w:t>A</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5"/>
              </w:rPr>
              <w:t>1,418,521</w:t>
            </w:r>
            <w:r>
              <w:rPr>
                <w:rFonts w:ascii="Arial" w:cs="Arial" w:eastAsia="Arial" w:hAnsi="Arial"/>
                <w:sz w:val="20"/>
                <w:szCs w:val="20"/>
                <w:color w:val="008000"/>
                <w:w w:val="95"/>
                <w:vertAlign w:val="superscript"/>
              </w:rPr>
              <w:t>(2)</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280" w:type="dxa"/>
            <w:vAlign w:val="bottom"/>
            <w:tcBorders>
              <w:bottom w:val="single" w:sz="8" w:color="2C2C2C"/>
            </w:tcBorders>
            <w:gridSpan w:val="3"/>
          </w:tcPr>
          <w:p>
            <w:pPr>
              <w:ind w:left="340"/>
              <w:spacing w:after="0"/>
              <w:rPr>
                <w:sz w:val="20"/>
                <w:szCs w:val="20"/>
                <w:color w:val="auto"/>
              </w:rPr>
            </w:pPr>
            <w:r>
              <w:rPr>
                <w:rFonts w:ascii="Arial" w:cs="Arial" w:eastAsia="Arial" w:hAnsi="Arial"/>
                <w:sz w:val="16"/>
                <w:szCs w:val="16"/>
                <w:color w:val="0000FF"/>
              </w:rPr>
              <w:t>1,418,521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Non-Voting Common Stock</w:t>
            </w:r>
            <w:r>
              <w:rPr>
                <w:rFonts w:ascii="Arial" w:cs="Arial" w:eastAsia="Arial" w:hAnsi="Arial"/>
                <w:sz w:val="20"/>
                <w:szCs w:val="20"/>
                <w:color w:val="008000"/>
                <w:vertAlign w:val="superscript"/>
              </w:rPr>
              <w:t>(1)</w:t>
            </w:r>
          </w:p>
        </w:tc>
        <w:tc>
          <w:tcPr>
            <w:tcW w:w="1720" w:type="dxa"/>
            <w:vAlign w:val="bottom"/>
            <w:tcBorders>
              <w:bottom w:val="single" w:sz="8" w:color="2C2C2C"/>
            </w:tcBorders>
            <w:gridSpan w:val="2"/>
          </w:tcPr>
          <w:p>
            <w:pPr>
              <w:ind w:left="820"/>
              <w:spacing w:after="0"/>
              <w:rPr>
                <w:sz w:val="20"/>
                <w:szCs w:val="20"/>
                <w:color w:val="auto"/>
              </w:rPr>
            </w:pPr>
            <w:r>
              <w:rPr>
                <w:rFonts w:ascii="Arial" w:cs="Arial" w:eastAsia="Arial" w:hAnsi="Arial"/>
                <w:sz w:val="16"/>
                <w:szCs w:val="16"/>
                <w:color w:val="0000FF"/>
              </w:rPr>
              <w:t>09/19/2023</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13"/>
                <w:szCs w:val="13"/>
                <w:color w:val="0000FF"/>
              </w:rPr>
              <w:t>F</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rPr>
              <w:t>272,883</w:t>
            </w:r>
            <w:r>
              <w:rPr>
                <w:rFonts w:ascii="Arial" w:cs="Arial" w:eastAsia="Arial" w:hAnsi="Arial"/>
                <w:sz w:val="20"/>
                <w:szCs w:val="20"/>
                <w:color w:val="008000"/>
                <w:vertAlign w:val="superscript"/>
              </w:rPr>
              <w:t>(3)</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rPr>
              <w:t>D</w:t>
            </w:r>
          </w:p>
        </w:tc>
        <w:tc>
          <w:tcPr>
            <w:tcW w:w="600" w:type="dxa"/>
            <w:vAlign w:val="bottom"/>
            <w:tcBorders>
              <w:bottom w:val="single" w:sz="8" w:color="2C2C2C"/>
            </w:tcBorders>
          </w:tcPr>
          <w:p>
            <w:pPr>
              <w:jc w:val="center"/>
              <w:ind w:right="1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30</w:t>
            </w:r>
          </w:p>
        </w:tc>
        <w:tc>
          <w:tcPr>
            <w:tcW w:w="1280" w:type="dxa"/>
            <w:vAlign w:val="bottom"/>
            <w:tcBorders>
              <w:bottom w:val="single" w:sz="8" w:color="2C2C2C"/>
            </w:tcBorders>
            <w:gridSpan w:val="3"/>
          </w:tcPr>
          <w:p>
            <w:pPr>
              <w:ind w:left="340"/>
              <w:spacing w:after="0"/>
              <w:rPr>
                <w:sz w:val="20"/>
                <w:szCs w:val="20"/>
                <w:color w:val="auto"/>
              </w:rPr>
            </w:pPr>
            <w:r>
              <w:rPr>
                <w:rFonts w:ascii="Arial" w:cs="Arial" w:eastAsia="Arial" w:hAnsi="Arial"/>
                <w:sz w:val="16"/>
                <w:szCs w:val="16"/>
                <w:color w:val="0000FF"/>
              </w:rPr>
              <w:t>1,145,638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18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vMerge w:val="continue"/>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Arial" w:cs="Arial" w:eastAsia="Arial" w:hAnsi="Arial"/>
                <w:sz w:val="13"/>
                <w:szCs w:val="13"/>
                <w:color w:val="0000FF"/>
              </w:rPr>
              <w:t>Non-</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w w:val="91"/>
              </w:rPr>
              <w:t>Performance</w:t>
            </w:r>
          </w:p>
        </w:tc>
        <w:tc>
          <w:tcPr>
            <w:tcW w:w="760" w:type="dxa"/>
            <w:vAlign w:val="bottom"/>
          </w:tcPr>
          <w:p>
            <w:pPr>
              <w:ind w:left="340"/>
              <w:spacing w:after="0"/>
              <w:rPr>
                <w:sz w:val="20"/>
                <w:szCs w:val="20"/>
                <w:color w:val="auto"/>
              </w:rPr>
            </w:pPr>
            <w:r>
              <w:rPr>
                <w:rFonts w:ascii="Arial" w:cs="Arial" w:eastAsia="Arial" w:hAnsi="Arial"/>
                <w:sz w:val="10"/>
                <w:szCs w:val="10"/>
                <w:color w:val="008000"/>
              </w:rPr>
              <w:t>(4)</w:t>
            </w:r>
          </w:p>
        </w:tc>
        <w:tc>
          <w:tcPr>
            <w:tcW w:w="1020" w:type="dxa"/>
            <w:vAlign w:val="bottom"/>
            <w:vMerge w:val="restart"/>
          </w:tcPr>
          <w:p>
            <w:pPr>
              <w:jc w:val="right"/>
              <w:ind w:right="142"/>
              <w:spacing w:after="0"/>
              <w:rPr>
                <w:sz w:val="20"/>
                <w:szCs w:val="20"/>
                <w:color w:val="auto"/>
              </w:rPr>
            </w:pPr>
            <w:r>
              <w:rPr>
                <w:rFonts w:ascii="Arial" w:cs="Arial" w:eastAsia="Arial" w:hAnsi="Arial"/>
                <w:sz w:val="13"/>
                <w:szCs w:val="13"/>
                <w:color w:val="0000FF"/>
              </w:rPr>
              <w:t>09/18/2023</w:t>
            </w:r>
          </w:p>
        </w:tc>
        <w:tc>
          <w:tcPr>
            <w:tcW w:w="110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12"/>
                <w:szCs w:val="12"/>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720,000</w:t>
            </w:r>
          </w:p>
        </w:tc>
        <w:tc>
          <w:tcPr>
            <w:tcW w:w="280" w:type="dxa"/>
            <w:vAlign w:val="bottom"/>
          </w:tcPr>
          <w:p>
            <w:pPr>
              <w:spacing w:after="0"/>
              <w:rPr>
                <w:sz w:val="12"/>
                <w:szCs w:val="12"/>
                <w:color w:val="auto"/>
              </w:rPr>
            </w:pPr>
          </w:p>
        </w:tc>
        <w:tc>
          <w:tcPr>
            <w:tcW w:w="740" w:type="dxa"/>
            <w:vAlign w:val="bottom"/>
          </w:tcPr>
          <w:p>
            <w:pPr>
              <w:ind w:left="280"/>
              <w:spacing w:after="0"/>
              <w:rPr>
                <w:sz w:val="20"/>
                <w:szCs w:val="20"/>
                <w:color w:val="auto"/>
              </w:rPr>
            </w:pPr>
            <w:r>
              <w:rPr>
                <w:rFonts w:ascii="Arial" w:cs="Arial" w:eastAsia="Arial" w:hAnsi="Arial"/>
                <w:sz w:val="10"/>
                <w:szCs w:val="10"/>
                <w:color w:val="008000"/>
              </w:rPr>
              <w:t>(4)</w:t>
            </w: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w w:val="95"/>
              </w:rPr>
              <w:t>12/07/2027</w:t>
            </w:r>
          </w:p>
        </w:tc>
        <w:tc>
          <w:tcPr>
            <w:tcW w:w="680" w:type="dxa"/>
            <w:vAlign w:val="bottom"/>
            <w:gridSpan w:val="2"/>
          </w:tcPr>
          <w:p>
            <w:pPr>
              <w:ind w:left="140"/>
              <w:spacing w:after="0" w:line="139" w:lineRule="exact"/>
              <w:rPr>
                <w:sz w:val="20"/>
                <w:szCs w:val="20"/>
                <w:color w:val="auto"/>
              </w:rPr>
            </w:pPr>
            <w:r>
              <w:rPr>
                <w:rFonts w:ascii="Arial" w:cs="Arial" w:eastAsia="Arial" w:hAnsi="Arial"/>
                <w:sz w:val="13"/>
                <w:szCs w:val="13"/>
                <w:color w:val="0000FF"/>
              </w:rPr>
              <w:t>Voting</w:t>
            </w:r>
          </w:p>
        </w:tc>
        <w:tc>
          <w:tcPr>
            <w:tcW w:w="600" w:type="dxa"/>
            <w:vAlign w:val="bottom"/>
            <w:vMerge w:val="restart"/>
          </w:tcPr>
          <w:p>
            <w:pPr>
              <w:spacing w:after="0"/>
              <w:rPr>
                <w:sz w:val="20"/>
                <w:szCs w:val="20"/>
                <w:color w:val="auto"/>
              </w:rPr>
            </w:pPr>
            <w:r>
              <w:rPr>
                <w:rFonts w:ascii="Arial" w:cs="Arial" w:eastAsia="Arial" w:hAnsi="Arial"/>
                <w:sz w:val="16"/>
                <w:szCs w:val="16"/>
                <w:color w:val="0000FF"/>
              </w:rPr>
              <w:t>720,000</w:t>
            </w:r>
          </w:p>
        </w:tc>
        <w:tc>
          <w:tcPr>
            <w:tcW w:w="720" w:type="dxa"/>
            <w:vAlign w:val="bottom"/>
            <w:gridSpan w:val="2"/>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vMerge w:val="restart"/>
          </w:tcPr>
          <w:p>
            <w:pPr>
              <w:ind w:left="220"/>
              <w:spacing w:after="0"/>
              <w:rPr>
                <w:sz w:val="20"/>
                <w:szCs w:val="20"/>
                <w:color w:val="auto"/>
              </w:rPr>
            </w:pPr>
            <w:r>
              <w:rPr>
                <w:rFonts w:ascii="Arial" w:cs="Arial" w:eastAsia="Arial" w:hAnsi="Arial"/>
                <w:sz w:val="13"/>
                <w:szCs w:val="13"/>
                <w:color w:val="0000FF"/>
              </w:rPr>
              <w:t>720,000</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Pr>
          <w:p>
            <w:pPr>
              <w:ind w:left="60"/>
              <w:spacing w:after="0" w:line="143" w:lineRule="exact"/>
              <w:rPr>
                <w:sz w:val="20"/>
                <w:szCs w:val="20"/>
                <w:color w:val="auto"/>
              </w:rPr>
            </w:pPr>
            <w:r>
              <w:rPr>
                <w:rFonts w:ascii="Arial" w:cs="Arial" w:eastAsia="Arial" w:hAnsi="Arial"/>
                <w:sz w:val="13"/>
                <w:szCs w:val="13"/>
                <w:color w:val="0000FF"/>
              </w:rPr>
              <w:t>Stock Units</w:t>
            </w:r>
          </w:p>
        </w:tc>
        <w:tc>
          <w:tcPr>
            <w:tcW w:w="7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gridSpan w:val="2"/>
          </w:tcPr>
          <w:p>
            <w:pPr>
              <w:ind w:left="8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60"/>
        <w:spacing w:after="0"/>
        <w:rPr>
          <w:sz w:val="20"/>
          <w:szCs w:val="20"/>
          <w:color w:val="auto"/>
        </w:rPr>
      </w:pPr>
      <w:r>
        <w:rPr>
          <w:rFonts w:ascii="Arial" w:cs="Arial" w:eastAsia="Arial" w:hAnsi="Arial"/>
          <w:sz w:val="13"/>
          <w:szCs w:val="13"/>
          <w:color w:val="0000FF"/>
        </w:rPr>
        <w:t>Stock</w:t>
      </w:r>
      <w:r>
        <w:rPr>
          <w:rFonts w:ascii="Arial" w:cs="Arial" w:eastAsia="Arial" w:hAnsi="Arial"/>
          <w:sz w:val="20"/>
          <w:szCs w:val="20"/>
          <w:color w:val="008000"/>
          <w:vertAlign w:val="superscript"/>
        </w:rPr>
        <w:t>(1)</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220" w:hanging="1"/>
        <w:spacing w:after="0" w:line="239"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outstanding shares of non-voting common stock and shares of non-voting common stock underlying outstanding equity securities will convert into an equivalent number of shares of the Issuer's common stock immediately prior to the closing of the Issuer's initial public offering.</w:t>
      </w:r>
    </w:p>
    <w:p>
      <w:pPr>
        <w:spacing w:after="0" w:line="29" w:lineRule="exact"/>
        <w:rPr>
          <w:rFonts w:ascii="Arial" w:cs="Arial" w:eastAsia="Arial" w:hAnsi="Arial"/>
          <w:sz w:val="13"/>
          <w:szCs w:val="13"/>
          <w:color w:val="008000"/>
        </w:rPr>
      </w:pPr>
    </w:p>
    <w:p>
      <w:pPr>
        <w:ind w:left="40" w:right="200" w:hanging="1"/>
        <w:spacing w:after="0" w:line="239"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previously granted restricted stock units ("RSUs") for which the liquidity event-based vesting condition was satisfied upon the effectiveness of the registration statement on Form S-1 filed by the Issuer in connection with the Issuer's initial public offering. Certain of the RSUs remain subject to service-based vesting conditions.</w:t>
      </w:r>
    </w:p>
    <w:p>
      <w:pPr>
        <w:spacing w:after="0" w:line="29" w:lineRule="exact"/>
        <w:rPr>
          <w:rFonts w:ascii="Arial" w:cs="Arial" w:eastAsia="Arial" w:hAnsi="Arial"/>
          <w:sz w:val="13"/>
          <w:szCs w:val="13"/>
          <w:color w:val="008000"/>
        </w:rPr>
      </w:pPr>
    </w:p>
    <w:p>
      <w:pPr>
        <w:ind w:left="40" w:right="300" w:hanging="1"/>
        <w:spacing w:after="0" w:line="239"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withheld by the Issuer in connection with the net settlement of the applicable RSUs prior to the open of trading on September 19, 2023, which settlement date was determined by the Issuer's board of directors, to satisfy the tax obligation realized upon vesting of such RSUs.</w:t>
      </w:r>
    </w:p>
    <w:p>
      <w:pPr>
        <w:spacing w:after="0" w:line="29" w:lineRule="exact"/>
        <w:rPr>
          <w:rFonts w:ascii="Arial" w:cs="Arial" w:eastAsia="Arial" w:hAnsi="Arial"/>
          <w:sz w:val="13"/>
          <w:szCs w:val="13"/>
          <w:color w:val="008000"/>
        </w:rPr>
      </w:pPr>
    </w:p>
    <w:p>
      <w:pPr>
        <w:ind w:left="40" w:right="220" w:hanging="1"/>
        <w:spacing w:after="0" w:line="239"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the Issuer's common stock. The initial performance condition was met, and 180,000 shares vested, upon the effectiveness of the Issuer's initial public offering and the remaining rights will vest upon the achievement of specified market valuations.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8"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6"/>
              </w:rPr>
              <w:t>/s/ Bradley Libuit, Attorney-in-</w:t>
            </w:r>
          </w:p>
        </w:tc>
        <w:tc>
          <w:tcPr>
            <w:tcW w:w="8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color w:val="0000FF"/>
                <w:w w:val="89"/>
              </w:rPr>
              <w:t>09/20/2023</w:t>
            </w:r>
          </w:p>
        </w:tc>
        <w:tc>
          <w:tcPr>
            <w:tcW w:w="0" w:type="dxa"/>
            <w:vAlign w:val="bottom"/>
          </w:tcPr>
          <w:p>
            <w:pPr>
              <w:spacing w:after="0"/>
              <w:rPr>
                <w:sz w:val="1"/>
                <w:szCs w:val="1"/>
                <w:color w:val="auto"/>
              </w:rPr>
            </w:pPr>
          </w:p>
        </w:tc>
      </w:tr>
      <w:tr>
        <w:trPr>
          <w:trHeight w:val="81"/>
        </w:trPr>
        <w:tc>
          <w:tcPr>
            <w:tcW w:w="240" w:type="dxa"/>
            <w:vAlign w:val="bottom"/>
            <w:vMerge w:val="restart"/>
          </w:tcPr>
          <w:p>
            <w:pPr>
              <w:spacing w:after="0" w:line="181" w:lineRule="exact"/>
              <w:rPr>
                <w:sz w:val="20"/>
                <w:szCs w:val="20"/>
                <w:color w:val="auto"/>
              </w:rPr>
            </w:pPr>
            <w:r>
              <w:rPr>
                <w:rFonts w:ascii="Arial" w:cs="Arial" w:eastAsia="Arial" w:hAnsi="Arial"/>
                <w:sz w:val="16"/>
                <w:szCs w:val="16"/>
                <w:color w:val="0000FF"/>
                <w:w w:val="85"/>
              </w:rPr>
              <w:t>fact</w:t>
            </w:r>
          </w:p>
        </w:tc>
        <w:tc>
          <w:tcPr>
            <w:tcW w:w="1880" w:type="dxa"/>
            <w:vAlign w:val="bottom"/>
            <w:gridSpan w:val="2"/>
            <w:vMerge w:val="restart"/>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4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7479" TargetMode="External"/><Relationship Id="rId13" Type="http://schemas.openxmlformats.org/officeDocument/2006/relationships/hyperlink" Target="http://www.sec.gov/cgi-bin/browse-edgar?action=getcompany&amp;CIK=0001579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2023-09-20T19:42:38Z</dcterms:created>
  <dcterms:modified xsi:type="dcterms:W3CDTF">2023-09-20T19:42:38Z</dcterms:modified>
</cp:coreProperties>
</file>