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Emily Reuter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Maplebear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50 Beale Street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600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Maplebear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001-41805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Emily Reuter: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right="349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Years Ended December 31, 2021, 2022, and 2023 Revenue, page 77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8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advertising revenue, please quantify each factor cited. In particular, the extent to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changes are attributable to changes in prices, or to changes in the volume or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services provided, and/or the introduction of new services including the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adoption of new advertising features (e.g., through Carrot Ads technology you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launched in the second half of 2022) should be quantified. We note in your earnings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 for the interim period ended September 30, 2024 furnished on November 12,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 your CEO's emphasis of the significant impact the adoption of the new Carrot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technology had on your growth since the start of 2023. Refer to Item 303(b)</w:t>
      </w:r>
    </w:p>
    <w:p>
      <w:pPr>
        <w:ind w:left="120" w:right="5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and(b)(2)(iii) of Regulation S-K. December 19,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right="685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 Cash Flows, page 90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appears to discuss how reported operating cash flows was derived for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period, as already presented in the statement of cash flows. Rather,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should be a comparative discussion and analysis of the change from period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period in the amount of reported operating cash flows. Please provide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more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informative discussion and analysis of the material factors causing changes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cash flows, including changes in working capital components,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periods. Explain the underlying reasons for all factors cited and discuss trends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affecting variability in your operating cash flows. Note merely citing changes in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results, working capital items, and noncash items reported in the statement of cash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flows may not provide a sufficient basis to understand changes in reported operating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 between periods. Refer to Item 303(a) of Regulation S-K 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introductory paragraph of section IV.B and all of B.1 of Release No. 33-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8350.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4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Robert Shapiro at 202-551-3273 or Doug Jones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202-551-3309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2025-02-20T23:09:26Z</dcterms:created>
  <dcterms:modified xsi:type="dcterms:W3CDTF">2025-02-20T23:09:26Z</dcterms:modified>
</cp:coreProperties>
</file>