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55880</wp:posOffset>
            </wp:positionV>
            <wp:extent cx="3343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75565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64770</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159385</wp:posOffset>
            </wp:positionV>
            <wp:extent cx="208280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1882140</wp:posOffset>
            </wp:positionH>
            <wp:positionV relativeFrom="paragraph">
              <wp:posOffset>78105</wp:posOffset>
            </wp:positionV>
            <wp:extent cx="3343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70"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right"/>
              <w:ind w:right="2117"/>
              <w:spacing w:after="0"/>
              <w:rPr>
                <w:sz w:val="20"/>
                <w:szCs w:val="20"/>
                <w:color w:val="auto"/>
              </w:rPr>
            </w:pPr>
            <w:r>
              <w:rPr>
                <w:rFonts w:ascii="Times New Roman" w:cs="Times New Roman" w:eastAsia="Times New Roman" w:hAnsi="Times New Roman"/>
                <w:sz w:val="18"/>
                <w:szCs w:val="18"/>
                <w:b w:val="1"/>
                <w:bCs w:val="1"/>
                <w:color w:val="auto"/>
              </w:rPr>
              <w:t>001-41805</w:t>
            </w: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46-0723335</w:t>
            </w:r>
          </w:p>
        </w:tc>
        <w:tc>
          <w:tcPr>
            <w:tcW w:w="0" w:type="dxa"/>
            <w:vAlign w:val="bottom"/>
          </w:tcPr>
          <w:p>
            <w:pPr>
              <w:spacing w:after="0"/>
              <w:rPr>
                <w:sz w:val="1"/>
                <w:szCs w:val="1"/>
                <w:color w:val="auto"/>
              </w:rPr>
            </w:pPr>
          </w:p>
        </w:tc>
      </w:tr>
      <w:tr>
        <w:trPr>
          <w:trHeight w:val="144"/>
        </w:trPr>
        <w:tc>
          <w:tcPr>
            <w:tcW w:w="2060" w:type="dxa"/>
            <w:vAlign w:val="bottom"/>
          </w:tcPr>
          <w:p>
            <w:pPr>
              <w:jc w:val="center"/>
              <w:ind w:right="322"/>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1600" w:type="dxa"/>
            <w:vAlign w:val="bottom"/>
          </w:tcPr>
          <w:p>
            <w:pPr>
              <w:jc w:val="center"/>
              <w:ind w:left="422"/>
              <w:spacing w:after="0" w:line="145"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2060" w:type="dxa"/>
            <w:vAlign w:val="bottom"/>
          </w:tcPr>
          <w:p>
            <w:pPr>
              <w:jc w:val="center"/>
              <w:ind w:right="322"/>
              <w:spacing w:after="0"/>
              <w:rPr>
                <w:sz w:val="20"/>
                <w:szCs w:val="20"/>
                <w:color w:val="auto"/>
              </w:rPr>
            </w:pPr>
            <w:r>
              <w:rPr>
                <w:rFonts w:ascii="Times New Roman" w:cs="Times New Roman" w:eastAsia="Times New Roman" w:hAnsi="Times New Roman"/>
                <w:sz w:val="14"/>
                <w:szCs w:val="14"/>
                <w:color w:val="auto"/>
              </w:rPr>
              <w:t>incorporation)</w:t>
            </w:r>
          </w:p>
        </w:tc>
        <w:tc>
          <w:tcPr>
            <w:tcW w:w="4980" w:type="dxa"/>
            <w:vAlign w:val="bottom"/>
            <w:vMerge w:val="continue"/>
          </w:tcPr>
          <w:p>
            <w:pPr>
              <w:spacing w:after="0"/>
              <w:rPr>
                <w:sz w:val="16"/>
                <w:szCs w:val="16"/>
                <w:color w:val="auto"/>
              </w:rPr>
            </w:pPr>
          </w:p>
        </w:tc>
        <w:tc>
          <w:tcPr>
            <w:tcW w:w="1600" w:type="dxa"/>
            <w:vAlign w:val="bottom"/>
          </w:tcPr>
          <w:p>
            <w:pPr>
              <w:jc w:val="center"/>
              <w:ind w:left="462"/>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464"/>
        </w:trPr>
        <w:tc>
          <w:tcPr>
            <w:tcW w:w="2060" w:type="dxa"/>
            <w:vAlign w:val="bottom"/>
          </w:tcPr>
          <w:p>
            <w:pPr>
              <w:spacing w:after="0"/>
              <w:rPr>
                <w:sz w:val="24"/>
                <w:szCs w:val="24"/>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50 Beale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600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60" w:type="dxa"/>
            <w:vAlign w:val="bottom"/>
          </w:tcPr>
          <w:p>
            <w:pPr>
              <w:spacing w:after="0"/>
              <w:rPr>
                <w:sz w:val="17"/>
                <w:szCs w:val="17"/>
                <w:color w:val="auto"/>
              </w:rPr>
            </w:pPr>
          </w:p>
        </w:tc>
        <w:tc>
          <w:tcPr>
            <w:tcW w:w="4980" w:type="dxa"/>
            <w:vAlign w:val="bottom"/>
          </w:tcPr>
          <w:p>
            <w:pPr>
              <w:jc w:val="center"/>
              <w:ind w:right="37"/>
              <w:spacing w:after="0" w:line="201" w:lineRule="exact"/>
              <w:rPr>
                <w:sz w:val="20"/>
                <w:szCs w:val="20"/>
                <w:color w:val="auto"/>
              </w:rPr>
            </w:pPr>
            <w:r>
              <w:rPr>
                <w:rFonts w:ascii="Times New Roman" w:cs="Times New Roman" w:eastAsia="Times New Roman" w:hAnsi="Times New Roman"/>
                <w:sz w:val="18"/>
                <w:szCs w:val="18"/>
                <w:b w:val="1"/>
                <w:bCs w:val="1"/>
                <w:color w:val="auto"/>
                <w:w w:val="99"/>
              </w:rPr>
              <w:t>San Francisco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California 94105</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(888) 246-7822</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4"/>
                <w:szCs w:val="24"/>
                <w:color w:val="auto"/>
              </w:rPr>
            </w:pPr>
          </w:p>
        </w:tc>
        <w:tc>
          <w:tcPr>
            <w:tcW w:w="498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4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53"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1"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3"/>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CART</w:t>
            </w:r>
          </w:p>
        </w:tc>
        <w:tc>
          <w:tcPr>
            <w:tcW w:w="100" w:type="dxa"/>
            <w:vAlign w:val="bottom"/>
          </w:tcPr>
          <w:p>
            <w:pPr>
              <w:spacing w:after="0"/>
              <w:rPr>
                <w:sz w:val="17"/>
                <w:szCs w:val="17"/>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5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22, 2026, Maplebear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Holders of the Company’s common stock were entitled to one vote for each share held as of the close of business on April 1, 2026. The Company’s stockholders voted on the following three proposals at the Annual Meeting, each of which is described in more detail in the Company’s definitive proxy statement for the Annual Meeting, filed with the Securities and Exchange Commission on April 9,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hold office until the 2029 Annual Meeting of Stockholders and until their successors are duly elected and qualified, or until their earlier death, resignation, or removal;</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year ending December 31, 2026; and</w:t>
      </w:r>
    </w:p>
    <w:p>
      <w:pPr>
        <w:spacing w:after="0" w:line="148" w:lineRule="exact"/>
        <w:rPr>
          <w:rFonts w:ascii="Times New Roman" w:cs="Times New Roman" w:eastAsia="Times New Roman" w:hAnsi="Times New Roman"/>
          <w:sz w:val="18"/>
          <w:szCs w:val="18"/>
          <w:color w:val="auto"/>
        </w:rPr>
      </w:pPr>
    </w:p>
    <w:p>
      <w:pPr>
        <w:ind w:right="300" w:firstLine="332"/>
        <w:spacing w:after="0" w:line="490"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non-binding advisory basis, the compensation of the Company’s named executive officers, as disclosed in the Proxy Statement. The final results with respect to each proposal are set forth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stockholders elected each of the two nominees named below as Class III directors to serve until the Company’s 2029 annual meeting of stockholders and until their successors have been duly elected and qualified, or until their earlier death, resignation, or removal. The voting results are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5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Meredith Kopit Levien</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169,590,945</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14,099,391</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20,165,446</w:t>
            </w:r>
          </w:p>
        </w:tc>
      </w:tr>
      <w:tr>
        <w:trPr>
          <w:trHeight w:val="24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Lily Sarafan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152,967,518</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30,722,818</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20,165,446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Appointment of Independent Registered Public Accounting Firm</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year ending December 31, 2026. The voting results are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68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50"/>
        </w:trPr>
        <w:tc>
          <w:tcPr>
            <w:tcW w:w="36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203,285,613</w:t>
            </w:r>
          </w:p>
        </w:tc>
        <w:tc>
          <w:tcPr>
            <w:tcW w:w="100" w:type="dxa"/>
            <w:vAlign w:val="bottom"/>
            <w:shd w:val="clear" w:color="auto" w:fill="CCEEFF"/>
          </w:tcPr>
          <w:p>
            <w:pPr>
              <w:spacing w:after="0"/>
              <w:rPr>
                <w:sz w:val="21"/>
                <w:szCs w:val="21"/>
                <w:color w:val="auto"/>
              </w:rPr>
            </w:pPr>
          </w:p>
        </w:tc>
        <w:tc>
          <w:tcPr>
            <w:tcW w:w="366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8"/>
                <w:szCs w:val="18"/>
                <w:color w:val="auto"/>
              </w:rPr>
              <w:t>488,888</w:t>
            </w:r>
          </w:p>
        </w:tc>
        <w:tc>
          <w:tcPr>
            <w:tcW w:w="100" w:type="dxa"/>
            <w:vAlign w:val="bottom"/>
            <w:shd w:val="clear" w:color="auto" w:fill="CCEEFF"/>
          </w:tcPr>
          <w:p>
            <w:pPr>
              <w:spacing w:after="0"/>
              <w:rPr>
                <w:sz w:val="21"/>
                <w:szCs w:val="21"/>
                <w:color w:val="auto"/>
              </w:rPr>
            </w:pPr>
          </w:p>
        </w:tc>
        <w:tc>
          <w:tcPr>
            <w:tcW w:w="368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81,281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Non-Binding Advisory Vote to Approve the Compensation of the Company’s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disclosed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The voting results are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50"/>
        </w:trPr>
        <w:tc>
          <w:tcPr>
            <w:tcW w:w="27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143,732,039</w:t>
            </w:r>
          </w:p>
        </w:tc>
        <w:tc>
          <w:tcPr>
            <w:tcW w:w="80" w:type="dxa"/>
            <w:vAlign w:val="bottom"/>
            <w:shd w:val="clear" w:color="auto" w:fill="CCEEFF"/>
          </w:tcPr>
          <w:p>
            <w:pPr>
              <w:spacing w:after="0"/>
              <w:rPr>
                <w:sz w:val="21"/>
                <w:szCs w:val="21"/>
                <w:color w:val="auto"/>
              </w:rPr>
            </w:pPr>
          </w:p>
        </w:tc>
        <w:tc>
          <w:tcPr>
            <w:tcW w:w="27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38,736,539</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1,221,758</w:t>
            </w:r>
          </w:p>
        </w:tc>
        <w:tc>
          <w:tcPr>
            <w:tcW w:w="100" w:type="dxa"/>
            <w:vAlign w:val="bottom"/>
            <w:shd w:val="clear" w:color="auto" w:fill="CCEEFF"/>
          </w:tcPr>
          <w:p>
            <w:pPr>
              <w:spacing w:after="0"/>
              <w:rPr>
                <w:sz w:val="21"/>
                <w:szCs w:val="21"/>
                <w:color w:val="auto"/>
              </w:rPr>
            </w:pPr>
          </w:p>
        </w:tc>
        <w:tc>
          <w:tcPr>
            <w:tcW w:w="27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20,165,446</w:t>
            </w:r>
          </w:p>
        </w:tc>
      </w:tr>
      <w:tr>
        <w:trPr>
          <w:trHeight w:val="1020"/>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Maplebear Inc.</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Emily 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Emily Reuter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2026-05-29T16:36:50Z</dcterms:created>
  <dcterms:modified xsi:type="dcterms:W3CDTF">2026-05-29T16:36:50Z</dcterms:modified>
</cp:coreProperties>
</file>