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September 19,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Maplebear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46-0723335</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50 Beale Street, Suite 600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Francisco, California 94105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(888) 246-7822</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Maplebear Inc. 2013 Equity Incentive Plan</w:t>
      </w:r>
    </w:p>
    <w:p>
      <w:pPr>
        <w:spacing w:after="0" w:line="27"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Maplebear Inc. 2018 Equity Incentive Plan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Fidji Simo</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Maplebear Inc.</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50 Beale Street, Suite 600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San Francisco, California 94105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(888) 246-7822</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Copies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1860" w:type="dxa"/>
        <w:tblCellMar>
          <w:top w:w="0" w:type="dxa"/>
          <w:left w:w="0" w:type="dxa"/>
          <w:bottom w:w="0" w:type="dxa"/>
          <w:right w:w="0" w:type="dxa"/>
        </w:tblCellMar>
      </w:tblPr>
      <w:tr>
        <w:trPr>
          <w:trHeight w:val="216"/>
        </w:trPr>
        <w:tc>
          <w:tcPr>
            <w:tcW w:w="3720" w:type="dxa"/>
            <w:vAlign w:val="bottom"/>
          </w:tcPr>
          <w:p>
            <w:pPr>
              <w:jc w:val="center"/>
              <w:ind w:right="1550"/>
              <w:spacing w:after="0"/>
              <w:rPr>
                <w:sz w:val="20"/>
                <w:szCs w:val="20"/>
                <w:color w:val="auto"/>
              </w:rPr>
            </w:pPr>
            <w:r>
              <w:rPr>
                <w:rFonts w:ascii="Arial" w:cs="Arial" w:eastAsia="Arial" w:hAnsi="Arial"/>
                <w:sz w:val="18"/>
                <w:szCs w:val="18"/>
                <w:b w:val="1"/>
                <w:bCs w:val="1"/>
                <w:color w:val="auto"/>
                <w:w w:val="88"/>
              </w:rPr>
              <w:t>Jon Avina</w:t>
            </w:r>
          </w:p>
        </w:tc>
        <w:tc>
          <w:tcPr>
            <w:tcW w:w="410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Morgan Fong</w:t>
            </w:r>
          </w:p>
        </w:tc>
      </w:tr>
      <w:tr>
        <w:trPr>
          <w:trHeight w:val="216"/>
        </w:trPr>
        <w:tc>
          <w:tcPr>
            <w:tcW w:w="37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2"/>
              </w:rPr>
              <w:t>Rachel Proffitt</w:t>
            </w:r>
          </w:p>
        </w:tc>
        <w:tc>
          <w:tcPr>
            <w:tcW w:w="410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Bradley Libuit</w:t>
            </w:r>
          </w:p>
        </w:tc>
      </w:tr>
      <w:tr>
        <w:trPr>
          <w:trHeight w:val="216"/>
        </w:trPr>
        <w:tc>
          <w:tcPr>
            <w:tcW w:w="372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Jonie Kondracki</w:t>
            </w:r>
          </w:p>
        </w:tc>
        <w:tc>
          <w:tcPr>
            <w:tcW w:w="4100" w:type="dxa"/>
            <w:vAlign w:val="bottom"/>
          </w:tcPr>
          <w:p>
            <w:pPr>
              <w:jc w:val="center"/>
              <w:ind w:left="1550"/>
              <w:spacing w:after="0"/>
              <w:rPr>
                <w:sz w:val="20"/>
                <w:szCs w:val="20"/>
                <w:color w:val="auto"/>
              </w:rPr>
            </w:pPr>
            <w:r>
              <w:rPr>
                <w:rFonts w:ascii="Arial" w:cs="Arial" w:eastAsia="Arial" w:hAnsi="Arial"/>
                <w:sz w:val="18"/>
                <w:szCs w:val="18"/>
                <w:b w:val="1"/>
                <w:bCs w:val="1"/>
                <w:color w:val="auto"/>
                <w:w w:val="89"/>
              </w:rPr>
              <w:t>Hyun Jee Son</w:t>
            </w:r>
          </w:p>
        </w:tc>
      </w:tr>
      <w:tr>
        <w:trPr>
          <w:trHeight w:val="216"/>
        </w:trPr>
        <w:tc>
          <w:tcPr>
            <w:tcW w:w="3720" w:type="dxa"/>
            <w:vAlign w:val="bottom"/>
          </w:tcPr>
          <w:p>
            <w:pPr>
              <w:jc w:val="center"/>
              <w:ind w:right="1550"/>
              <w:spacing w:after="0"/>
              <w:rPr>
                <w:sz w:val="20"/>
                <w:szCs w:val="20"/>
                <w:color w:val="auto"/>
              </w:rPr>
            </w:pPr>
            <w:r>
              <w:rPr>
                <w:rFonts w:ascii="Arial" w:cs="Arial" w:eastAsia="Arial" w:hAnsi="Arial"/>
                <w:sz w:val="18"/>
                <w:szCs w:val="18"/>
                <w:b w:val="1"/>
                <w:bCs w:val="1"/>
                <w:color w:val="auto"/>
                <w:w w:val="94"/>
              </w:rPr>
              <w:t>Milson Yu</w:t>
            </w:r>
          </w:p>
        </w:tc>
        <w:tc>
          <w:tcPr>
            <w:tcW w:w="410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Kelsey Wilcox</w:t>
            </w:r>
          </w:p>
        </w:tc>
      </w:tr>
      <w:tr>
        <w:trPr>
          <w:trHeight w:val="216"/>
        </w:trPr>
        <w:tc>
          <w:tcPr>
            <w:tcW w:w="3720" w:type="dxa"/>
            <w:vAlign w:val="bottom"/>
          </w:tcPr>
          <w:p>
            <w:pPr>
              <w:jc w:val="center"/>
              <w:ind w:right="1550"/>
              <w:spacing w:after="0"/>
              <w:rPr>
                <w:sz w:val="20"/>
                <w:szCs w:val="20"/>
                <w:color w:val="auto"/>
              </w:rPr>
            </w:pPr>
            <w:r>
              <w:rPr>
                <w:rFonts w:ascii="Arial" w:cs="Arial" w:eastAsia="Arial" w:hAnsi="Arial"/>
                <w:sz w:val="18"/>
                <w:szCs w:val="18"/>
                <w:b w:val="1"/>
                <w:bCs w:val="1"/>
                <w:color w:val="auto"/>
                <w:w w:val="92"/>
              </w:rPr>
              <w:t>Cooley LLP</w:t>
            </w:r>
          </w:p>
        </w:tc>
        <w:tc>
          <w:tcPr>
            <w:tcW w:w="4100" w:type="dxa"/>
            <w:vAlign w:val="bottom"/>
          </w:tcPr>
          <w:p>
            <w:pPr>
              <w:jc w:val="center"/>
              <w:ind w:left="1550"/>
              <w:spacing w:after="0"/>
              <w:rPr>
                <w:sz w:val="20"/>
                <w:szCs w:val="20"/>
                <w:color w:val="auto"/>
              </w:rPr>
            </w:pPr>
            <w:r>
              <w:rPr>
                <w:rFonts w:ascii="Arial" w:cs="Arial" w:eastAsia="Arial" w:hAnsi="Arial"/>
                <w:sz w:val="18"/>
                <w:szCs w:val="18"/>
                <w:b w:val="1"/>
                <w:bCs w:val="1"/>
                <w:color w:val="auto"/>
                <w:w w:val="94"/>
              </w:rPr>
              <w:t>Maplebear Inc.</w:t>
            </w:r>
          </w:p>
        </w:tc>
      </w:tr>
      <w:tr>
        <w:trPr>
          <w:trHeight w:val="216"/>
        </w:trPr>
        <w:tc>
          <w:tcPr>
            <w:tcW w:w="37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3175 Hanover Street</w:t>
            </w:r>
          </w:p>
        </w:tc>
        <w:tc>
          <w:tcPr>
            <w:tcW w:w="4100" w:type="dxa"/>
            <w:vAlign w:val="bottom"/>
          </w:tcPr>
          <w:p>
            <w:pPr>
              <w:jc w:val="center"/>
              <w:ind w:left="1550"/>
              <w:spacing w:after="0"/>
              <w:rPr>
                <w:sz w:val="20"/>
                <w:szCs w:val="20"/>
                <w:color w:val="auto"/>
              </w:rPr>
            </w:pPr>
            <w:r>
              <w:rPr>
                <w:rFonts w:ascii="Arial" w:cs="Arial" w:eastAsia="Arial" w:hAnsi="Arial"/>
                <w:sz w:val="18"/>
                <w:szCs w:val="18"/>
                <w:b w:val="1"/>
                <w:bCs w:val="1"/>
                <w:color w:val="auto"/>
                <w:w w:val="88"/>
              </w:rPr>
              <w:t>50 Beale Street, Suite 600</w:t>
            </w:r>
          </w:p>
        </w:tc>
      </w:tr>
      <w:tr>
        <w:trPr>
          <w:trHeight w:val="216"/>
        </w:trPr>
        <w:tc>
          <w:tcPr>
            <w:tcW w:w="372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Palo Alto, California 94304</w:t>
            </w:r>
          </w:p>
        </w:tc>
        <w:tc>
          <w:tcPr>
            <w:tcW w:w="410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San Francisco, California 94105</w:t>
            </w:r>
          </w:p>
        </w:tc>
      </w:tr>
      <w:tr>
        <w:trPr>
          <w:trHeight w:val="234"/>
        </w:trPr>
        <w:tc>
          <w:tcPr>
            <w:tcW w:w="372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(650) 843-5000</w:t>
            </w:r>
          </w:p>
        </w:tc>
        <w:tc>
          <w:tcPr>
            <w:tcW w:w="410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(888) 246-7822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left="120" w:right="160" w:firstLine="44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170815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registration statement contains a “reoffer prospectus” prepared in accordance with Part I of Form S-3 (in accordance with Instruction C of the General Instructions to Form S-8). This reoffer prospectus may be used for reoffers and resales on a continuous or delayed basis of some or all of those shares of common stock (the “Shares”) of Maplebear Inc., a Delaware corporation (“us”, “we” or the “Registrant”), referred to herein that constitute “control securities” or “restricted securities,” as applicable, within the meaning of the Securities Act of 1933, as amended (the “Securities Act”) and Instruction C of the General Instructions to Form S-8, by certain stockholders that are current employees (including certain officers) of the Registrant (the “Selling Stockholders”) for their own accounts. As specified in General Instruction C of Form S-8, the amount of securities to be reoffered or resold under the reoffer prospectus by each Selling Stockholder and any other person with whom he or she is acting in concert for the purpose of selling the Registrant’s securities, may not exceed, during any three-month period, the amount specified in Rule 144(e) under the Securities Act.</w:t>
      </w:r>
    </w:p>
    <w:p>
      <w:pPr>
        <w:sectPr>
          <w:pgSz w:w="11900" w:h="16838" w:orient="portrait"/>
          <w:cols w:equalWidth="0" w:num="1">
            <w:col w:w="11100"/>
          </w:cols>
          <w:pgMar w:left="320" w:top="45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171450</wp:posOffset>
            </wp:positionV>
            <wp:extent cx="2366010"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01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Maplebear Inc.</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354,079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This prospectus relates to 354,079 shares of common stock, par value $0.0001 per share (the “Shares”), of Maplebear Inc., a Delaware corporation, which Shares may be offered from time to time by certain stockholders that are our current employees (the “Selling Stockholders”), for their own accounts. We will not receive any of the proceeds from the sale of Shares by the Selling Stockholders made hereunder. The Shares were or will be acquired by the Selling Stockholders pursuant to the Maplebear Inc. 2013 Equity Incentive Plan (as amended and/or restated, the “2013 Plan”), the Maplebear Inc. 2018 Equity Incentive Plan (as amended and/or restated, the “2018 Plan”), or other “employee benefit plans” as such term is defined in Rule 405 under the Securities Act.</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Selling Stockholders may sell the securities described in this prospectus in a number of different ways and at varying prices, including sales in the open market, sales in negotiated transactions and sales by a combination of these methods. The Selling Stockholders may sell any, all, or none of the Shares, and we do not know when or in what amount the Selling Stockholders may sell their Shares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our common stock at the time of a sale, at prices relating to the market price over a period of time, or at prices negotiated with the buyers of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8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Our common stock has been approved for listing on The Nasdaq Global Select Market (“Nasdaq”) under the symbol “CART.” The initial public offering price of our common stock pursuant to our Registration Statement on Form S-1, as amended, declared effective on September 18, 2023, was $30.00 per share.</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amount of securities to be offered or resold under this reoffer prospectus by each Selling Stockholder or other person with whom he or she is acting in concert for the purpose of selling our securities, may not exceed, during any three month period, the amount specified in Rule 144(e)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120" w:firstLine="440"/>
        <w:spacing w:after="0" w:line="260" w:lineRule="auto"/>
        <w:rPr>
          <w:sz w:val="20"/>
          <w:szCs w:val="20"/>
          <w:color w:val="auto"/>
        </w:rPr>
      </w:pPr>
      <w:r>
        <w:rPr>
          <w:rFonts w:ascii="Arial" w:cs="Arial" w:eastAsia="Arial" w:hAnsi="Arial"/>
          <w:sz w:val="21"/>
          <w:szCs w:val="21"/>
          <w:b w:val="1"/>
          <w:bCs w:val="1"/>
          <w:color w:val="auto"/>
        </w:rPr>
        <w:t>Investing in our common stock involves a high degree of risk. Before buying any shares of our common stock, you should carefully read the discussion of the risks of investing in our common stock in the section titled “</w:t>
      </w:r>
      <w:r>
        <w:rPr>
          <w:rFonts w:ascii="Arial" w:cs="Arial" w:eastAsia="Arial" w:hAnsi="Arial"/>
          <w:sz w:val="21"/>
          <w:szCs w:val="21"/>
          <w:b w:val="1"/>
          <w:bCs w:val="1"/>
          <w:u w:val="single" w:color="auto"/>
          <w:color w:val="0000EE"/>
        </w:rPr>
        <w:t>Risk Factors</w:t>
      </w:r>
      <w:r>
        <w:rPr>
          <w:rFonts w:ascii="Arial" w:cs="Arial" w:eastAsia="Arial" w:hAnsi="Arial"/>
          <w:sz w:val="21"/>
          <w:szCs w:val="21"/>
          <w:b w:val="1"/>
          <w:bCs w:val="1"/>
          <w:color w:val="auto"/>
        </w:rPr>
        <w:t>” included or incorporated by reference into this prospectus on page 2.</w:t>
      </w:r>
    </w:p>
    <w:p>
      <w:pPr>
        <w:spacing w:after="0" w:line="173"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Securities and Exchange Commission (the “SEC”) may take the view that, under certain circumstances, the Selling Stockholders and any broker-dealers or agents that participate with the Selling Stockholders in the distribution of the Shares may be deemed to be “underwriters” within the meaning of the Securities Act. Commissions, discounts or concessions received by any such broker-dealer or agent may be deemed to be underwriting commissions under the Securities Act. See the section titled “Plan of Distribution.”</w:t>
      </w:r>
    </w:p>
    <w:p>
      <w:pPr>
        <w:spacing w:after="0" w:line="167"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September 19, 2023</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80" w:type="dxa"/>
            <w:vAlign w:val="bottom"/>
            <w:gridSpan w:val="5"/>
            <w:vMerge w:val="restart"/>
          </w:tcPr>
          <w:p>
            <w:pPr>
              <w:spacing w:after="0"/>
              <w:rPr>
                <w:sz w:val="20"/>
                <w:szCs w:val="20"/>
                <w:color w:val="auto"/>
              </w:rPr>
            </w:pPr>
            <w:r>
              <w:rPr>
                <w:rFonts w:ascii="Arial" w:cs="Arial" w:eastAsia="Arial" w:hAnsi="Arial"/>
                <w:sz w:val="18"/>
                <w:szCs w:val="18"/>
                <w:color w:val="0000EE"/>
                <w:w w:val="95"/>
              </w:rPr>
              <w:t>THE COMPANY</w:t>
            </w:r>
          </w:p>
        </w:tc>
        <w:tc>
          <w:tcPr>
            <w:tcW w:w="9360" w:type="dxa"/>
            <w:vAlign w:val="bottom"/>
            <w:gridSpan w:val="10"/>
            <w:vMerge w:val="restart"/>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1280" w:type="dxa"/>
            <w:vAlign w:val="bottom"/>
            <w:tcBorders>
              <w:bottom w:val="single" w:sz="8" w:color="0000EE"/>
            </w:tcBorders>
            <w:gridSpan w:val="5"/>
            <w:vMerge w:val="continue"/>
          </w:tcPr>
          <w:p>
            <w:pPr>
              <w:spacing w:after="0"/>
              <w:rPr>
                <w:sz w:val="13"/>
                <w:szCs w:val="13"/>
                <w:color w:val="auto"/>
              </w:rPr>
            </w:pPr>
          </w:p>
        </w:tc>
        <w:tc>
          <w:tcPr>
            <w:tcW w:w="9360" w:type="dxa"/>
            <w:vAlign w:val="bottom"/>
            <w:gridSpan w:val="10"/>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40" w:type="dxa"/>
            <w:vAlign w:val="bottom"/>
            <w:gridSpan w:val="15"/>
          </w:tcPr>
          <w:p>
            <w:pPr>
              <w:spacing w:after="0"/>
              <w:rPr>
                <w:sz w:val="20"/>
                <w:szCs w:val="20"/>
                <w:color w:val="auto"/>
              </w:rPr>
            </w:pPr>
            <w:r>
              <w:rPr>
                <w:rFonts w:ascii="Arial" w:cs="Arial" w:eastAsia="Arial" w:hAnsi="Arial"/>
                <w:sz w:val="18"/>
                <w:szCs w:val="18"/>
                <w:color w:val="0000EE"/>
              </w:rPr>
              <w:t>RISK FACTORS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5"/>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5"/>
          </w:tcPr>
          <w:p>
            <w:pPr>
              <w:spacing w:after="0"/>
              <w:rPr>
                <w:sz w:val="17"/>
                <w:szCs w:val="17"/>
                <w:color w:val="auto"/>
              </w:rPr>
            </w:pPr>
          </w:p>
        </w:tc>
        <w:tc>
          <w:tcPr>
            <w:tcW w:w="53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640" w:type="dxa"/>
            <w:vAlign w:val="bottom"/>
            <w:gridSpan w:val="15"/>
          </w:tcPr>
          <w:p>
            <w:pPr>
              <w:spacing w:after="0" w:line="196" w:lineRule="exact"/>
              <w:rPr>
                <w:sz w:val="20"/>
                <w:szCs w:val="20"/>
                <w:color w:val="auto"/>
              </w:rPr>
            </w:pPr>
            <w:r>
              <w:rPr>
                <w:rFonts w:ascii="Arial" w:cs="Arial" w:eastAsia="Arial" w:hAnsi="Arial"/>
                <w:sz w:val="18"/>
                <w:szCs w:val="18"/>
                <w:color w:val="0000EE"/>
              </w:rPr>
              <w:t>SELLING STOCKHOLDERS</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PLAN OF DISTRIBUTION</w:t>
            </w:r>
          </w:p>
        </w:tc>
        <w:tc>
          <w:tcPr>
            <w:tcW w:w="844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17"/>
                <w:szCs w:val="17"/>
                <w:color w:val="auto"/>
              </w:rPr>
            </w:pPr>
          </w:p>
        </w:tc>
        <w:tc>
          <w:tcPr>
            <w:tcW w:w="860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640" w:type="dxa"/>
            <w:vAlign w:val="bottom"/>
            <w:gridSpan w:val="15"/>
          </w:tcPr>
          <w:p>
            <w:pPr>
              <w:spacing w:after="0" w:line="196" w:lineRule="exact"/>
              <w:rPr>
                <w:sz w:val="20"/>
                <w:szCs w:val="20"/>
                <w:color w:val="auto"/>
              </w:rPr>
            </w:pPr>
            <w:r>
              <w:rPr>
                <w:rFonts w:ascii="Arial" w:cs="Arial" w:eastAsia="Arial" w:hAnsi="Arial"/>
                <w:sz w:val="18"/>
                <w:szCs w:val="18"/>
                <w:color w:val="0000EE"/>
              </w:rPr>
              <w:t>EXPERTS</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INFORMATION INCORPORATED BY REFERENCE</w:t>
            </w:r>
          </w:p>
        </w:tc>
        <w:tc>
          <w:tcPr>
            <w:tcW w:w="662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640" w:type="dxa"/>
            <w:vAlign w:val="bottom"/>
            <w:gridSpan w:val="15"/>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5"/>
          </w:tcPr>
          <w:p>
            <w:pPr>
              <w:spacing w:after="0" w:line="196" w:lineRule="exact"/>
              <w:rPr>
                <w:sz w:val="20"/>
                <w:szCs w:val="20"/>
                <w:color w:val="auto"/>
              </w:rPr>
            </w:pPr>
            <w:r>
              <w:rPr>
                <w:rFonts w:ascii="Arial" w:cs="Arial" w:eastAsia="Arial" w:hAnsi="Arial"/>
                <w:sz w:val="18"/>
                <w:szCs w:val="18"/>
                <w:color w:val="0000EE"/>
              </w:rPr>
              <w:t>PART I INFORMATION REQUIRED IN THE SECTION 10(A) PROSPECTUS</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r>
        <w:trPr>
          <w:trHeight w:val="196"/>
        </w:trPr>
        <w:tc>
          <w:tcPr>
            <w:tcW w:w="58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PART II INFORMATION REQUIRED IN REGISTRATION STATEMENT</w:t>
            </w:r>
          </w:p>
        </w:tc>
        <w:tc>
          <w:tcPr>
            <w:tcW w:w="48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196"/>
        </w:trPr>
        <w:tc>
          <w:tcPr>
            <w:tcW w:w="82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EXHIBITS</w:t>
            </w:r>
          </w:p>
        </w:tc>
        <w:tc>
          <w:tcPr>
            <w:tcW w:w="4660" w:type="dxa"/>
            <w:vAlign w:val="bottom"/>
            <w:tcBorders>
              <w:top w:val="single" w:sz="8" w:color="0000EE"/>
            </w:tcBorders>
            <w:gridSpan w:val="11"/>
          </w:tcPr>
          <w:p>
            <w:pPr>
              <w:spacing w:after="0"/>
              <w:rPr>
                <w:sz w:val="17"/>
                <w:szCs w:val="17"/>
                <w:color w:val="auto"/>
              </w:rPr>
            </w:pPr>
          </w:p>
        </w:tc>
        <w:tc>
          <w:tcPr>
            <w:tcW w:w="51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2"/>
              </w:rPr>
              <w:t>SIGNATURES</w:t>
            </w:r>
          </w:p>
        </w:tc>
        <w:tc>
          <w:tcPr>
            <w:tcW w:w="954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Neither we nor any of the Selling Stockholders has authorized anyone to provide you with any information or to make any representations other than those contained in this prospectus or in any accompanying prospectus supplement we have prepared. Neither we nor any of the Selling Stockholders takes any responsibility for, and can provide no assurance as to the reliability of, any other information that others may give you. The information contained in this prospectus is accurate only as of the date of this prospectus, regardless of the time of delivery of this prospectus or of any sale of our common stock. Our business, financial condition, results of operations, and future growth prospects may have changed since that date.</w:t>
      </w:r>
    </w:p>
    <w:p>
      <w:pPr>
        <w:spacing w:after="0" w:line="16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Our design logos, “Maplebear,” “Instacart,” and our other registered or common law trademarks, service marks, or trade names appearing in this prospectus are the property of Maplebear Inc. or its affiliates. Other trade names, trademarks, and service marks used in this prospectus are the property of their respective owners.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the context otherwise requires, all references in this prospectus to “we,” “us,” “our,” “our company,” and “Instacart” refer to Maplebear Inc. and its consolidated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93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Instacart</w:t>
      </w:r>
    </w:p>
    <w:p>
      <w:pPr>
        <w:spacing w:after="0" w:line="121"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Instacart is powering the future of grocery through technology. We partner with retailers to help them successfully navigate the digital transformation of their businesses.</w:t>
      </w:r>
    </w:p>
    <w:p>
      <w:pPr>
        <w:spacing w:after="0" w:line="170" w:lineRule="exact"/>
        <w:rPr>
          <w:sz w:val="20"/>
          <w:szCs w:val="20"/>
          <w:color w:val="auto"/>
        </w:rPr>
      </w:pPr>
    </w:p>
    <w:p>
      <w:pPr>
        <w:jc w:val="both"/>
        <w:ind w:left="300" w:right="120" w:firstLine="426"/>
        <w:spacing w:after="0" w:line="257" w:lineRule="auto"/>
        <w:rPr>
          <w:sz w:val="20"/>
          <w:szCs w:val="20"/>
          <w:color w:val="auto"/>
        </w:rPr>
      </w:pPr>
      <w:r>
        <w:rPr>
          <w:rFonts w:ascii="Arial" w:cs="Arial" w:eastAsia="Arial" w:hAnsi="Arial"/>
          <w:sz w:val="18"/>
          <w:szCs w:val="18"/>
          <w:color w:val="auto"/>
        </w:rPr>
        <w:t>Instacart was founded in 2012 to bring the grocery industry online and help make grocery shopping effortless. We started by understanding what consumers want and then built enterprise-grade technologies that allow retailers to meet those needs. We want to enable any retailer, large or small, to drive success both online and in-store and serve their customers better in all of the ways they choose to shop. As of June 30, 2023, more than 1,400 national, regional, and local retail banners that collectively represent more than 85% of the U.S. grocery market, based on total grocery sales in 2022, excluding alcohol sales, partner with Instacart.</w:t>
      </w:r>
    </w:p>
    <w:p>
      <w:pPr>
        <w:spacing w:after="0" w:line="188"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We help our retail partners reach 7.7 million monthly active orderers — which we define as customers who place at least one order on Instacart during a given calendar month — who spent approximately $317 per month on average on Instacart during the month ended June 30, 2023.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spacing w:after="0" w:line="176"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As consumers and retailers move online, consumer packaged goods brands can use Instacart Ads as a new way to reach customers at the point of purchase and within minutes of delivery and consumption. As of June 30, 2023, over 5,500 brands are using Instacart Ads and are now more easily discoverable as customers fill their digital carts. Instacart Ads offers brands a highly measurable ads offering that leverages first-party transaction data to move products off of store shelves more efficiently.</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We believe the future of grocery is about helping consumers find products they love from retailers they trust, no matter where they are or how they choose to shop.</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We were incorporated as Maplebear Inc. in Delaware in 2012, and we do business as Instacart. Our principal executive offices are located at 50 Beale Street, Suite 600, San Francisco, California 94105. Our telephone number is (888) 246-7822. Our website address is www.instacart.com/company. Information contained on, or that can be accessed through, our website is not incorporated by reference into this prospectus, and you should not consider information on our website to be part of this prospectus.</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An investment in shares of our common stock is highly speculative and involves a high degree of risk. We face a variety of risks that may affect our operations or financial results and many of those risks are driven by factors that we cannot control or predict. Before investing in our common stock, you should carefully consider the risks set forth under the caption “Risk Factors” in our Registration Statement on </w:t>
      </w:r>
      <w:hyperlink r:id="rId29">
        <w:r>
          <w:rPr>
            <w:rFonts w:ascii="Arial" w:cs="Arial" w:eastAsia="Arial" w:hAnsi="Arial"/>
            <w:sz w:val="17"/>
            <w:szCs w:val="17"/>
            <w:u w:val="single" w:color="auto"/>
            <w:color w:val="0000EE"/>
          </w:rPr>
          <w:t>Form S-1</w:t>
        </w:r>
      </w:hyperlink>
      <w:r>
        <w:rPr>
          <w:rFonts w:ascii="Arial" w:cs="Arial" w:eastAsia="Arial" w:hAnsi="Arial"/>
          <w:sz w:val="17"/>
          <w:szCs w:val="17"/>
          <w:color w:val="auto"/>
        </w:rPr>
        <w:t>, as amended (File No. 333-274213), filed with the SEC on September 15, 2023, which are incorporated by reference herein, and subsequent reports filed with the SEC, together with the financial and other information contained or incorporated by reference in this prospectus. If any of these risks actually occur, our business, prospects, financial condition and results of operations could be materially adversely affected. In that case, the trading price of our common stock would likely decline and you may lose all or a part of your investment. Only those investors who can bear the risk of loss of their entire investment should invest in our common stock. Additional risks and uncertainties not presently known to us or that we currently deem immaterial also may impair our business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This prospectus and the documents incorporated by reference herein contain forward-looking statements about us and our industry that involve substantial risks and uncertainties. All statements other than statements of historical facts contained or incorporated by reference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spacing w:after="0" w:line="83" w:lineRule="exact"/>
        <w:rPr>
          <w:sz w:val="20"/>
          <w:szCs w:val="20"/>
          <w:color w:val="auto"/>
        </w:rPr>
      </w:pPr>
    </w:p>
    <w:p>
      <w:pPr>
        <w:ind w:left="10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including revenue, cost of revenue, gross profit, operating expenses, net income, and key metrics such as gross transaction value and orders, and our ability to maintain or increase future profitability and generate profitable growth over time;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and industry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effectively manage our growth and plan for and execute growth strategies and initiatives;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financial performance, key metrics, and business and in the markets in which we operate;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increase engagement of customers and shoppers;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offerings to existing customers, retailers, and brands;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and expand our relationships with retailers and brands;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grow across our current markets and expand into new markets;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successfully compete with companies that are currently in, or may in the future enter, the markets in which we operate;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and effectively scale and adapt our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innovate and enhance our offerings;</w:t>
      </w:r>
    </w:p>
    <w:p>
      <w:pPr>
        <w:spacing w:after="0" w:line="130" w:lineRule="exact"/>
        <w:rPr>
          <w:rFonts w:ascii="Arial" w:cs="Arial" w:eastAsia="Arial" w:hAnsi="Arial"/>
          <w:sz w:val="18"/>
          <w:szCs w:val="18"/>
          <w:color w:val="auto"/>
        </w:rPr>
      </w:pPr>
    </w:p>
    <w:p>
      <w:pPr>
        <w:ind w:left="1080" w:right="62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develop new offerings, features, and use cases and bring them to market in a timely manner, and whether current and prospective customers, retailers, brands, and shoppers will adopt these new products, offerings, features, and use cases;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the COVID-19 pandemic, including its variants, or other public health crises;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and complete acquisitions that complement and expand the functionality of Instacart and our offerings;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comply or remain in compliance with laws and regulations that currently apply or become applicable to our business in the United States and internationally;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key personnel and our ability to attract, maintain, and retain management and skilled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future trading prices of our common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 or the documents incorporated by reference herein.</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and the documents incorporated by reference herein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prospectus and the documents incorporated by reference herein. Moreover, we operate in a very competitive and rapidly changing environment. New risks and uncertainties emerge from time to time, and it is not possible for us to predict all risks and uncertainties that could have an impact on the forward-looking statements contained or incorporated by reference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forward-looking statements made or incorporated by reference in this prospectus relate only to events as of the date on which the statements are made. We undertake no obligation to update any forward-looking statements made or incorporated by reference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9"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July 31, 2023, as adjusted to reflect the Shares that may be sold from time to time pursuant to this prospectus, for all Selling Stockholders, consisting of the individuals shown as having shares listed in the column titled “Number of Shares Being Offered.”</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Shares offered by the Selling Stockholders hereunder consist of an aggregate of 354,079 shares of common stock acquired or to be acquired by certain of our current employees (including certain officers) upon the exercise of stock options issued under our 2013 Plan and 2018 Plan and underlying outstanding restricted stock units issued under our 2018 Plan. We have determined beneficial ownership in accordance with the rules of the SEC and the information is not necessarily indicative of beneficial ownership for any other purpose. Unless otherwise indicated below, to our knowledge, the persons named in the table have sole voting and sole investment power with respect to all shares that they beneficially own, subject to community property laws where applicable. In computing the number of shares of our common stock beneficially owned by a person and the percentage ownership of that person, we deemed outstanding shares of our common stock subject to stock options and restricted stock units held by that person that are currently exercisable or exercisable within 60 days of July 31, 2023. We did not deem these shares outstanding, however, for the purpose of computing the percentage ownership of any other person.</w:t>
      </w:r>
    </w:p>
    <w:p>
      <w:pPr>
        <w:spacing w:after="0" w:line="181" w:lineRule="exact"/>
        <w:rPr>
          <w:sz w:val="20"/>
          <w:szCs w:val="20"/>
          <w:color w:val="auto"/>
        </w:rPr>
      </w:pPr>
    </w:p>
    <w:p>
      <w:pPr>
        <w:ind w:left="120" w:right="240" w:firstLine="44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We have based percentage ownership of our common stock prior to this offering on 279,665,446 shares of common stock outstanding as of July 31, 2023, assuming the sale and issuance by us of 14,100,000 shares of common stock upon the closing of our initial public offering (“IPO”), no exercise of the underwriters’ option to purchase additional shares of common stock from us in the IPO, and the following additional adjustments in connection with our IPO (based on assumed tax withholding rates set forth in our Registration Statement on </w:t>
      </w:r>
      <w:hyperlink r:id="rId29">
        <w:r>
          <w:rPr>
            <w:rFonts w:ascii="Arial" w:cs="Arial" w:eastAsia="Arial" w:hAnsi="Arial"/>
            <w:sz w:val="17"/>
            <w:szCs w:val="17"/>
            <w:u w:val="single" w:color="auto"/>
            <w:color w:val="0000EE"/>
          </w:rPr>
          <w:t>Form S-1</w:t>
        </w:r>
      </w:hyperlink>
      <w:r>
        <w:rPr>
          <w:rFonts w:ascii="Arial" w:cs="Arial" w:eastAsia="Arial" w:hAnsi="Arial"/>
          <w:sz w:val="17"/>
          <w:szCs w:val="17"/>
          <w:color w:val="auto"/>
        </w:rPr>
        <w:t>, as amended (File No. 333-274213), filed with the SEC on September 15, 2023, and incorporated by reference herein):</w:t>
      </w:r>
    </w:p>
    <w:p>
      <w:pPr>
        <w:spacing w:after="0" w:line="82" w:lineRule="exact"/>
        <w:rPr>
          <w:sz w:val="20"/>
          <w:szCs w:val="20"/>
          <w:color w:val="auto"/>
        </w:rPr>
      </w:pPr>
    </w:p>
    <w:p>
      <w:pPr>
        <w:ind w:left="1080" w:right="3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automatic exchange of all outstanding exchangeable shares of our subsidiary, Aspen Merger Corp., into 688,787 shares of our non-voting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net issuance of 17,638,627 shares of our non-voting common stock upon with the vesting and settlement of certain RSUs;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repurchase and cancellation of 145,407 shares of our non-voting restricted stock upon the vesting of such non-voting restricted stock;</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net issuance of 4,197,340 shares of our common stock upon the net exercise of certain stock options;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issuance of 254,000 shares of our voting common stock upon the cash exercise of a stock option;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net issuance of 2,843,774 shares of our non-voting common stock upon the net exercise of an outstanding warrant to purchase common stock;</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conversion of all outstanding shares of our non-voting common stock and shares of our non-voting common stock underlying outstanding equity securities into an equivalent number of shares of our voting common stock;</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redeemable convertible preferred stock into 167,691,828 shares of our voting common stock; and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our voting common stock and shares of our voting common stock underlying outstanding equity securities into an equivalent number of shares of common stock.</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Maplebear Inc., 50 Beale Street, Suite 600, San Francisco, California 94105.</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Stockholder</w:t>
            </w:r>
          </w:p>
        </w:tc>
        <w:tc>
          <w:tcPr>
            <w:tcW w:w="24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4"/>
              </w:rPr>
              <w:t>Shares Beneficially Owned Prior</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55"/>
        </w:trPr>
        <w:tc>
          <w:tcPr>
            <w:tcW w:w="5580" w:type="dxa"/>
            <w:vAlign w:val="bottom"/>
            <w:gridSpan w:val="2"/>
            <w:vMerge w:val="continue"/>
          </w:tcPr>
          <w:p>
            <w:pPr>
              <w:spacing w:after="0"/>
              <w:rPr>
                <w:sz w:val="13"/>
                <w:szCs w:val="13"/>
                <w:color w:val="auto"/>
              </w:rPr>
            </w:pPr>
          </w:p>
        </w:tc>
        <w:tc>
          <w:tcPr>
            <w:tcW w:w="166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to this Offering</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Shares Being</w:t>
            </w:r>
          </w:p>
        </w:tc>
        <w:tc>
          <w:tcPr>
            <w:tcW w:w="1860" w:type="dxa"/>
            <w:vAlign w:val="bottom"/>
            <w:gridSpan w:val="4"/>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Following this Offering</w:t>
            </w:r>
            <w:r>
              <w:rPr>
                <w:rFonts w:ascii="Arial" w:cs="Arial" w:eastAsia="Arial" w:hAnsi="Arial"/>
                <w:sz w:val="10"/>
                <w:szCs w:val="10"/>
                <w:b w:val="1"/>
                <w:bCs w:val="1"/>
                <w:color w:val="auto"/>
                <w:w w:val="94"/>
              </w:rPr>
              <w:t>(1)</w:t>
            </w:r>
          </w:p>
        </w:tc>
        <w:tc>
          <w:tcPr>
            <w:tcW w:w="0" w:type="dxa"/>
            <w:vAlign w:val="bottom"/>
          </w:tcPr>
          <w:p>
            <w:pPr>
              <w:spacing w:after="0"/>
              <w:rPr>
                <w:sz w:val="1"/>
                <w:szCs w:val="1"/>
                <w:color w:val="auto"/>
              </w:rPr>
            </w:pPr>
          </w:p>
        </w:tc>
      </w:tr>
      <w:tr>
        <w:trPr>
          <w:trHeight w:val="149"/>
        </w:trPr>
        <w:tc>
          <w:tcPr>
            <w:tcW w:w="1200" w:type="dxa"/>
            <w:vAlign w:val="bottom"/>
            <w:tcBorders>
              <w:top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1660" w:type="dxa"/>
            <w:vAlign w:val="bottom"/>
            <w:tcBorders>
              <w:top w:val="single" w:sz="8" w:color="auto"/>
            </w:tcBorders>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Borders>
              <w:top w:val="single" w:sz="8" w:color="auto"/>
            </w:tcBorders>
          </w:tcPr>
          <w:p>
            <w:pPr>
              <w:jc w:val="right"/>
              <w:ind w:right="20"/>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(2)</w:t>
            </w:r>
          </w:p>
        </w:tc>
        <w:tc>
          <w:tcPr>
            <w:tcW w:w="3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Offered</w:t>
            </w:r>
          </w:p>
        </w:tc>
        <w:tc>
          <w:tcPr>
            <w:tcW w:w="1400" w:type="dxa"/>
            <w:vAlign w:val="bottom"/>
            <w:tcBorders>
              <w:top w:val="single" w:sz="8" w:color="auto"/>
            </w:tcBorders>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Morgan Fong</w:t>
            </w:r>
            <w:r>
              <w:rPr>
                <w:rFonts w:ascii="Arial" w:cs="Arial" w:eastAsia="Arial" w:hAnsi="Arial"/>
                <w:sz w:val="24"/>
                <w:szCs w:val="24"/>
                <w:color w:val="auto"/>
                <w:vertAlign w:val="superscript"/>
              </w:rPr>
              <w:t>(3)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410,681</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165,714</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244,967</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line="216" w:lineRule="exact"/>
              <w:rPr>
                <w:sz w:val="20"/>
                <w:szCs w:val="20"/>
                <w:color w:val="auto"/>
              </w:rPr>
            </w:pPr>
            <w:r>
              <w:rPr>
                <w:rFonts w:ascii="Arial" w:cs="Arial" w:eastAsia="Arial" w:hAnsi="Arial"/>
                <w:sz w:val="17"/>
                <w:szCs w:val="17"/>
                <w:color w:val="auto"/>
              </w:rPr>
              <w:t>Alan Ramsay</w:t>
            </w:r>
            <w:r>
              <w:rPr>
                <w:rFonts w:ascii="Arial" w:cs="Arial" w:eastAsia="Arial" w:hAnsi="Arial"/>
                <w:sz w:val="25"/>
                <w:szCs w:val="25"/>
                <w:color w:val="auto"/>
                <w:vertAlign w:val="superscript"/>
              </w:rPr>
              <w:t>(4)</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65,101</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39,270</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25,831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Named Selling Stockholders</w:t>
            </w:r>
            <w:r>
              <w:rPr>
                <w:rFonts w:ascii="Arial" w:cs="Arial" w:eastAsia="Arial" w:hAnsi="Arial"/>
                <w:sz w:val="25"/>
                <w:szCs w:val="25"/>
                <w:color w:val="auto"/>
                <w:vertAlign w:val="superscript"/>
              </w:rPr>
              <w:t>(5)</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8,240,466</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136,305</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8,104,161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53"/>
        </w:trPr>
        <w:tc>
          <w:tcPr>
            <w:tcW w:w="5580" w:type="dxa"/>
            <w:vAlign w:val="bottom"/>
            <w:gridSpan w:val="2"/>
          </w:tcPr>
          <w:p>
            <w:pPr>
              <w:spacing w:after="0"/>
              <w:rPr>
                <w:sz w:val="20"/>
                <w:szCs w:val="20"/>
                <w:color w:val="auto"/>
              </w:rPr>
            </w:pPr>
            <w:r>
              <w:rPr>
                <w:rFonts w:ascii="Arial" w:cs="Arial" w:eastAsia="Arial" w:hAnsi="Arial"/>
                <w:sz w:val="18"/>
                <w:szCs w:val="18"/>
                <w:color w:val="auto"/>
              </w:rPr>
              <w:t>Other Selling Stockholders</w:t>
            </w:r>
            <w:r>
              <w:rPr>
                <w:rFonts w:ascii="Arial" w:cs="Arial" w:eastAsia="Arial" w:hAnsi="Arial"/>
                <w:sz w:val="26"/>
                <w:szCs w:val="26"/>
                <w:color w:val="auto"/>
                <w:vertAlign w:val="superscript"/>
              </w:rPr>
              <w:t>(6)</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176,266</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12,790</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163,476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beneficial ownership of less than 1%.</w:t>
      </w:r>
    </w:p>
    <w:p>
      <w:pPr>
        <w:spacing w:after="0" w:line="21" w:lineRule="exact"/>
        <w:rPr>
          <w:sz w:val="20"/>
          <w:szCs w:val="20"/>
          <w:color w:val="auto"/>
        </w:rPr>
      </w:pPr>
    </w:p>
    <w:p>
      <w:pPr>
        <w:ind w:left="540" w:right="200" w:hanging="424"/>
        <w:spacing w:after="0" w:line="264"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Assumes that all of the Shares held by each Selling Stockholder and being offered under this prospectus are sold, and that no Selling Stockholder will acquire additional shares of any class of common stock before the completion of this offering. The Selling Stockholders may sell any, all, or none of the Shares, and we do not know when or in what amount the Selling Stockholders may sell their Shares hereunder.</w:t>
      </w:r>
    </w:p>
    <w:p>
      <w:pPr>
        <w:ind w:left="540" w:hanging="424"/>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purposes of calculating this percentage, includes the aggregate number of shares of common stock held by the holders.</w:t>
      </w:r>
    </w:p>
    <w:p>
      <w:pPr>
        <w:spacing w:after="0" w:line="7" w:lineRule="exact"/>
        <w:rPr>
          <w:rFonts w:ascii="Arial" w:cs="Arial" w:eastAsia="Arial" w:hAnsi="Arial"/>
          <w:sz w:val="17"/>
          <w:szCs w:val="17"/>
          <w:color w:val="auto"/>
        </w:rPr>
      </w:pPr>
    </w:p>
    <w:p>
      <w:pPr>
        <w:jc w:val="both"/>
        <w:ind w:left="540" w:right="20" w:hanging="424"/>
        <w:spacing w:after="0" w:line="24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(i) 56,065 shares of our common stock held by Mr. Fong, (ii) 271,035 shares of our common stock subject to stock options that are exercisable within 60 days of July 31, 2023, and (iii) 83,581 shares of our common stock issuable pursuant to RSUs for which the service-based vesting condition will be satisfied within 60 days of July 31, 2023.</w:t>
      </w:r>
    </w:p>
    <w:p>
      <w:pPr>
        <w:spacing w:after="0" w:line="1" w:lineRule="exact"/>
        <w:rPr>
          <w:rFonts w:ascii="Arial" w:cs="Arial" w:eastAsia="Arial" w:hAnsi="Arial"/>
          <w:sz w:val="17"/>
          <w:szCs w:val="17"/>
          <w:color w:val="auto"/>
        </w:rPr>
      </w:pPr>
    </w:p>
    <w:p>
      <w:pPr>
        <w:ind w:left="540" w:right="500" w:hanging="424"/>
        <w:spacing w:after="0" w:line="24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shares of our common stock issuable pursuant to RSUs for which the service-based vesting condition will be satisfied within 60 days of July 31, 2023.</w:t>
      </w:r>
    </w:p>
    <w:p>
      <w:pPr>
        <w:spacing w:after="0" w:line="1" w:lineRule="exact"/>
        <w:rPr>
          <w:rFonts w:ascii="Arial" w:cs="Arial" w:eastAsia="Arial" w:hAnsi="Arial"/>
          <w:sz w:val="17"/>
          <w:szCs w:val="17"/>
          <w:color w:val="auto"/>
        </w:rPr>
      </w:pPr>
    </w:p>
    <w:p>
      <w:pPr>
        <w:ind w:left="540" w:hanging="424"/>
        <w:spacing w:after="0" w:line="282"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Includes the following 540 named non-affiliate persons, each of whom holds at least 1,000 shares of our common stock: Aaron Chou, Aaron Levitan, Aaron Soo-Hoo, Abhinav Kharbanda, Abhishek Jain, Abhishek Mulay, Adam Cote, Adam Liem, Aditi Bhargava, Aditya Parakh, Aditya Subramanian, Adrian McInnes, Akshay Nair, Alberic Fort, Aleen Sossikian, Alexander Charlton, Alexey Rastaturin, Alijah Burton, Alison Miller, Allan Stewart, Allie Churney, Allison Guiney, Amanda Allt-Graham, Amanda Campos, Amanda Cohen, Ami Huggett, Amirali Darvishzadeh, Amod Mital, Amritansh Tripathi, Amy Shu, Amy Yung, Anahita Tafvizi, Andrea Metcalfe, Andrew Borg, Andrew Chen, Andrew Dagg, Andrew Nodes, Andrew ODore, Angela Ko, Aniket Zodpey, Ankush Saxena, Anna Johns, Annie Beharry, Anthony Ho Joon Yu, Anthony Super, Arielle Sheridan, Arjun Varma, Arnaud Ferreri, Arpit Shah, Arun Balakrishnan, Ashish Sinha, Ayush Kaul, Beatrice Abiero, Ben Lowenstein, Ben Wylie, Benjamin Knight, Bhavya Gulati, Bin Liu, Blake Polidore, Bonnie Staff, Bradley Dixon, Bradley Heinz, Bradley Libuit, Brandais Samora, Brandon Coakley, Breah Windus, Brendan Ashby, Breton Simmons-Krafft, Brian Button, Brian Gallucci, Brian Gillis, Brian Mahlstedt, Brian Repp, Bruce Gan, Bryan Rusk, Bryan Walker, Caitlin Kavoosifar, Caleb Grisell, Calvin Fiendell, Cameron Lee, Cameron Taylor, Camille van Horne, Caroline Hendrix, Casey Aden-Wansbury, Catherine Moore, Chad Kunselman, Chang Hyune Lee, Chang Liu, Charan Mahesan, Charlotte Healow, Chatelaine Cheung, Chelsea Yaw, Chetan Solur, Chih Hsien Wu, Chris Rogers, Chris Segura, Christen Badenhop, Christina Hall, Christina Loo, Christopher Benjamin, Christopher Cope, Christopher Jones, Christopher Nolan, Christopher Ogbah, Christopher Rudnick, Christopher Simmons, Christopher Tom, Christopher Whitsett, Christopher Wong, Christy Wallace, Chun-Che Wang, Chung Peng Huang, Clement Jordan, Connie Daley, Connor Hutchinson, Corlyn Gomez, Craig Krause, Dain LaFrance, Dan Shilov, Dani Dayan, Dani Dudeck, Daniel Acuna, Daniel Danker, Daniel Furtado, Danielle Ritter, Danna Weintraub, Daron Fowlks, Darren Johnson, Darryl Koh, Dave White, David DeRobbio, David Healy, David Hsu, David Ladowitz, David McIntosh, David Zhang, Dayle Lyng, Deirdre Magrane, Dennis Deng, Derek Knerr, Devlina Das, Diana Lee, Diego Betelu, Djordje Gluhovic, Dmytro Solomadin, Dongqing Yu, Donn Burdick, Donna Nall, Doug Watt, Douglas Hyde, Dov Schnaider, Edison Lin, Edmund Coleman, Elizabeth Bleser, Elizabeth Reichert, Elizabeth Tomori, Elliott Joo, Emiko Someya, Emily Geller, Emily Peek, Eniola Lasisi, Eric Bouris, Eric Chee, Erica Slayton, Erik Wolfe, Erika Honerkamp, Esther Vasiete Allas, Eunice Tsui, Eva Sippola, Fabien Mouvet, Fnu Quratulain, Francois Blavoet, Francois Campbell, Franziska Baral, Gabe De Oliveira, Gaow Suwannukul, Gowri Rajeev, Graham Adeson, Graham Edward, Grant Johnson, Greg Damiani, Gregory Lyons, Guanghua Shu, Hagen Green, Haixun Wang, Han Li, Hang Li, Hao Zheng, Hao Zhou, Harshil Chahal, Heather Kirchner, Heather Rivera, Hin-Seng Pang, Huan Ma, Hunter Muir, Hyun Jee Son, Ian Lu, Illia Shatravka, Isadora Tran, Jaclyn Tandler, Jacob Blau, Jacqueline Bakes, Jacqueline Green, Jake Stamell, Jake Weinreb, James Chalmers, James Huang, James Matthews, James Tsai, Jamie Baron, Jamison Hyman, Janette Heininger, Jason Kemp, Jatin Behl, Jenna Defabio, Jennifer OShaughnessy, Jennifer Sinha, Jennifer Yin, Jeong Woo, Jessamine Johnson, Jessica Roey, Jessica Schteiden, Jessica Westermeier, Jessica Wren, Jhonny Barrios, Jia Wen Dong, Jian Kun Song, Jian Li, Jian Wang, Jiaqi Yu, Jin Tang, Jin Zhang, Joanna Church, Jodi Montoya, Joe Feghali, John Adams, John Meagher, Jonathan Gu, Jordan Barr, Jorge Ospina, Joseph Gesick, Joseph Ohara, Joseph Olivier, Joseph Rustad, Josh Rider, Joshua Beckwith, Joyce Larkins, Juan Mantica, Justin Miller, Justin Monsewicz, Justin Park, Justin Poole, Justine Mar, Kae Saeteurn, Kaitlyn Matta, Karen Johnson, Karen Lowe, Karthik Ravishankar, Kate Marsella, Kathleen Boughton, Kathryn Wesely, Kathryn Zyskowski, Keanson Ye, Keith Kirk, Keith Lazuka, Kelly Bastyr, Kelly Ko, Kelly Pakula, Kelsey Mauchley, Kelsey McCoy, Kenda DiGloria, Kenneth Krupa, Kenneth Kwok, Kesava Indla, Kevin Aiken, Kevin Green, Kevin Lei, Kevin Meng, Kevin Oneil, Kexin Zhu, Khanh Luc, Kim Fritz, Konrad Miziolek, Kristen Forester, Kristin Pugliese, Kyle Lydon, Laith Azer, Laura Jones, Lauren Pelusi, Leah Sofnas, Lesley Schaser, Leticia Molina, Li Tan, Liang Chen, Lin Gao, Lisa Dunlop, Logan Murdock, Logan Turban, Lucas Irvine, Lucy Zhou, Lydia Kung, Lynn Fink, Madelyn Montoya, Maksym Brodin, Manjinder Kaur, Marcelo Wesseler, Marco Montagna, Maria Jackson, Mariam Sawires, Mark Rapanut, Mark Schweikhart, Martin Siewert, Mary Ellen Brown, Mary Somyak, Maryam Ghofraniha, Maryana Rosenberg, Mat Blumenthal, Matteo Giavazzi, Matthew Castle, Matthew Darcy, Matthew Goff, Matthew Olpinski, Matthew Van Liedekerke, Mei Chen, Mei-Mei Or, Mia White, Michael Cowley, Michael Dougal, Michael Lombardi, Michael McLernon, Michael Restiano, Michael Righi, Michael Wittig, Michelle McRae, Mik Kurian, Ming He, Mingzhe Zhuang, Mohammad Abdul-Rahim, Mohammad Ahmed, Mohit Gupta, Monta Shen, Morgan Ohara, Mostafa Abdelraouf, Naga Venkata Kasireddy, Nan Cao, Nancy Burrows, Naomi McGehee, Natasha Kapadia, Nathan Kupp, Nathaniel Bower, Neel Ajjarapu, Nicholas Gajewski, Nicholas Sturm, Nicholas Wargnier, Nicolas Resnik, Nikhil Gupta, Nikita Bali, Nikshep Saravanan, Nishad Prakash, Nurain Alicharan, Oleksandr Snurnikov, Oleksii Stepanian, Oliver Chan, Olivia Quintin-Rodriguez, Orit Shamir, Pak Tao Lee, Parth Bhoiwala, Patrick Balbierz, Patrick Campolo, Paul Guth, Pedro Tanure Veloso, Peng Huang, Peter Kotsopoulos, Peter McCullagh, Philip Lowe, Phuc Vo, Pierce White, Pooja Shrestha, Pranay Laxmipuram, Priyalakshmi Annamalai, Qian Chen, Qiao Jiang, Rachel Tarelin, Radhika Anand, Rajit Kapur, Ramon Duran, Ray Riccio, Raymond Zhuang, Rebecca Grimm, Rebecca Riso, Rebecca Yoshiyama, Rebecca Younis, Reetika Reddy, Rex McConnell, Reza Faturechi, Richard Kremer, Rishab Saraf, Rishikesh Yardi, Robert Border, Robert Boyle, Robert Dunne, Robert Paige, Robin Nakka, Rogelio Magana, Rohan Salantry, Rohan Singh Bondili, Ronnel Reyes Estrada, Rory Shevin, Roxanne Ortega, Ruby Ravi, Rui Feng, Russell Lauletta, Ryan Conway, Ryan Hamburger, Ryan Martin, Sachindra Sharma, Samantha Lavin, Samuel Lederer, Sanchari Roy, Sandhya Talwalker, Sanu Dhillon, Sara Evans, Sara Hammel, Sara Starck, Sarah Benoit, Sarah Huffman, Sarah Johnson, Sarah Mastrorocco, Sarah Monroe, Satish Boggarapu, Saumitra Maheshwari, Scott Newton, Sean Gallagher, Sean Nichols, Sergiy Korytko, Seth Clark, Shaily Kashyap, Shannon Webster, Shaun Maharaj, Shengchen Lin, Shengwen Fang, Shih-Ting Lin, Shihuan Liu, Shivendra Kishor, Shouvik Dutta, Shuai Wang, Siddharth Bhatia, Simon Ditner, Siri Teja Uppalapati, Sivaram Sukumar, Sofia Perez, Sonal Jain, Sonya Stahl,</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560"/>
        <w:spacing w:after="0" w:line="266" w:lineRule="auto"/>
        <w:rPr>
          <w:sz w:val="20"/>
          <w:szCs w:val="20"/>
          <w:color w:val="auto"/>
        </w:rPr>
      </w:pPr>
      <w:r>
        <w:rPr>
          <w:rFonts w:ascii="Arial" w:cs="Arial" w:eastAsia="Arial" w:hAnsi="Arial"/>
          <w:sz w:val="16"/>
          <w:szCs w:val="16"/>
          <w:color w:val="auto"/>
        </w:rPr>
        <w:t>Soren Zeliger, Spencer Schack, Srinivasa Shashank Nuthakki, Stephanie Ho, Stephanie Housmans, Stephen Munday, Steve Chariyasatit, Steven Deepee, Steven Gerdes, Susie Thompson, Suzanne Skop, Syed Wasi Rizvi, Taylor Erin, Taylor Oliva, Tejas Bisen, Teodor Lefter, Terry Lung, Theodoros Kokkinias, Thi Pham, Thien Phan, Thomas Bligh, Thomas Boyd, Thomas Joyce, Thomas Kim, Thomas Maguire, Thomas McNeil, Tiffany Llano, Tiffany Martin, Timothy Allen, Toban Wiebe, Toni Toth, Trang Ho, Travis Bashir, Trevor Holliday, Tristen Zimmerman, Tyler Monteferrante, Tyler Young, Uladzimir Bahatyrevich, Ulices Zuniga Reyes, Usman Gul, Vadim Zilberleyb, Vanny Wu, Varouj Chitilian, Veronica Yu, Victor Doss, Victor Siavichay, Victoria Pollard, Victoria Spiegel, Vijay Kumar Manchuri, Vincent Tu, Walter Tuholski, Wei Gao, Weiyue Li, Wendi Zeng, Wideet Shende, William Halbach, William Mangum, Xiang Li, Xiangdong Liang, Xiaochen Wang, Xiaofan Xu, Xin Shen Yong, Yao Zhou, Yazen Alani, Yen-chieh Huang, Yichen Fan, Yifan Xu, Yile Liu, Yimei Chen, Yiming Xu, Yinghan Fu, Yiwen Luo, Young Choi, Yuchen Wu, Yuean Gong, Yueyao Zhu, Yueyi Sun, Yunfei Wang, Zachary Melin, Zachary Wu, Zain Kabani, Zhen Liu, Zhiyi Fan, Ziyun Li, Zoheb Hajiyani, Zongkun Liu, and Zuhair Ansari.</w:t>
      </w:r>
    </w:p>
    <w:p>
      <w:pPr>
        <w:spacing w:after="0" w:line="1" w:lineRule="exact"/>
        <w:rPr>
          <w:sz w:val="20"/>
          <w:szCs w:val="20"/>
          <w:color w:val="auto"/>
        </w:rPr>
      </w:pPr>
    </w:p>
    <w:p>
      <w:pPr>
        <w:ind w:left="540" w:right="260" w:hanging="424"/>
        <w:spacing w:after="0" w:line="257"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473 unnamed non-affiliate persons, each of whom holds less than 1,000 shares of our common stock. Each of these persons beneficially owns less than 1% of our common stock.</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offered by this prospectus may be sold from time to time to purchasers:</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directly by the Selling Stockholders, or</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Stockholders or the purchasers of the Shares.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“Exchange Act”). We will make copies of this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Shares may be sold in one or more transactions at:</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sales may be effected in one or more transactions: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any national securities exchange or quotation service on which the Shares may be listed or quoted at the time of sale, including Nasdaq;</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These transactions may include block transactions or crosses. Crosses are transactions in which the same broker acts as an agent on both sides of the trade.</w:t>
      </w:r>
    </w:p>
    <w:p>
      <w:pPr>
        <w:spacing w:after="0" w:line="170"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At the time a particular offering of the Shares is made, a prospectus supplement, if required, will be distributed, which will set forth the name of the Selling Stockholders, the aggregate amount of Shares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5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ectPr>
          <w:pgSz w:w="11900" w:h="16838" w:orient="portrait"/>
          <w:cols w:equalWidth="0" w:num="1">
            <w:col w:w="11100"/>
          </w:cols>
          <w:pgMar w:left="320" w:top="459" w:right="479" w:bottom="1440" w:gutter="0" w:footer="0" w:header="0"/>
        </w:sectPr>
      </w:pP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00"/>
          </w:cols>
          <w:pgMar w:left="320" w:top="459"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Selling Stockholders may indemnify any broker or underwriter that participates in transactions involving the sale of the Shares against certain liabilities, including liabilities arising under the Securities Act.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validity of the Shares being offered by this prospectus will be passed upon for us by Cooley LLP, Palo Alto, California.</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financial statements as of December 31, 2021 and 2022 and for each of the three years in the period ended December 31, 2022 incorporated by reference in this prospectus have been so incorporated in reliance on the report of PricewaterhouseCoopers LLP, an independent registered public accounting firm, given on the authority of said firm as experts in auditing and accounting.</w:t>
      </w:r>
    </w:p>
    <w:p>
      <w:pPr>
        <w:spacing w:after="0" w:line="180" w:lineRule="exact"/>
        <w:rPr>
          <w:sz w:val="20"/>
          <w:szCs w:val="20"/>
          <w:color w:val="auto"/>
        </w:rPr>
      </w:pPr>
    </w:p>
    <w:p>
      <w:pPr>
        <w:jc w:val="right"/>
        <w:ind w:left="560" w:right="3280"/>
        <w:spacing w:after="0" w:line="385" w:lineRule="auto"/>
        <w:rPr>
          <w:sz w:val="20"/>
          <w:szCs w:val="20"/>
          <w:color w:val="auto"/>
        </w:rPr>
      </w:pPr>
      <w:r>
        <w:rPr>
          <w:rFonts w:ascii="Arial" w:cs="Arial" w:eastAsia="Arial" w:hAnsi="Arial"/>
          <w:sz w:val="18"/>
          <w:szCs w:val="18"/>
          <w:b w:val="1"/>
          <w:bCs w:val="1"/>
          <w:color w:val="auto"/>
        </w:rPr>
        <w:t xml:space="preserve">INFORMATION INCORPORATED BY REFERENCE </w:t>
      </w:r>
      <w:r>
        <w:rPr>
          <w:rFonts w:ascii="Arial" w:cs="Arial" w:eastAsia="Arial" w:hAnsi="Arial"/>
          <w:sz w:val="18"/>
          <w:szCs w:val="18"/>
          <w:color w:val="auto"/>
        </w:rPr>
        <w:t>The following documents filed with the SEC are hereby incorporated by reference in this prospectus:</w:t>
      </w:r>
    </w:p>
    <w:p>
      <w:pPr>
        <w:spacing w:after="0" w:line="1" w:lineRule="exact"/>
        <w:rPr>
          <w:sz w:val="20"/>
          <w:szCs w:val="20"/>
          <w:color w:val="auto"/>
        </w:rPr>
      </w:pPr>
    </w:p>
    <w:p>
      <w:pPr>
        <w:ind w:left="1080" w:right="1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Amendment No. 2 to the Registrant’s Registration Statement on </w:t>
      </w:r>
      <w:hyperlink r:id="rId29">
        <w:r>
          <w:rPr>
            <w:rFonts w:ascii="Arial" w:cs="Arial" w:eastAsia="Arial" w:hAnsi="Arial"/>
            <w:sz w:val="16"/>
            <w:szCs w:val="16"/>
            <w:u w:val="single" w:color="auto"/>
            <w:color w:val="0000EE"/>
          </w:rPr>
          <w:t>Form S-1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SEC on September 15, 2023 (File No. 333-274213), which contains the Registrant’s audited financial statements for the latest fiscal year for which such statements have been filed;</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Prospectus to be filed with the SEC on or about September 19, 2023 pursuant to Rule 424(b) under the Securities Act, relating to the Registration Statement on Form S-1, as amended (File No. 333-274213); and</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which is contained in a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September 14, 2023 (File No. 001-41805) under the Exchange Act, including any amendment or report filed for the purpose of updating such description.</w:t>
      </w:r>
    </w:p>
    <w:p>
      <w:pPr>
        <w:spacing w:after="0" w:line="184" w:lineRule="exact"/>
        <w:rPr>
          <w:rFonts w:ascii="Arial" w:cs="Arial" w:eastAsia="Arial" w:hAnsi="Arial"/>
          <w:sz w:val="16"/>
          <w:szCs w:val="16"/>
          <w:color w:val="auto"/>
        </w:rPr>
      </w:pPr>
    </w:p>
    <w:p>
      <w:pPr>
        <w:jc w:val="both"/>
        <w:ind w:left="120" w:right="40" w:firstLine="440"/>
        <w:spacing w:after="0" w:line="296" w:lineRule="auto"/>
        <w:rPr>
          <w:sz w:val="20"/>
          <w:szCs w:val="20"/>
          <w:color w:val="auto"/>
        </w:rPr>
      </w:pPr>
      <w:r>
        <w:rPr>
          <w:rFonts w:ascii="Arial" w:cs="Arial" w:eastAsia="Arial" w:hAnsi="Arial"/>
          <w:sz w:val="16"/>
          <w:szCs w:val="16"/>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w:t>
      </w:r>
    </w:p>
    <w:p>
      <w:pPr>
        <w:spacing w:after="0" w:line="161" w:lineRule="exact"/>
        <w:rPr>
          <w:rFonts w:ascii="Arial" w:cs="Arial" w:eastAsia="Arial" w:hAnsi="Arial"/>
          <w:sz w:val="16"/>
          <w:szCs w:val="16"/>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rFonts w:ascii="Arial" w:cs="Arial" w:eastAsia="Arial" w:hAnsi="Arial"/>
          <w:sz w:val="16"/>
          <w:szCs w:val="16"/>
          <w:color w:val="auto"/>
        </w:rPr>
      </w:pPr>
    </w:p>
    <w:p>
      <w:pPr>
        <w:ind w:left="120" w:firstLine="440"/>
        <w:spacing w:after="0" w:line="255"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investors.instacart.com. These filings will be available as soon as reasonably practicable after we electronically file such material with, or furnish it to, the SEC. Information contained on our website is not part of this prospectus.</w:t>
      </w:r>
    </w:p>
    <w:p>
      <w:pPr>
        <w:spacing w:after="0" w:line="192" w:lineRule="exact"/>
        <w:rPr>
          <w:rFonts w:ascii="Arial" w:cs="Arial" w:eastAsia="Arial" w:hAnsi="Arial"/>
          <w:sz w:val="16"/>
          <w:szCs w:val="16"/>
          <w:color w:val="auto"/>
        </w:rPr>
      </w:pPr>
    </w:p>
    <w:p>
      <w:pPr>
        <w:ind w:left="120" w:firstLine="440"/>
        <w:spacing w:after="0" w:line="257" w:lineRule="auto"/>
        <w:rPr>
          <w:sz w:val="20"/>
          <w:szCs w:val="20"/>
          <w:color w:val="auto"/>
        </w:rPr>
      </w:pPr>
      <w:r>
        <w:rPr>
          <w:rFonts w:ascii="Arial" w:cs="Arial" w:eastAsia="Arial" w:hAnsi="Arial"/>
          <w:sz w:val="18"/>
          <w:szCs w:val="18"/>
          <w:color w:val="auto"/>
        </w:rPr>
        <w:t>The Registrant hereby undertakes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Maplebear Inc., Attention: Secretary, 50 Beale Street, Suite 600, San Francisco, California 94105, (888) 246-7822.</w:t>
      </w:r>
    </w:p>
    <w:p>
      <w:pPr>
        <w:spacing w:after="0" w:line="120"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information called for by Part I of Form S-8 is omitted from this Registration Statement in accordance with Rule 428 under the Securities Act and the “Note” to Part I of Form S-8.</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080"/>
          </w:cols>
          <w:pgMar w:left="320" w:top="459"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filed by the Registrant with the SEC are incorporated by reference into this Registration Statement:</w:t>
      </w:r>
    </w:p>
    <w:p>
      <w:pPr>
        <w:spacing w:after="0" w:line="225" w:lineRule="exact"/>
        <w:rPr>
          <w:sz w:val="20"/>
          <w:szCs w:val="20"/>
          <w:color w:val="auto"/>
        </w:rPr>
      </w:pPr>
    </w:p>
    <w:p>
      <w:pPr>
        <w:ind w:left="120" w:right="120" w:firstLine="436"/>
        <w:spacing w:after="0" w:line="308" w:lineRule="auto"/>
        <w:tabs>
          <w:tab w:leader="none" w:pos="8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Amendment No. 2 to the Registrant’s Registration Statement on </w:t>
      </w:r>
      <w:hyperlink r:id="rId29">
        <w:r>
          <w:rPr>
            <w:rFonts w:ascii="Arial" w:cs="Arial" w:eastAsia="Arial" w:hAnsi="Arial"/>
            <w:sz w:val="17"/>
            <w:szCs w:val="17"/>
            <w:u w:val="single" w:color="auto"/>
            <w:color w:val="0000EE"/>
          </w:rPr>
          <w:t>Form S-1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September 15, 2023 (File No. 333-274213), which contains the audited financial statements for the Registrant’s latest fiscal year for which such statements have been filed.</w:t>
      </w:r>
    </w:p>
    <w:p>
      <w:pPr>
        <w:spacing w:after="0" w:line="146" w:lineRule="exact"/>
        <w:rPr>
          <w:rFonts w:ascii="Arial" w:cs="Arial" w:eastAsia="Arial" w:hAnsi="Arial"/>
          <w:sz w:val="17"/>
          <w:szCs w:val="17"/>
          <w:color w:val="auto"/>
        </w:rPr>
      </w:pPr>
    </w:p>
    <w:p>
      <w:pPr>
        <w:ind w:left="120" w:firstLine="436"/>
        <w:spacing w:after="0" w:line="277" w:lineRule="auto"/>
        <w:tabs>
          <w:tab w:leader="none" w:pos="82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Registrant’s Prospectus to be filed with the Commission on or about September 19, 2023 pursuant to Rule 424(b) under the Securities Act, relating to the Registration Statement on Form S-1, as amended (File No. 333-274213).</w:t>
      </w:r>
    </w:p>
    <w:p>
      <w:pPr>
        <w:spacing w:after="0" w:line="170" w:lineRule="exact"/>
        <w:rPr>
          <w:rFonts w:ascii="Arial" w:cs="Arial" w:eastAsia="Arial" w:hAnsi="Arial"/>
          <w:sz w:val="18"/>
          <w:szCs w:val="18"/>
          <w:b w:val="1"/>
          <w:bCs w:val="1"/>
          <w:color w:val="auto"/>
        </w:rPr>
      </w:pPr>
    </w:p>
    <w:p>
      <w:pPr>
        <w:ind w:left="120" w:right="20" w:firstLine="436"/>
        <w:spacing w:after="0" w:line="263" w:lineRule="auto"/>
        <w:tabs>
          <w:tab w:leader="none" w:pos="8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which is contained in the Registrant’s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Commission on September 14, 2023 (File No. 001-41805) under the Exchange Act, including any amendment or report filed for the purpose of updating such description.</w:t>
      </w:r>
    </w:p>
    <w:p>
      <w:pPr>
        <w:spacing w:after="0" w:line="183" w:lineRule="exact"/>
        <w:rPr>
          <w:rFonts w:ascii="Arial" w:cs="Arial" w:eastAsia="Arial" w:hAnsi="Arial"/>
          <w:sz w:val="18"/>
          <w:szCs w:val="18"/>
          <w:color w:val="auto"/>
        </w:rPr>
      </w:pPr>
    </w:p>
    <w:p>
      <w:pPr>
        <w:ind w:left="120" w:right="20" w:firstLine="436"/>
        <w:spacing w:after="0" w:line="270" w:lineRule="auto"/>
        <w:tabs>
          <w:tab w:leader="none" w:pos="825"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rFonts w:ascii="Arial" w:cs="Arial" w:eastAsia="Arial" w:hAnsi="Arial"/>
          <w:sz w:val="17"/>
          <w:szCs w:val="17"/>
          <w:b w:val="1"/>
          <w:bCs w:val="1"/>
          <w:color w:val="auto"/>
        </w:rPr>
      </w:pPr>
    </w:p>
    <w:p>
      <w:pPr>
        <w:ind w:left="120"/>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7"/>
          <w:szCs w:val="17"/>
          <w:b w:val="1"/>
          <w:bCs w:val="1"/>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7"/>
          <w:szCs w:val="17"/>
          <w:b w:val="1"/>
          <w:bCs w:val="1"/>
          <w:color w:val="auto"/>
        </w:rPr>
      </w:pPr>
    </w:p>
    <w:p>
      <w:pPr>
        <w:ind w:left="120"/>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7"/>
          <w:szCs w:val="17"/>
          <w:b w:val="1"/>
          <w:bCs w:val="1"/>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7"/>
          <w:szCs w:val="17"/>
          <w:b w:val="1"/>
          <w:bCs w:val="1"/>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7"/>
          <w:szCs w:val="17"/>
          <w:b w:val="1"/>
          <w:bCs w:val="1"/>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that will be in effect immediately prior to the closing of the initial public offering permits indemnification of its directors, officers, employees, and other agents to the maximum extent permitted by the Delaware General Corporation Law, and the Registrant’s amended and restated bylaws that will be in effect immediately prior to the closing of the initial public offering provide that the Registrant will indemnify its directors and officers and permit the Registrant to indemnify its employees and other agents, in each case to the maximum extent permitted by the Delaware General Corporation Law.</w:t>
      </w:r>
    </w:p>
    <w:p>
      <w:pPr>
        <w:spacing w:after="0" w:line="166" w:lineRule="exact"/>
        <w:rPr>
          <w:rFonts w:ascii="Arial" w:cs="Arial" w:eastAsia="Arial" w:hAnsi="Arial"/>
          <w:sz w:val="17"/>
          <w:szCs w:val="17"/>
          <w:b w:val="1"/>
          <w:bCs w:val="1"/>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Registrant has entered into indemnification agreements with its directors and officers, whereby it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w:t>
      </w:r>
    </w:p>
    <w:p>
      <w:pPr>
        <w:spacing w:after="0" w:line="120" w:lineRule="exact"/>
        <w:rPr>
          <w:rFonts w:ascii="Arial" w:cs="Arial" w:eastAsia="Arial" w:hAnsi="Arial"/>
          <w:sz w:val="17"/>
          <w:szCs w:val="17"/>
          <w:b w:val="1"/>
          <w:bCs w:val="1"/>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indemnification provisions in the Registrant’s amended and restated certificate of incorporation, amended and restated bylaws, and the indemnification agreements that it has entered into or will enter into with its directors and officers may discourage stockholders from bringing a lawsuit against its directors and officers for breach of their fiduciary duties. They may also reduce the likelihood of derivative litigation against the Registrant’s directors and officers, even though an action, if successful, might benefit it and other stockholders. Further, a stockholder’s investment may be adversely affected to the extent that the Registrant pays the costs of settlement and damage awards against directors and officers as required by these indemnification provisions.</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Registrant maintains insurance policies that indemnify its directors and officers against various liabilities arising under the Securities Act and the Exchange Act that might be incurred by any director or officer in his or her capacity as such.</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issuance of the Shares that constitute “restricted securities” under Rule 144 promulgated under the Securities Act being offered by the Form S-3 resale prospectus were deemed to be exempt from registration under the Securities Act in reliance upon Section 4(a)(2) of the Securities Act (or Regulation D or Regulation S promulgated thereunder), or Rule 701 promulgated under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0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8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3"/>
              </w:rPr>
              <w:t>Schedule</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 Number</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0"/>
                <w:szCs w:val="10"/>
                <w:color w:val="auto"/>
              </w:rPr>
            </w:pPr>
          </w:p>
        </w:tc>
        <w:tc>
          <w:tcPr>
            <w:tcW w:w="10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7"/>
              </w:rPr>
              <w:t>Filing Date</w:t>
            </w: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gridSpan w:val="9"/>
            <w:vMerge w:val="continue"/>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Form</w:t>
            </w:r>
          </w:p>
        </w:tc>
        <w:tc>
          <w:tcPr>
            <w:tcW w:w="10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5660" w:type="dxa"/>
            <w:vAlign w:val="bottom"/>
            <w:gridSpan w:val="12"/>
          </w:tcPr>
          <w:p>
            <w:pPr>
              <w:spacing w:after="0"/>
              <w:rPr>
                <w:rFonts w:ascii="Arial" w:cs="Arial" w:eastAsia="Arial" w:hAnsi="Arial"/>
                <w:sz w:val="18"/>
                <w:szCs w:val="18"/>
                <w:color w:val="0000EE"/>
              </w:rPr>
            </w:pPr>
            <w:hyperlink r:id="rId44">
              <w:r>
                <w:rPr>
                  <w:rFonts w:ascii="Arial" w:cs="Arial" w:eastAsia="Arial" w:hAnsi="Arial"/>
                  <w:sz w:val="18"/>
                  <w:szCs w:val="18"/>
                  <w:color w:val="0000EE"/>
                </w:rPr>
                <w:t>Twelfth Amended and Restated Certificate of Incorporation of the</w:t>
              </w:r>
            </w:hyperlink>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August 25,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7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Registrant, as currently in effect.</w:t>
              </w:r>
            </w:hyperlink>
          </w:p>
        </w:tc>
        <w:tc>
          <w:tcPr>
            <w:tcW w:w="920" w:type="dxa"/>
            <w:vAlign w:val="bottom"/>
            <w:gridSpan w:val="5"/>
          </w:tcPr>
          <w:p>
            <w:pPr>
              <w:spacing w:after="0"/>
              <w:rPr>
                <w:sz w:val="17"/>
                <w:szCs w:val="17"/>
                <w:color w:val="auto"/>
              </w:rPr>
            </w:pPr>
          </w:p>
        </w:tc>
        <w:tc>
          <w:tcPr>
            <w:tcW w:w="8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S-1</w:t>
            </w:r>
          </w:p>
        </w:tc>
        <w:tc>
          <w:tcPr>
            <w:tcW w:w="10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274213</w:t>
            </w:r>
          </w:p>
        </w:tc>
        <w:tc>
          <w:tcPr>
            <w:tcW w:w="5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3.1</w:t>
            </w:r>
          </w:p>
        </w:tc>
        <w:tc>
          <w:tcPr>
            <w:tcW w:w="1000" w:type="dxa"/>
            <w:vAlign w:val="bottom"/>
            <w:gridSpan w:val="2"/>
          </w:tcPr>
          <w:p>
            <w:pPr>
              <w:jc w:val="center"/>
              <w:ind w:left="190"/>
              <w:spacing w:after="0" w:line="196" w:lineRule="exact"/>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4780" w:type="dxa"/>
            <w:vAlign w:val="bottom"/>
            <w:tcBorders>
              <w:bottom w:val="single" w:sz="8" w:color="0000EE"/>
            </w:tcBorders>
            <w:gridSpan w:val="8"/>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Form of Amended and Restated Certificate of Incorporation of the</w:t>
              </w:r>
            </w:hyperlink>
          </w:p>
        </w:tc>
        <w:tc>
          <w:tcPr>
            <w:tcW w:w="88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Registrant, to be in effect upon the closing of the Registrant’s initial public</w:t>
              </w:r>
            </w:hyperlink>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333-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auto"/>
                <w:w w:val="86"/>
              </w:rPr>
              <w:t>September 11,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offering.</w:t>
              </w:r>
            </w:hyperlink>
          </w:p>
        </w:tc>
        <w:tc>
          <w:tcPr>
            <w:tcW w:w="5040" w:type="dxa"/>
            <w:vAlign w:val="bottom"/>
            <w:gridSpan w:val="11"/>
          </w:tcPr>
          <w:p>
            <w:pPr>
              <w:spacing w:after="0"/>
              <w:rPr>
                <w:sz w:val="17"/>
                <w:szCs w:val="17"/>
                <w:color w:val="auto"/>
              </w:rPr>
            </w:pPr>
          </w:p>
        </w:tc>
        <w:tc>
          <w:tcPr>
            <w:tcW w:w="8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S-1/A</w:t>
            </w:r>
          </w:p>
        </w:tc>
        <w:tc>
          <w:tcPr>
            <w:tcW w:w="10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274213</w:t>
            </w:r>
          </w:p>
        </w:tc>
        <w:tc>
          <w:tcPr>
            <w:tcW w:w="5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3.3</w:t>
            </w:r>
          </w:p>
        </w:tc>
        <w:tc>
          <w:tcPr>
            <w:tcW w:w="1000" w:type="dxa"/>
            <w:vAlign w:val="bottom"/>
            <w:gridSpan w:val="2"/>
          </w:tcPr>
          <w:p>
            <w:pPr>
              <w:jc w:val="center"/>
              <w:ind w:left="190"/>
              <w:spacing w:after="0" w:line="196" w:lineRule="exact"/>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5660" w:type="dxa"/>
            <w:vAlign w:val="bottom"/>
            <w:gridSpan w:val="12"/>
          </w:tcPr>
          <w:p>
            <w:pPr>
              <w:spacing w:after="0"/>
              <w:rPr>
                <w:rFonts w:ascii="Arial" w:cs="Arial" w:eastAsia="Arial" w:hAnsi="Arial"/>
                <w:sz w:val="18"/>
                <w:szCs w:val="18"/>
                <w:color w:val="0000EE"/>
                <w:w w:val="99"/>
              </w:rPr>
            </w:pPr>
            <w:hyperlink r:id="rId46">
              <w:r>
                <w:rPr>
                  <w:rFonts w:ascii="Arial" w:cs="Arial" w:eastAsia="Arial" w:hAnsi="Arial"/>
                  <w:sz w:val="18"/>
                  <w:szCs w:val="18"/>
                  <w:color w:val="0000EE"/>
                  <w:w w:val="99"/>
                </w:rPr>
                <w:t>Amended and Restated Bylaws of the Registrant, as currently in effect.</w:t>
              </w:r>
            </w:hyperlink>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August 25,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17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274213</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5660" w:type="dxa"/>
            <w:vAlign w:val="bottom"/>
            <w:gridSpan w:val="12"/>
          </w:tcPr>
          <w:p>
            <w:pPr>
              <w:spacing w:after="0"/>
              <w:rPr>
                <w:rFonts w:ascii="Arial" w:cs="Arial" w:eastAsia="Arial" w:hAnsi="Arial"/>
                <w:sz w:val="18"/>
                <w:szCs w:val="18"/>
                <w:color w:val="0000EE"/>
                <w:w w:val="98"/>
              </w:rPr>
            </w:pPr>
            <w:hyperlink r:id="rId47">
              <w:r>
                <w:rPr>
                  <w:rFonts w:ascii="Arial" w:cs="Arial" w:eastAsia="Arial" w:hAnsi="Arial"/>
                  <w:sz w:val="18"/>
                  <w:szCs w:val="18"/>
                  <w:color w:val="0000EE"/>
                  <w:w w:val="98"/>
                </w:rPr>
                <w:t>Form of Amended and Restated Bylaws of the Registrant, to be in effect</w:t>
              </w:r>
            </w:hyperlink>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8"/>
                <w:szCs w:val="18"/>
                <w:color w:val="auto"/>
                <w:w w:val="86"/>
              </w:rPr>
              <w:t>September 11,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upon the closing of the Registrant’s initial public offering.</w:t>
              </w:r>
            </w:hyperlink>
          </w:p>
        </w:tc>
        <w:tc>
          <w:tcPr>
            <w:tcW w:w="1020" w:type="dxa"/>
            <w:vAlign w:val="bottom"/>
            <w:tcBorders>
              <w:top w:val="single" w:sz="8" w:color="0000EE"/>
            </w:tcBorders>
            <w:gridSpan w:val="4"/>
          </w:tcPr>
          <w:p>
            <w:pPr>
              <w:spacing w:after="0"/>
              <w:rPr>
                <w:sz w:val="17"/>
                <w:szCs w:val="17"/>
                <w:color w:val="auto"/>
              </w:rPr>
            </w:pPr>
          </w:p>
        </w:tc>
        <w:tc>
          <w:tcPr>
            <w:tcW w:w="460" w:type="dxa"/>
            <w:vAlign w:val="bottom"/>
            <w:gridSpan w:val="2"/>
          </w:tcPr>
          <w:p>
            <w:pPr>
              <w:spacing w:after="0"/>
              <w:rPr>
                <w:sz w:val="17"/>
                <w:szCs w:val="17"/>
                <w:color w:val="auto"/>
              </w:rPr>
            </w:pPr>
          </w:p>
        </w:tc>
        <w:tc>
          <w:tcPr>
            <w:tcW w:w="8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S-1/A</w:t>
            </w:r>
          </w:p>
        </w:tc>
        <w:tc>
          <w:tcPr>
            <w:tcW w:w="10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274213</w:t>
            </w:r>
          </w:p>
        </w:tc>
        <w:tc>
          <w:tcPr>
            <w:tcW w:w="5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3.4</w:t>
            </w:r>
          </w:p>
        </w:tc>
        <w:tc>
          <w:tcPr>
            <w:tcW w:w="1000" w:type="dxa"/>
            <w:vAlign w:val="bottom"/>
            <w:gridSpan w:val="2"/>
          </w:tcPr>
          <w:p>
            <w:pPr>
              <w:jc w:val="center"/>
              <w:ind w:left="190"/>
              <w:spacing w:after="0" w:line="196" w:lineRule="exact"/>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5660" w:type="dxa"/>
            <w:vAlign w:val="bottom"/>
            <w:gridSpan w:val="12"/>
          </w:tcPr>
          <w:p>
            <w:pPr>
              <w:spacing w:after="0"/>
              <w:rPr>
                <w:rFonts w:ascii="Arial" w:cs="Arial" w:eastAsia="Arial" w:hAnsi="Arial"/>
                <w:sz w:val="18"/>
                <w:szCs w:val="18"/>
                <w:color w:val="0000EE"/>
              </w:rPr>
            </w:pPr>
            <w:hyperlink r:id="rId48">
              <w:r>
                <w:rPr>
                  <w:rFonts w:ascii="Arial" w:cs="Arial" w:eastAsia="Arial" w:hAnsi="Arial"/>
                  <w:sz w:val="18"/>
                  <w:szCs w:val="18"/>
                  <w:color w:val="0000EE"/>
                </w:rPr>
                <w:t>Form of Common Stock Certificate of the Registrant.</w:t>
              </w:r>
            </w:hyperlink>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August 25,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top w:val="single" w:sz="8" w:color="0000EE"/>
            </w:tcBorders>
          </w:tcPr>
          <w:p>
            <w:pPr>
              <w:spacing w:after="0"/>
              <w:rPr>
                <w:sz w:val="20"/>
                <w:szCs w:val="20"/>
                <w:color w:val="auto"/>
              </w:rPr>
            </w:pPr>
          </w:p>
        </w:tc>
        <w:tc>
          <w:tcPr>
            <w:tcW w:w="17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274213</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88"/>
              </w:rPr>
              <w:t>Table of Contents</w:t>
            </w:r>
          </w:p>
        </w:tc>
        <w:tc>
          <w:tcPr>
            <w:tcW w:w="61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93"/>
        </w:trPr>
        <w:tc>
          <w:tcPr>
            <w:tcW w:w="980" w:type="dxa"/>
            <w:vAlign w:val="bottom"/>
          </w:tcPr>
          <w:p>
            <w:pPr>
              <w:ind w:left="120"/>
              <w:spacing w:after="0"/>
              <w:rPr>
                <w:sz w:val="20"/>
                <w:szCs w:val="20"/>
                <w:color w:val="auto"/>
              </w:rPr>
            </w:pPr>
            <w:r>
              <w:rPr>
                <w:rFonts w:ascii="Arial" w:cs="Arial" w:eastAsia="Arial" w:hAnsi="Arial"/>
                <w:sz w:val="18"/>
                <w:szCs w:val="18"/>
                <w:color w:val="auto"/>
              </w:rPr>
              <w:t>5.1</w:t>
            </w:r>
          </w:p>
        </w:tc>
        <w:tc>
          <w:tcPr>
            <w:tcW w:w="1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Opinion of Cooley LLP.</w:t>
            </w:r>
          </w:p>
        </w:tc>
        <w:tc>
          <w:tcPr>
            <w:tcW w:w="480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Arial" w:cs="Arial" w:eastAsia="Arial" w:hAnsi="Arial"/>
                <w:sz w:val="18"/>
                <w:szCs w:val="18"/>
                <w:color w:val="auto"/>
                <w:w w:val="99"/>
              </w:rPr>
              <w:t>X</w:t>
            </w: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23.1</w:t>
            </w:r>
          </w:p>
        </w:tc>
        <w:tc>
          <w:tcPr>
            <w:tcW w:w="3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296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Arial" w:cs="Arial" w:eastAsia="Arial" w:hAnsi="Arial"/>
                <w:sz w:val="18"/>
                <w:szCs w:val="18"/>
                <w:color w:val="auto"/>
                <w:w w:val="99"/>
              </w:rPr>
              <w:t>X</w:t>
            </w: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23.2</w:t>
            </w:r>
          </w:p>
        </w:tc>
        <w:tc>
          <w:tcPr>
            <w:tcW w:w="6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Arial" w:cs="Arial" w:eastAsia="Arial" w:hAnsi="Arial"/>
                <w:sz w:val="18"/>
                <w:szCs w:val="18"/>
                <w:color w:val="auto"/>
                <w:w w:val="99"/>
              </w:rPr>
              <w:t>X</w:t>
            </w: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24.1</w:t>
            </w:r>
          </w:p>
        </w:tc>
        <w:tc>
          <w:tcPr>
            <w:tcW w:w="49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Power of Attorney (included on the signature page of this Form S-8).</w:t>
            </w:r>
          </w:p>
        </w:tc>
        <w:tc>
          <w:tcPr>
            <w:tcW w:w="156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Arial" w:cs="Arial" w:eastAsia="Arial" w:hAnsi="Arial"/>
                <w:sz w:val="18"/>
                <w:szCs w:val="18"/>
                <w:color w:val="auto"/>
                <w:w w:val="99"/>
              </w:rPr>
              <w:t>X</w:t>
            </w: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99.1</w:t>
            </w:r>
          </w:p>
        </w:tc>
        <w:tc>
          <w:tcPr>
            <w:tcW w:w="6540" w:type="dxa"/>
            <w:vAlign w:val="bottom"/>
            <w:gridSpan w:val="9"/>
          </w:tcPr>
          <w:p>
            <w:pPr>
              <w:spacing w:after="0"/>
              <w:rPr>
                <w:rFonts w:ascii="Arial" w:cs="Arial" w:eastAsia="Arial" w:hAnsi="Arial"/>
                <w:sz w:val="18"/>
                <w:szCs w:val="18"/>
                <w:color w:val="0000EE"/>
                <w:w w:val="99"/>
              </w:rPr>
            </w:pPr>
            <w:hyperlink r:id="rId49">
              <w:r>
                <w:rPr>
                  <w:rFonts w:ascii="Arial" w:cs="Arial" w:eastAsia="Arial" w:hAnsi="Arial"/>
                  <w:sz w:val="18"/>
                  <w:szCs w:val="18"/>
                  <w:color w:val="0000EE"/>
                  <w:w w:val="99"/>
                </w:rPr>
                <w:t>Maplebear Inc. 2013 Equity Incentive Plan, as amended, and forms of agreements</w:t>
              </w:r>
            </w:hyperlink>
          </w:p>
        </w:tc>
        <w:tc>
          <w:tcPr>
            <w:tcW w:w="7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540" w:type="dxa"/>
            <w:vAlign w:val="bottom"/>
          </w:tcPr>
          <w:p>
            <w:pPr>
              <w:spacing w:after="0"/>
              <w:rPr>
                <w:sz w:val="24"/>
                <w:szCs w:val="24"/>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color w:val="auto"/>
                <w:w w:val="86"/>
              </w:rPr>
              <w:t>September 11,</w:t>
            </w:r>
          </w:p>
        </w:tc>
      </w:tr>
      <w:tr>
        <w:trPr>
          <w:trHeight w:val="196"/>
        </w:trPr>
        <w:tc>
          <w:tcPr>
            <w:tcW w:w="980" w:type="dxa"/>
            <w:vAlign w:val="bottom"/>
          </w:tcPr>
          <w:p>
            <w:pPr>
              <w:spacing w:after="0"/>
              <w:rPr>
                <w:sz w:val="17"/>
                <w:szCs w:val="17"/>
                <w:color w:val="auto"/>
              </w:rPr>
            </w:pPr>
          </w:p>
        </w:tc>
        <w:tc>
          <w:tcPr>
            <w:tcW w:w="5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thereunder.</w:t>
              </w:r>
            </w:hyperlink>
          </w:p>
        </w:tc>
        <w:tc>
          <w:tcPr>
            <w:tcW w:w="640" w:type="dxa"/>
            <w:vAlign w:val="bottom"/>
            <w:gridSpan w:val="2"/>
          </w:tcPr>
          <w:p>
            <w:pPr>
              <w:spacing w:after="0"/>
              <w:rPr>
                <w:sz w:val="17"/>
                <w:szCs w:val="17"/>
                <w:color w:val="auto"/>
              </w:rPr>
            </w:pPr>
          </w:p>
        </w:tc>
        <w:tc>
          <w:tcPr>
            <w:tcW w:w="700" w:type="dxa"/>
            <w:vAlign w:val="bottom"/>
          </w:tcPr>
          <w:p>
            <w:pPr>
              <w:ind w:left="120"/>
              <w:spacing w:after="0" w:line="196" w:lineRule="exact"/>
              <w:rPr>
                <w:sz w:val="20"/>
                <w:szCs w:val="20"/>
                <w:color w:val="auto"/>
              </w:rPr>
            </w:pPr>
            <w:r>
              <w:rPr>
                <w:rFonts w:ascii="Arial" w:cs="Arial" w:eastAsia="Arial" w:hAnsi="Arial"/>
                <w:sz w:val="18"/>
                <w:szCs w:val="18"/>
                <w:color w:val="auto"/>
              </w:rPr>
              <w:t>S-1/A</w:t>
            </w:r>
          </w:p>
        </w:tc>
        <w:tc>
          <w:tcPr>
            <w:tcW w:w="8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274213</w:t>
            </w:r>
          </w:p>
        </w:tc>
        <w:tc>
          <w:tcPr>
            <w:tcW w:w="5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10.2</w:t>
            </w:r>
          </w:p>
        </w:tc>
        <w:tc>
          <w:tcPr>
            <w:tcW w:w="150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89"/>
              </w:rPr>
              <w:t>2023</w:t>
            </w: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99.2</w:t>
            </w:r>
          </w:p>
        </w:tc>
        <w:tc>
          <w:tcPr>
            <w:tcW w:w="6540" w:type="dxa"/>
            <w:vAlign w:val="bottom"/>
            <w:gridSpan w:val="9"/>
          </w:tcPr>
          <w:p>
            <w:pPr>
              <w:spacing w:after="0"/>
              <w:rPr>
                <w:rFonts w:ascii="Arial" w:cs="Arial" w:eastAsia="Arial" w:hAnsi="Arial"/>
                <w:sz w:val="18"/>
                <w:szCs w:val="18"/>
                <w:color w:val="0000EE"/>
                <w:w w:val="99"/>
              </w:rPr>
            </w:pPr>
            <w:hyperlink r:id="rId50">
              <w:r>
                <w:rPr>
                  <w:rFonts w:ascii="Arial" w:cs="Arial" w:eastAsia="Arial" w:hAnsi="Arial"/>
                  <w:sz w:val="18"/>
                  <w:szCs w:val="18"/>
                  <w:color w:val="0000EE"/>
                  <w:w w:val="99"/>
                </w:rPr>
                <w:t>Maplebear Inc. 2018 Equity Incentive Plan, as amended, and forms of agreements</w:t>
              </w:r>
            </w:hyperlink>
          </w:p>
        </w:tc>
        <w:tc>
          <w:tcPr>
            <w:tcW w:w="7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540" w:type="dxa"/>
            <w:vAlign w:val="bottom"/>
          </w:tcPr>
          <w:p>
            <w:pPr>
              <w:spacing w:after="0"/>
              <w:rPr>
                <w:sz w:val="24"/>
                <w:szCs w:val="24"/>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color w:val="auto"/>
                <w:w w:val="86"/>
              </w:rPr>
              <w:t>September 11,</w:t>
            </w:r>
          </w:p>
        </w:tc>
      </w:tr>
      <w:tr>
        <w:trPr>
          <w:trHeight w:val="196"/>
        </w:trPr>
        <w:tc>
          <w:tcPr>
            <w:tcW w:w="980" w:type="dxa"/>
            <w:vAlign w:val="bottom"/>
          </w:tcPr>
          <w:p>
            <w:pPr>
              <w:spacing w:after="0"/>
              <w:rPr>
                <w:sz w:val="17"/>
                <w:szCs w:val="17"/>
                <w:color w:val="auto"/>
              </w:rPr>
            </w:pPr>
          </w:p>
        </w:tc>
        <w:tc>
          <w:tcPr>
            <w:tcW w:w="59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thereunder.</w:t>
              </w:r>
            </w:hyperlink>
          </w:p>
        </w:tc>
        <w:tc>
          <w:tcPr>
            <w:tcW w:w="640" w:type="dxa"/>
            <w:vAlign w:val="bottom"/>
            <w:gridSpan w:val="2"/>
          </w:tcPr>
          <w:p>
            <w:pPr>
              <w:spacing w:after="0"/>
              <w:rPr>
                <w:sz w:val="17"/>
                <w:szCs w:val="17"/>
                <w:color w:val="auto"/>
              </w:rPr>
            </w:pPr>
          </w:p>
        </w:tc>
        <w:tc>
          <w:tcPr>
            <w:tcW w:w="700" w:type="dxa"/>
            <w:vAlign w:val="bottom"/>
          </w:tcPr>
          <w:p>
            <w:pPr>
              <w:ind w:left="120"/>
              <w:spacing w:after="0" w:line="196" w:lineRule="exact"/>
              <w:rPr>
                <w:sz w:val="20"/>
                <w:szCs w:val="20"/>
                <w:color w:val="auto"/>
              </w:rPr>
            </w:pPr>
            <w:r>
              <w:rPr>
                <w:rFonts w:ascii="Arial" w:cs="Arial" w:eastAsia="Arial" w:hAnsi="Arial"/>
                <w:sz w:val="18"/>
                <w:szCs w:val="18"/>
                <w:color w:val="auto"/>
              </w:rPr>
              <w:t>S-1/A</w:t>
            </w:r>
          </w:p>
        </w:tc>
        <w:tc>
          <w:tcPr>
            <w:tcW w:w="8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274213</w:t>
            </w:r>
          </w:p>
        </w:tc>
        <w:tc>
          <w:tcPr>
            <w:tcW w:w="5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10.3</w:t>
            </w:r>
          </w:p>
        </w:tc>
        <w:tc>
          <w:tcPr>
            <w:tcW w:w="150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89"/>
              </w:rPr>
              <w:t>2023</w:t>
            </w: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Arial" w:cs="Arial" w:eastAsia="Arial" w:hAnsi="Arial"/>
                <w:sz w:val="18"/>
                <w:szCs w:val="18"/>
                <w:color w:val="auto"/>
              </w:rPr>
              <w:t>107</w:t>
            </w:r>
          </w:p>
        </w:tc>
        <w:tc>
          <w:tcPr>
            <w:tcW w:w="6540" w:type="dxa"/>
            <w:vAlign w:val="bottom"/>
            <w:gridSpan w:val="9"/>
          </w:tcPr>
          <w:p>
            <w:pPr>
              <w:spacing w:after="0"/>
              <w:rPr>
                <w:sz w:val="20"/>
                <w:szCs w:val="20"/>
                <w:color w:val="auto"/>
              </w:rPr>
            </w:pPr>
            <w:r>
              <w:rPr>
                <w:rFonts w:ascii="Arial" w:cs="Arial" w:eastAsia="Arial" w:hAnsi="Arial"/>
                <w:sz w:val="18"/>
                <w:szCs w:val="18"/>
                <w:color w:val="0000EE"/>
              </w:rPr>
              <w:t>Filing Fee Table.</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ind w:left="1360"/>
              <w:spacing w:after="0"/>
              <w:rPr>
                <w:sz w:val="20"/>
                <w:szCs w:val="20"/>
                <w:color w:val="auto"/>
              </w:rPr>
            </w:pPr>
            <w:r>
              <w:rPr>
                <w:rFonts w:ascii="Arial" w:cs="Arial" w:eastAsia="Arial" w:hAnsi="Arial"/>
                <w:sz w:val="18"/>
                <w:szCs w:val="18"/>
                <w:color w:val="auto"/>
                <w:w w:val="99"/>
              </w:rPr>
              <w:t>X</w:t>
            </w:r>
          </w:p>
        </w:tc>
      </w:tr>
      <w:tr>
        <w:trPr>
          <w:trHeight w:val="20"/>
        </w:trPr>
        <w:tc>
          <w:tcPr>
            <w:tcW w:w="9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820" w:hanging="264"/>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20" w:firstLine="987"/>
        <w:spacing w:after="0" w:line="254" w:lineRule="auto"/>
        <w:tabs>
          <w:tab w:leader="none" w:pos="137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6" w:lineRule="exact"/>
        <w:rPr>
          <w:rFonts w:ascii="Arial" w:cs="Arial" w:eastAsia="Arial" w:hAnsi="Arial"/>
          <w:sz w:val="18"/>
          <w:szCs w:val="18"/>
          <w:color w:val="auto"/>
        </w:rPr>
      </w:pPr>
    </w:p>
    <w:p>
      <w:pPr>
        <w:ind w:left="120" w:right="180" w:firstLine="987"/>
        <w:spacing w:after="0" w:line="277" w:lineRule="auto"/>
        <w:tabs>
          <w:tab w:leader="none" w:pos="14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periodic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ind w:left="120" w:right="140" w:firstLine="436"/>
        <w:spacing w:after="0" w:line="263"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4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40" w:firstLine="436"/>
        <w:spacing w:after="0" w:line="277"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September 19,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MAPLEBEAR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Fidji Simo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Fidji Simo</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Fidji Simo, Nick Giovanni, and Morgan Fong,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41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Fidji Simo</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Chairperson</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6"/>
              </w:rPr>
              <w:t>Fidji Simo</w:t>
            </w:r>
          </w:p>
        </w:tc>
        <w:tc>
          <w:tcPr>
            <w:tcW w:w="440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Nick Giovanni</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5"/>
              </w:rPr>
              <w:t>Nick Giovanni</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Alan Ramsay</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Chief Accounting Officer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1"/>
              </w:rPr>
              <w:t>Alan Ramsay</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Jeffrey Jordan</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89"/>
              </w:rPr>
              <w:t>Jeffrey Jordan</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Meredith Kopit Levien</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5"/>
              </w:rPr>
              <w:t>Meredith Kopit Levien</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Barry McCarthy</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4"/>
              </w:rPr>
              <w:t>Barry McCarthy</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Michael Moritz</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6"/>
              </w:rPr>
              <w:t>Michael Moritz</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Lily Sarafan</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4"/>
              </w:rPr>
              <w:t>Lily Sarafan</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Slootman</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1"/>
              </w:rPr>
              <w:t>Frank Slootman</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3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Sundheim</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September 19, 2023</w:t>
            </w:r>
          </w:p>
        </w:tc>
      </w:tr>
      <w:tr>
        <w:trPr>
          <w:trHeight w:val="224"/>
        </w:trPr>
        <w:tc>
          <w:tcPr>
            <w:tcW w:w="4420" w:type="dxa"/>
            <w:vAlign w:val="bottom"/>
          </w:tcPr>
          <w:p>
            <w:pPr>
              <w:jc w:val="center"/>
              <w:spacing w:after="0"/>
              <w:rPr>
                <w:sz w:val="20"/>
                <w:szCs w:val="20"/>
                <w:color w:val="auto"/>
              </w:rPr>
            </w:pPr>
            <w:r>
              <w:rPr>
                <w:rFonts w:ascii="Arial" w:cs="Arial" w:eastAsia="Arial" w:hAnsi="Arial"/>
                <w:sz w:val="18"/>
                <w:szCs w:val="18"/>
                <w:color w:val="auto"/>
                <w:w w:val="91"/>
              </w:rPr>
              <w:t>Daniel Sundheim</w:t>
            </w: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64"/>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2"/>
          </w:tcPr>
          <w:p>
            <w:pPr>
              <w:ind w:left="840"/>
              <w:spacing w:after="0"/>
              <w:rPr>
                <w:sz w:val="20"/>
                <w:szCs w:val="20"/>
                <w:color w:val="auto"/>
              </w:rPr>
            </w:pPr>
            <w:r>
              <w:rPr>
                <w:rFonts w:ascii="Arial" w:cs="Arial" w:eastAsia="Arial" w:hAnsi="Arial"/>
                <w:sz w:val="18"/>
                <w:szCs w:val="18"/>
                <w:color w:val="auto"/>
              </w:rPr>
              <w:t>II-5</w:t>
            </w:r>
          </w:p>
        </w:tc>
        <w:tc>
          <w:tcPr>
            <w:tcW w:w="2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85875" cy="45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2858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Jon C. Avina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javina@cooley.com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Maplebear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 Beale Street,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acted as counsel to Maplebear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xml:space="preserve">”), covering the registration for resale of up to 354,079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for selling stockholders described in the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included in the Registration Statement, including Shares (i) issued or issuable upon exercise of stock options (the “</w:t>
      </w:r>
      <w:r>
        <w:rPr>
          <w:rFonts w:ascii="Arial" w:cs="Arial" w:eastAsia="Arial" w:hAnsi="Arial"/>
          <w:sz w:val="17"/>
          <w:szCs w:val="17"/>
          <w:b w:val="1"/>
          <w:bCs w:val="1"/>
          <w:i w:val="1"/>
          <w:iCs w:val="1"/>
          <w:color w:val="auto"/>
        </w:rPr>
        <w:t>Options</w:t>
      </w:r>
      <w:r>
        <w:rPr>
          <w:rFonts w:ascii="Arial" w:cs="Arial" w:eastAsia="Arial" w:hAnsi="Arial"/>
          <w:sz w:val="17"/>
          <w:szCs w:val="17"/>
          <w:color w:val="auto"/>
        </w:rPr>
        <w:t>”) and (ii) issued upon settlement of restricted stock units, in each case, held by certain of the selling stockholders. Please note that shares of non-voting common stock of the Company held by certain selling stockholders are to be converted into shares of voting common stock of the Company prior to, and reclassified into shares of Common Stock upon, the filing of the Amended and Restated Certificate of Incorporation referred to below (the “</w:t>
      </w:r>
      <w:r>
        <w:rPr>
          <w:rFonts w:ascii="Arial" w:cs="Arial" w:eastAsia="Arial" w:hAnsi="Arial"/>
          <w:sz w:val="17"/>
          <w:szCs w:val="17"/>
          <w:b w:val="1"/>
          <w:bCs w:val="1"/>
          <w:i w:val="1"/>
          <w:iCs w:val="1"/>
          <w:color w:val="auto"/>
        </w:rPr>
        <w:t>Reclassification</w:t>
      </w:r>
      <w:r>
        <w:rPr>
          <w:rFonts w:ascii="Arial" w:cs="Arial" w:eastAsia="Arial" w:hAnsi="Arial"/>
          <w:sz w:val="17"/>
          <w:szCs w:val="17"/>
          <w:color w:val="auto"/>
        </w:rPr>
        <w:t>”).</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this opinion, we have (i) examined and relied upon (a) the Registration Statement and the Prospectus, (b) the Company’s certificate of incorporation and bylaws, each as currently in effect, (c) the forms of the Company’s Amended and Restated Certificate of Incorporation and Amended and Restated Bylaws, each of which is to be in effect prior to the closing of the Company’s initial public offering, in the forms filed as Exhibits 3.3 and 3.4, respectively, to the Company’s registration statement (No. 333-274213) on Form S-1, (d) the employee benefit plans pursuant to which the Shares were or may be issued, and (e) such other documents, certificates, memoranda and other instruments as in our judgment are necessary or appropriate to enable us to render the opinion expressed below, and (ii) assumed that the Amended and Restated Certificate of Incorporation referred to in clause (i)(c) has been filed with the Secretary of State of the State of Delaware.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upon completion of the Reclassification, the Shares will be validly issued, fully paid and nonassessable, except with respect to Shares to be acquired by certain selling stockholders upon the exercise of the Options in accordance with their terms, which Shares will be validly issued, fully paid and nonassessable upon such exercise.</w:t>
      </w:r>
    </w:p>
    <w:p>
      <w:pPr>
        <w:spacing w:after="0" w:line="165"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Our opinion is limited to the matters stated herein, and no opinion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49" w:lineRule="exact"/>
        <w:rPr>
          <w:sz w:val="20"/>
          <w:szCs w:val="20"/>
          <w:color w:val="auto"/>
        </w:rPr>
      </w:pPr>
    </w:p>
    <w:p>
      <w:pPr>
        <w:jc w:val="both"/>
        <w:ind w:right="720"/>
        <w:spacing w:after="0" w:line="286" w:lineRule="auto"/>
        <w:rPr>
          <w:sz w:val="20"/>
          <w:szCs w:val="20"/>
          <w:color w:val="auto"/>
        </w:rPr>
      </w:pPr>
      <w:r>
        <w:rPr>
          <w:rFonts w:ascii="Arial" w:cs="Arial" w:eastAsia="Arial" w:hAnsi="Arial"/>
          <w:sz w:val="17"/>
          <w:szCs w:val="17"/>
          <w:color w:val="auto"/>
        </w:rPr>
        <w:t>We consent to the reference to our firm under the caption “Legal Matters” in the Prospectus and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3175 Hanover Street Palo Alto, PA 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0"/>
          </w:cols>
          <w:pgMar w:left="440" w:top="121"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 C. Avina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Jon C. Avina</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Cooley LLP 3175 Hanover Street Palo Alto, PA 94304-1130</w:t>
      </w:r>
    </w:p>
    <w:p>
      <w:pPr>
        <w:spacing w:after="0" w:line="46"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019"/>
          </w:cols>
          <w:pgMar w:left="440" w:top="274"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Maplebear Inc. of our report dated March 17, 2023 relating to the financial statements, which appears in Maplebear Inc.’s Amendment No. 2 to the Registration Statement on Form S-1 (No. 333-274213).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19, 2023</w:t>
      </w:r>
    </w:p>
    <w:p>
      <w:pPr>
        <w:sectPr>
          <w:pgSz w:w="11900" w:h="16838" w:orient="portrait"/>
          <w:cols w:equalWidth="0" w:num="1">
            <w:col w:w="11020"/>
          </w:cols>
          <w:pgMar w:left="440" w:top="12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Type)</w:t>
      </w:r>
    </w:p>
    <w:p>
      <w:pPr>
        <w:spacing w:after="0" w:line="21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Maplebear Inc.</w:t>
      </w:r>
    </w:p>
    <w:p>
      <w:pPr>
        <w:spacing w:after="0" w:line="2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Table 1: Newly Registered Securities</w:t>
      </w:r>
    </w:p>
    <w:p>
      <w:pPr>
        <w:spacing w:after="0" w:line="24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700" w:type="dxa"/>
            <w:vAlign w:val="bottom"/>
            <w:tcBorders>
              <w:top w:val="single" w:sz="8" w:color="auto"/>
              <w:left w:val="single" w:sz="8" w:color="auto"/>
              <w:right w:val="single" w:sz="8" w:color="auto"/>
            </w:tcBorders>
          </w:tcPr>
          <w:p>
            <w:pPr>
              <w:spacing w:after="0"/>
              <w:rPr>
                <w:sz w:val="12"/>
                <w:szCs w:val="12"/>
                <w:color w:val="auto"/>
              </w:rPr>
            </w:pPr>
          </w:p>
        </w:tc>
        <w:tc>
          <w:tcPr>
            <w:tcW w:w="22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3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spacing w:after="0"/>
              <w:rPr>
                <w:sz w:val="11"/>
                <w:szCs w:val="11"/>
                <w:color w:val="auto"/>
              </w:rPr>
            </w:pP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Security</w:t>
            </w:r>
          </w:p>
        </w:tc>
        <w:tc>
          <w:tcPr>
            <w:tcW w:w="74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00" w:type="dxa"/>
            <w:vAlign w:val="bottom"/>
            <w:tcBorders>
              <w:left w:val="single" w:sz="8" w:color="auto"/>
              <w:right w:val="single" w:sz="8" w:color="auto"/>
            </w:tcBorders>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0"/>
              </w:rPr>
              <w:t>Fee</w:t>
            </w:r>
          </w:p>
        </w:tc>
        <w:tc>
          <w:tcPr>
            <w:tcW w:w="9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0"/>
              </w:rPr>
              <w:t>Offering</w:t>
            </w:r>
          </w:p>
        </w:tc>
        <w:tc>
          <w:tcPr>
            <w:tcW w:w="13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3"/>
              </w:rPr>
              <w:t>Aggregate</w:t>
            </w:r>
          </w:p>
        </w:tc>
        <w:tc>
          <w:tcPr>
            <w:tcW w:w="9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jc w:val="center"/>
              <w:ind w:left="64"/>
              <w:spacing w:after="0" w:line="135" w:lineRule="exact"/>
              <w:rPr>
                <w:sz w:val="20"/>
                <w:szCs w:val="20"/>
                <w:color w:val="auto"/>
              </w:rPr>
            </w:pPr>
            <w:r>
              <w:rPr>
                <w:rFonts w:ascii="Arial" w:cs="Arial" w:eastAsia="Arial" w:hAnsi="Arial"/>
                <w:sz w:val="13"/>
                <w:szCs w:val="13"/>
                <w:b w:val="1"/>
                <w:bCs w:val="1"/>
                <w:color w:val="auto"/>
                <w:w w:val="85"/>
              </w:rPr>
              <w:t>Security</w:t>
            </w:r>
          </w:p>
        </w:tc>
        <w:tc>
          <w:tcPr>
            <w:tcW w:w="2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Class</w:t>
            </w:r>
          </w:p>
        </w:tc>
        <w:tc>
          <w:tcPr>
            <w:tcW w:w="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Calculation</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9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0"/>
              </w:rPr>
              <w:t>Fee</w:t>
            </w:r>
          </w:p>
        </w:tc>
        <w:tc>
          <w:tcPr>
            <w:tcW w:w="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c>
          <w:tcPr>
            <w:tcW w:w="0" w:type="dxa"/>
            <w:vAlign w:val="bottom"/>
          </w:tcPr>
          <w:p>
            <w:pPr>
              <w:spacing w:after="0"/>
              <w:rPr>
                <w:sz w:val="1"/>
                <w:szCs w:val="1"/>
                <w:color w:val="auto"/>
              </w:rPr>
            </w:pPr>
          </w:p>
        </w:tc>
      </w:tr>
      <w:tr>
        <w:trPr>
          <w:trHeight w:val="176"/>
        </w:trPr>
        <w:tc>
          <w:tcPr>
            <w:tcW w:w="70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Arial" w:cs="Arial" w:eastAsia="Arial" w:hAnsi="Arial"/>
                <w:sz w:val="13"/>
                <w:szCs w:val="13"/>
                <w:b w:val="1"/>
                <w:bCs w:val="1"/>
                <w:color w:val="auto"/>
                <w:w w:val="85"/>
              </w:rPr>
              <w:t>Type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9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3"/>
              </w:rPr>
              <w:t>Registered</w:t>
            </w:r>
            <w:r>
              <w:rPr>
                <w:rFonts w:ascii="Arial" w:cs="Arial" w:eastAsia="Arial" w:hAnsi="Arial"/>
                <w:sz w:val="18"/>
                <w:szCs w:val="18"/>
                <w:b w:val="1"/>
                <w:bCs w:val="1"/>
                <w:color w:val="auto"/>
                <w:w w:val="83"/>
                <w:vertAlign w:val="superscript"/>
              </w:rPr>
              <w:t>(1)</w:t>
            </w:r>
          </w:p>
        </w:tc>
        <w:tc>
          <w:tcPr>
            <w:tcW w:w="66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5"/>
              </w:rPr>
              <w:t>Unit</w:t>
            </w:r>
            <w:r>
              <w:rPr>
                <w:rFonts w:ascii="Arial" w:cs="Arial" w:eastAsia="Arial" w:hAnsi="Arial"/>
                <w:sz w:val="18"/>
                <w:szCs w:val="18"/>
                <w:b w:val="1"/>
                <w:bCs w:val="1"/>
                <w:color w:val="auto"/>
                <w:w w:val="85"/>
                <w:vertAlign w:val="superscript"/>
              </w:rPr>
              <w:t>(2)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Price</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c>
          <w:tcPr>
            <w:tcW w:w="0" w:type="dxa"/>
            <w:vAlign w:val="bottom"/>
          </w:tcPr>
          <w:p>
            <w:pPr>
              <w:spacing w:after="0"/>
              <w:rPr>
                <w:sz w:val="1"/>
                <w:szCs w:val="1"/>
                <w:color w:val="auto"/>
              </w:rPr>
            </w:pPr>
          </w:p>
        </w:tc>
      </w:tr>
      <w:tr>
        <w:trPr>
          <w:trHeight w:val="209"/>
        </w:trPr>
        <w:tc>
          <w:tcPr>
            <w:tcW w:w="7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w:t>
            </w: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$0.0001 per share,</w:t>
            </w: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Maplebear Inc. 2013 Equity</w:t>
            </w: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5"/>
              </w:rPr>
              <w:t>Equity</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92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133,632</w:t>
            </w:r>
            <w:r>
              <w:rPr>
                <w:rFonts w:ascii="Arial" w:cs="Arial" w:eastAsia="Arial" w:hAnsi="Arial"/>
                <w:sz w:val="26"/>
                <w:szCs w:val="26"/>
                <w:color w:val="auto"/>
                <w:w w:val="85"/>
                <w:vertAlign w:val="superscript"/>
              </w:rPr>
              <w:t>(3)</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$4,008,960.00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$441.79</w:t>
            </w:r>
          </w:p>
        </w:tc>
        <w:tc>
          <w:tcPr>
            <w:tcW w:w="0" w:type="dxa"/>
            <w:vAlign w:val="bottom"/>
          </w:tcPr>
          <w:p>
            <w:pPr>
              <w:spacing w:after="0"/>
              <w:rPr>
                <w:sz w:val="1"/>
                <w:szCs w:val="1"/>
                <w:color w:val="auto"/>
              </w:rPr>
            </w:pPr>
          </w:p>
        </w:tc>
      </w:tr>
      <w:tr>
        <w:trPr>
          <w:trHeight w:val="209"/>
        </w:trPr>
        <w:tc>
          <w:tcPr>
            <w:tcW w:w="7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w:t>
            </w: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$0.0001 per share,</w:t>
            </w: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Maplebear Inc. 2018 Equity</w:t>
            </w:r>
          </w:p>
        </w:tc>
        <w:tc>
          <w:tcPr>
            <w:tcW w:w="7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0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5"/>
              </w:rPr>
              <w:t>Equity</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Incentive Plan</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457(h)</w:t>
            </w:r>
          </w:p>
        </w:tc>
        <w:tc>
          <w:tcPr>
            <w:tcW w:w="92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220,447</w:t>
            </w:r>
            <w:r>
              <w:rPr>
                <w:rFonts w:ascii="Arial" w:cs="Arial" w:eastAsia="Arial" w:hAnsi="Arial"/>
                <w:sz w:val="26"/>
                <w:szCs w:val="26"/>
                <w:color w:val="auto"/>
                <w:w w:val="85"/>
                <w:vertAlign w:val="superscript"/>
              </w:rPr>
              <w:t>(4)</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$6,613,410.00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0.0001102</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$728.80</w:t>
            </w:r>
          </w:p>
        </w:tc>
        <w:tc>
          <w:tcPr>
            <w:tcW w:w="0" w:type="dxa"/>
            <w:vAlign w:val="bottom"/>
          </w:tcPr>
          <w:p>
            <w:pPr>
              <w:spacing w:after="0"/>
              <w:rPr>
                <w:sz w:val="1"/>
                <w:szCs w:val="1"/>
                <w:color w:val="auto"/>
              </w:rPr>
            </w:pPr>
          </w:p>
        </w:tc>
      </w:tr>
      <w:tr>
        <w:trPr>
          <w:trHeight w:val="232"/>
        </w:trPr>
        <w:tc>
          <w:tcPr>
            <w:tcW w:w="700" w:type="dxa"/>
            <w:vAlign w:val="bottom"/>
            <w:tcBorders>
              <w:left w:val="single" w:sz="8" w:color="auto"/>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8"/>
                <w:szCs w:val="18"/>
                <w:b w:val="1"/>
                <w:bCs w:val="1"/>
                <w:color w:val="auto"/>
                <w:w w:val="91"/>
              </w:rPr>
              <w:t>Total Offering Amounts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$10,622,370.00</w:t>
            </w: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$1,170.59</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center"/>
              <w:ind w:left="276"/>
              <w:spacing w:after="0"/>
              <w:rPr>
                <w:sz w:val="20"/>
                <w:szCs w:val="20"/>
                <w:color w:val="auto"/>
              </w:rPr>
            </w:pPr>
            <w:r>
              <w:rPr>
                <w:rFonts w:ascii="Arial" w:cs="Arial" w:eastAsia="Arial" w:hAnsi="Arial"/>
                <w:sz w:val="18"/>
                <w:szCs w:val="18"/>
                <w:b w:val="1"/>
                <w:bCs w:val="1"/>
                <w:color w:val="auto"/>
                <w:w w:val="88"/>
              </w:rPr>
              <w:t>Total Fee Offsets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2200" w:type="dxa"/>
            <w:vAlign w:val="bottom"/>
            <w:tcBorders>
              <w:bottom w:val="single" w:sz="8" w:color="auto"/>
            </w:tcBorders>
          </w:tcPr>
          <w:p>
            <w:pPr>
              <w:jc w:val="center"/>
              <w:ind w:left="1016"/>
              <w:spacing w:after="0"/>
              <w:rPr>
                <w:sz w:val="20"/>
                <w:szCs w:val="20"/>
                <w:color w:val="auto"/>
              </w:rPr>
            </w:pPr>
            <w:r>
              <w:rPr>
                <w:rFonts w:ascii="Arial" w:cs="Arial" w:eastAsia="Arial" w:hAnsi="Arial"/>
                <w:sz w:val="18"/>
                <w:szCs w:val="18"/>
                <w:b w:val="1"/>
                <w:bCs w:val="1"/>
                <w:color w:val="auto"/>
                <w:w w:val="90"/>
              </w:rPr>
              <w:t>Net Fee Due</w:t>
            </w: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$1,170.59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40" w:hanging="424"/>
        <w:spacing w:after="0" w:line="259"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“Securities Act”), this Registration Statement shall also cover any additional shares of common stock that become issuable under the stock options or restricted stock units (“RSUs”) set forth herein by reason of any stock dividend, stock split, recapitalization, or other similar transaction effected that results in an increase to the number of outstanding shares of common stock.</w:t>
      </w:r>
    </w:p>
    <w:p>
      <w:pPr>
        <w:spacing w:after="0" w:line="92"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 in accordance with Rule 457(h) promulgated under the Securities Act solely for the purpose of calculating the registration fee on the basis of the initial public offering price of $30.00 per share of common stock pursuant to the Registrant’s Registration Statement on Form S-1 (File No. 333-274213), declared effective on September 18, 2023.</w:t>
      </w:r>
    </w:p>
    <w:p>
      <w:pPr>
        <w:spacing w:after="0" w:line="89" w:lineRule="exact"/>
        <w:rPr>
          <w:rFonts w:ascii="Arial" w:cs="Arial" w:eastAsia="Arial" w:hAnsi="Arial"/>
          <w:sz w:val="18"/>
          <w:szCs w:val="18"/>
          <w:color w:val="auto"/>
        </w:rPr>
      </w:pPr>
    </w:p>
    <w:p>
      <w:pPr>
        <w:ind w:left="424" w:right="60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shares of common stock issued or issuable pursuant to the exercise of stock options granted under the Registrant’s 2013 Equity Incentive Plan.</w:t>
      </w:r>
    </w:p>
    <w:p>
      <w:pPr>
        <w:spacing w:after="0" w:line="75"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6,153 shares of common stock issued pursuant to the exercise of stock options and 214,294 shares of common stock issued pursuant to the settlement of outstanding RSUs granted under the Registrant’s 2018 Equity Incentive Plan.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Roman"/>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3"/>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jpe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29" Type="http://schemas.openxmlformats.org/officeDocument/2006/relationships/hyperlink" Target="http://www.sec.gov/Archives/edgar/data/1579091/000119312523235646/d55348ds1a.htm" TargetMode="External"/><Relationship Id="rId40" Type="http://schemas.openxmlformats.org/officeDocument/2006/relationships/hyperlink" Target="http://www.sec.gov/Archives/edgar/data/1579091/000119312523235388/d317735d8a12b.htm" TargetMode="External"/><Relationship Id="rId44" Type="http://schemas.openxmlformats.org/officeDocument/2006/relationships/hyperlink" Target="http://www.sec.gov/Archives/edgar/data/1579091/000119312523221345/d55348dex31.htm" TargetMode="External"/><Relationship Id="rId45" Type="http://schemas.openxmlformats.org/officeDocument/2006/relationships/hyperlink" Target="http://www.sec.gov/Archives/edgar/data/1579091/000119312523231909/d55348dex33.htm" TargetMode="External"/><Relationship Id="rId46" Type="http://schemas.openxmlformats.org/officeDocument/2006/relationships/hyperlink" Target="http://www.sec.gov/Archives/edgar/data/1579091/000119312523221345/d55348dex32.htm" TargetMode="External"/><Relationship Id="rId47" Type="http://schemas.openxmlformats.org/officeDocument/2006/relationships/hyperlink" Target="http://www.sec.gov/Archives/edgar/data/1579091/000119312523231909/d55348dex34.htm" TargetMode="External"/><Relationship Id="rId48" Type="http://schemas.openxmlformats.org/officeDocument/2006/relationships/hyperlink" Target="http://www.sec.gov/Archives/edgar/data/1579091/000119312523221345/d55348dex41.htm" TargetMode="External"/><Relationship Id="rId49" Type="http://schemas.openxmlformats.org/officeDocument/2006/relationships/hyperlink" Target="http://www.sec.gov/Archives/edgar/data/1579091/000119312523231909/d55348dex102.htm" TargetMode="External"/><Relationship Id="rId50" Type="http://schemas.openxmlformats.org/officeDocument/2006/relationships/hyperlink" Target="http://www.sec.gov/Archives/edgar/data/1579091/000119312523231909/d5534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2023-09-19T05:20:52Z</dcterms:created>
  <dcterms:modified xsi:type="dcterms:W3CDTF">2023-09-19T05:20:52Z</dcterms:modified>
</cp:coreProperties>
</file>