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 COMMISSION</w:t>
        <w:br/>
      </w:r>
      <w:r>
        <w:rPr>
          <w:rFonts w:ascii="Times New Roman;serif" w:hAnsi="Times New Roman;serif"/>
          <w:b/>
          <w:color w:val="000000"/>
          <w:sz w:val="24"/>
        </w:rPr>
        <w:t>Washington, D.C. 20549</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43"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5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401" w:type="dxa"/>
            <w:gridSpan w:val="24"/>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974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tc>
      </w:tr>
      <w:tr>
        <w:trPr/>
        <w:tc>
          <w:tcPr>
            <w:tcW w:w="974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401" w:type="dxa"/>
            <w:gridSpan w:val="24"/>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001-41805</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314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36195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MAPLEBEAR INC.</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33" w:type="dxa"/>
        <w:jc w:val="center"/>
        <w:tblInd w:w="0" w:type="dxa"/>
        <w:tblLayout w:type="fixed"/>
        <w:tblCellMar>
          <w:top w:w="28" w:type="dxa"/>
          <w:left w:w="28" w:type="dxa"/>
          <w:bottom w:w="28" w:type="dxa"/>
          <w:right w:w="28" w:type="dxa"/>
        </w:tblCellMar>
      </w:tblPr>
      <w:tblGrid>
        <w:gridCol w:w="279"/>
        <w:gridCol w:w="244"/>
        <w:gridCol w:w="244"/>
        <w:gridCol w:w="244"/>
        <w:gridCol w:w="244"/>
        <w:gridCol w:w="244"/>
        <w:gridCol w:w="244"/>
        <w:gridCol w:w="244"/>
        <w:gridCol w:w="244"/>
        <w:gridCol w:w="163"/>
        <w:gridCol w:w="163"/>
        <w:gridCol w:w="163"/>
        <w:gridCol w:w="163"/>
        <w:gridCol w:w="163"/>
        <w:gridCol w:w="163"/>
        <w:gridCol w:w="163"/>
        <w:gridCol w:w="163"/>
        <w:gridCol w:w="163"/>
        <w:gridCol w:w="163"/>
        <w:gridCol w:w="163"/>
        <w:gridCol w:w="163"/>
        <w:gridCol w:w="163"/>
        <w:gridCol w:w="163"/>
        <w:gridCol w:w="163"/>
        <w:gridCol w:w="163"/>
        <w:gridCol w:w="163"/>
        <w:gridCol w:w="231"/>
      </w:tblGrid>
      <w:tr>
        <w:trPr/>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23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223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46-0723335</w:t>
            </w:r>
          </w:p>
        </w:tc>
      </w:tr>
      <w:tr>
        <w:trPr/>
        <w:tc>
          <w:tcPr>
            <w:tcW w:w="223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pPr>
      <w:r>
        <w:rPr>
          <w:rFonts w:ascii="Times New Roman;serif" w:hAnsi="Times New Roman;serif"/>
          <w:b/>
          <w:color w:val="000000"/>
          <w:sz w:val="18"/>
        </w:rPr>
        <w:t>50 Beale Street</w:t>
      </w:r>
      <w:r>
        <w:rPr>
          <w:rFonts w:ascii="Times New Roman;serif" w:hAnsi="Times New Roman;serif"/>
          <w:b w:val="false"/>
          <w:color w:val="000000"/>
          <w:sz w:val="18"/>
        </w:rPr>
        <w:t xml:space="preserve">, </w:t>
      </w:r>
      <w:r>
        <w:rPr>
          <w:rFonts w:ascii="Times New Roman;serif" w:hAnsi="Times New Roman;serif"/>
          <w:b/>
          <w:color w:val="000000"/>
          <w:sz w:val="18"/>
        </w:rPr>
        <w:t>Suite 600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18"/>
        </w:rPr>
        <w:t>San Francisco</w:t>
      </w:r>
      <w:r>
        <w:rPr>
          <w:rFonts w:ascii="Times New Roman;serif" w:hAnsi="Times New Roman;serif"/>
          <w:b w:val="false"/>
          <w:color w:val="000000"/>
          <w:sz w:val="18"/>
        </w:rPr>
        <w:t xml:space="preserve">, </w:t>
      </w:r>
      <w:r>
        <w:rPr>
          <w:rFonts w:ascii="Times New Roman;serif" w:hAnsi="Times New Roman;serif"/>
          <w:b/>
          <w:color w:val="000000"/>
          <w:sz w:val="18"/>
        </w:rPr>
        <w:t>California</w:t>
      </w:r>
      <w:r>
        <w:rPr>
          <w:color w:val="000000"/>
        </w:rPr>
        <w:t xml:space="preserve"> </w:t>
      </w:r>
      <w:r>
        <w:rPr>
          <w:rFonts w:ascii="Times New Roman;serif" w:hAnsi="Times New Roman;serif"/>
          <w:b/>
          <w:color w:val="000000"/>
          <w:sz w:val="18"/>
        </w:rPr>
        <w:t>94105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color w:val="000000"/>
          <w:sz w:val="18"/>
        </w:rPr>
        <w:t>888</w:t>
      </w:r>
      <w:r>
        <w:rPr>
          <w:rFonts w:ascii="Times New Roman;serif" w:hAnsi="Times New Roman;serif"/>
          <w:b w:val="false"/>
          <w:color w:val="000000"/>
          <w:sz w:val="18"/>
        </w:rPr>
        <w:t xml:space="preserve">) </w:t>
      </w:r>
      <w:r>
        <w:rPr>
          <w:rFonts w:ascii="Times New Roman;serif" w:hAnsi="Times New Roman;serif"/>
          <w:b/>
          <w:color w:val="000000"/>
          <w:sz w:val="18"/>
        </w:rPr>
        <w:t>246-7822</w:t>
      </w:r>
    </w:p>
    <w:p>
      <w:pPr>
        <w:pStyle w:val="TextBody"/>
        <w:bidi w:val="0"/>
        <w:spacing w:lineRule="auto" w:line="288" w:before="0" w:after="1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left"/>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59"/>
        <w:gridCol w:w="109"/>
        <w:gridCol w:w="109"/>
        <w:gridCol w:w="109"/>
        <w:gridCol w:w="519"/>
        <w:gridCol w:w="519"/>
        <w:gridCol w:w="521"/>
        <w:gridCol w:w="109"/>
        <w:gridCol w:w="109"/>
        <w:gridCol w:w="109"/>
        <w:gridCol w:w="369"/>
        <w:gridCol w:w="369"/>
        <w:gridCol w:w="369"/>
        <w:gridCol w:w="369"/>
        <w:gridCol w:w="369"/>
        <w:gridCol w:w="369"/>
        <w:gridCol w:w="369"/>
        <w:gridCol w:w="369"/>
        <w:gridCol w:w="522"/>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2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CART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235,029,814 shares of common stock, par value $0.0001 per share, as of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60"/>
        <w:ind w:left="0" w:right="0" w:firstLine="173"/>
        <w:jc w:val="center"/>
        <w:rPr>
          <w:rFonts w:ascii="Times New Roman;serif" w:hAnsi="Times New Roman;serif"/>
          <w:b/>
          <w:color w:val="231F20"/>
          <w:sz w:val="20"/>
        </w:rPr>
      </w:pPr>
      <w:r>
        <w:rPr>
          <w:rFonts w:ascii="Times New Roman;serif" w:hAnsi="Times New Roman;serif"/>
          <w:b/>
          <w:color w:val="231F20"/>
          <w:sz w:val="20"/>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3"/>
        <w:gridCol w:w="293"/>
        <w:gridCol w:w="319"/>
        <w:gridCol w:w="293"/>
        <w:gridCol w:w="293"/>
        <w:gridCol w:w="439"/>
        <w:gridCol w:w="439"/>
        <w:gridCol w:w="439"/>
        <w:gridCol w:w="2204"/>
        <w:gridCol w:w="2150"/>
        <w:gridCol w:w="2163"/>
        <w:gridCol w:w="158"/>
        <w:gridCol w:w="158"/>
        <w:gridCol w:w="232"/>
      </w:tblGrid>
      <w:tr>
        <w:trPr/>
        <w:tc>
          <w:tcPr>
            <w:tcW w:w="3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57" w:type="dxa"/>
            <w:gridSpan w:val="12"/>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10">
              <w:r>
                <w:rPr>
                  <w:rStyle w:val="InternetLink"/>
                  <w:rFonts w:ascii="Times New Roman;serif" w:hAnsi="Times New Roman;serif"/>
                  <w:b w:val="false"/>
                  <w:color w:val="3051F2"/>
                  <w:sz w:val="20"/>
                  <w:u w:val="single"/>
                </w:rPr>
                <w:t>Special Note Regarding Forward-Looking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10">
              <w:r>
                <w:rPr>
                  <w:rStyle w:val="InternetLink"/>
                  <w:rFonts w:ascii="Times New Roman;serif" w:hAnsi="Times New Roman;serif"/>
                  <w:b w:val="false"/>
                  <w:color w:val="3051F2"/>
                  <w:sz w:val="20"/>
                  <w:u w:val="single"/>
                </w:rPr>
                <w:t>3</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Part I</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13">
              <w:r>
                <w:rPr>
                  <w:rStyle w:val="InternetLink"/>
                  <w:rFonts w:ascii="Times New Roman;serif" w:hAnsi="Times New Roman;serif"/>
                  <w:b/>
                  <w:color w:val="3051F2"/>
                  <w:sz w:val="20"/>
                  <w:u w:val="single"/>
                </w:rPr>
                <w:t>FINANCIAL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13">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16">
              <w:r>
                <w:rPr>
                  <w:rStyle w:val="InternetLink"/>
                  <w:rFonts w:ascii="Times New Roman;serif" w:hAnsi="Times New Roman;serif"/>
                  <w:b w:val="false"/>
                  <w:color w:val="3051F2"/>
                  <w:sz w:val="20"/>
                  <w:u w:val="single"/>
                </w:rPr>
                <w:t>Financial Statements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16">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19">
              <w:r>
                <w:rPr>
                  <w:rStyle w:val="InternetLink"/>
                  <w:rFonts w:ascii="Times New Roman;serif" w:hAnsi="Times New Roman;serif"/>
                  <w:b w:val="false"/>
                  <w:color w:val="3051F2"/>
                  <w:sz w:val="20"/>
                  <w:u w:val="single"/>
                </w:rPr>
                <w:t>Condensed Consolidated Balance Sheets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19">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2">
              <w:r>
                <w:rPr>
                  <w:rStyle w:val="InternetLink"/>
                  <w:rFonts w:ascii="Times New Roman;serif" w:hAnsi="Times New Roman;serif"/>
                  <w:b w:val="false"/>
                  <w:color w:val="3051F2"/>
                  <w:sz w:val="20"/>
                  <w:u w:val="single"/>
                </w:rPr>
                <w:t>Condensed Consolidated Statements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2">
              <w:r>
                <w:rPr>
                  <w:rStyle w:val="InternetLink"/>
                  <w:rFonts w:ascii="Times New Roman;serif" w:hAnsi="Times New Roman;serif"/>
                  <w:b w:val="false"/>
                  <w:color w:val="3051F2"/>
                  <w:sz w:val="20"/>
                  <w:u w:val="single"/>
                </w:rPr>
                <w:t>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5">
              <w:r>
                <w:rPr>
                  <w:rStyle w:val="InternetLink"/>
                  <w:rFonts w:ascii="Times New Roman;serif" w:hAnsi="Times New Roman;serif"/>
                  <w:b w:val="false"/>
                  <w:color w:val="3051F2"/>
                  <w:sz w:val="20"/>
                  <w:u w:val="single"/>
                </w:rPr>
                <w:t>Condensed Consolidated Statements of Comprehensive Income</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5">
              <w:r>
                <w:rPr>
                  <w:rStyle w:val="InternetLink"/>
                  <w:rFonts w:ascii="Times New Roman;serif" w:hAnsi="Times New Roman;serif"/>
                  <w:b w:val="false"/>
                  <w:color w:val="3051F2"/>
                  <w:sz w:val="20"/>
                  <w:u w:val="single"/>
                </w:rPr>
                <w:t>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abe78d38b2d14a58b34a2f9bcd46f83d_28">
              <w:r>
                <w:rPr>
                  <w:rStyle w:val="InternetLink"/>
                  <w:rFonts w:ascii="Times New Roman;serif" w:hAnsi="Times New Roman;serif"/>
                  <w:b w:val="false"/>
                  <w:color w:val="3051F2"/>
                  <w:sz w:val="20"/>
                  <w:u w:val="single"/>
                </w:rPr>
                <w:t>Condensed Consolidated Statements of Redeemable Convertible Preferred Stock and Stockholders’ Equity</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8">
              <w:r>
                <w:rPr>
                  <w:rStyle w:val="InternetLink"/>
                  <w:rFonts w:ascii="Times New Roman;serif" w:hAnsi="Times New Roman;serif"/>
                  <w:b w:val="false"/>
                  <w:color w:val="3051F2"/>
                  <w:sz w:val="20"/>
                  <w:u w:val="single"/>
                </w:rPr>
                <w:t>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40">
              <w:r>
                <w:rPr>
                  <w:rStyle w:val="InternetLink"/>
                  <w:rFonts w:ascii="Times New Roman;serif" w:hAnsi="Times New Roman;serif"/>
                  <w:b w:val="false"/>
                  <w:color w:val="3051F2"/>
                  <w:sz w:val="20"/>
                  <w:u w:val="single"/>
                </w:rPr>
                <w:t>Condensed Consolidated Statements of Cash Flows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40">
              <w:r>
                <w:rPr>
                  <w:rStyle w:val="InternetLink"/>
                  <w:rFonts w:ascii="Times New Roman;serif" w:hAnsi="Times New Roman;serif"/>
                  <w:b w:val="false"/>
                  <w:color w:val="3051F2"/>
                  <w:sz w:val="20"/>
                  <w:u w:val="single"/>
                </w:rPr>
                <w:t>10</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43">
              <w:r>
                <w:rPr>
                  <w:rStyle w:val="InternetLink"/>
                  <w:rFonts w:ascii="Times New Roman;serif" w:hAnsi="Times New Roman;serif"/>
                  <w:b w:val="false"/>
                  <w:color w:val="3051F2"/>
                  <w:sz w:val="20"/>
                  <w:u w:val="single"/>
                </w:rPr>
                <w:t>Notes to Condensed Consolidated Financial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43">
              <w:r>
                <w:rPr>
                  <w:rStyle w:val="InternetLink"/>
                  <w:rFonts w:ascii="Times New Roman;serif" w:hAnsi="Times New Roman;serif"/>
                  <w:b w:val="false"/>
                  <w:color w:val="3051F2"/>
                  <w:sz w:val="20"/>
                  <w:u w:val="single"/>
                </w:rPr>
                <w:t>12</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abe78d38b2d14a58b34a2f9bcd46f83d_112">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112">
              <w:r>
                <w:rPr>
                  <w:rStyle w:val="InternetLink"/>
                  <w:rFonts w:ascii="Times New Roman;serif" w:hAnsi="Times New Roman;serif"/>
                  <w:b w:val="false"/>
                  <w:color w:val="3051F2"/>
                  <w:sz w:val="20"/>
                  <w:u w:val="single"/>
                </w:rPr>
                <w:t>29</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abe78d38b2d14a58b34a2f9bcd46f83d_199">
              <w:r>
                <w:rPr>
                  <w:rStyle w:val="InternetLink"/>
                  <w:rFonts w:ascii="Times New Roman;serif" w:hAnsi="Times New Roman;serif"/>
                  <w:b w:val="false"/>
                  <w:color w:val="3051F2"/>
                  <w:sz w:val="20"/>
                  <w:u w:val="single"/>
                </w:rPr>
                <w:t>Quantitative and Qualitative Disclosures About Market Risk</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199">
              <w:r>
                <w:rPr>
                  <w:rStyle w:val="InternetLink"/>
                  <w:rFonts w:ascii="Times New Roman;serif" w:hAnsi="Times New Roman;serif"/>
                  <w:b w:val="false"/>
                  <w:color w:val="3051F2"/>
                  <w:sz w:val="20"/>
                  <w:u w:val="single"/>
                </w:rPr>
                <w:t>45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abe78d38b2d14a58b34a2f9bcd46f83d_202">
              <w:r>
                <w:rPr>
                  <w:rStyle w:val="InternetLink"/>
                  <w:rFonts w:ascii="Times New Roman;serif" w:hAnsi="Times New Roman;serif"/>
                  <w:b w:val="false"/>
                  <w:color w:val="3051F2"/>
                  <w:sz w:val="20"/>
                  <w:u w:val="single"/>
                </w:rPr>
                <w:t>Controls and Procedures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02">
              <w:r>
                <w:rPr>
                  <w:rStyle w:val="InternetLink"/>
                  <w:rFonts w:ascii="Times New Roman;serif" w:hAnsi="Times New Roman;serif"/>
                  <w:b w:val="false"/>
                  <w:color w:val="3051F2"/>
                  <w:sz w:val="20"/>
                  <w:u w:val="single"/>
                </w:rPr>
                <w:t>46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Part II</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05">
              <w:r>
                <w:rPr>
                  <w:rStyle w:val="InternetLink"/>
                  <w:rFonts w:ascii="Times New Roman;serif" w:hAnsi="Times New Roman;serif"/>
                  <w:b/>
                  <w:color w:val="3051F2"/>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05">
              <w:r>
                <w:rPr>
                  <w:rStyle w:val="InternetLink"/>
                  <w:rFonts w:ascii="Times New Roman;serif" w:hAnsi="Times New Roman;serif"/>
                  <w:b w:val="false"/>
                  <w:color w:val="3051F2"/>
                  <w:sz w:val="20"/>
                  <w:u w:val="single"/>
                </w:rPr>
                <w:t>47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08">
              <w:r>
                <w:rPr>
                  <w:rStyle w:val="InternetLink"/>
                  <w:rFonts w:ascii="Times New Roman;serif" w:hAnsi="Times New Roman;serif"/>
                  <w:b w:val="false"/>
                  <w:color w:val="3051F2"/>
                  <w:sz w:val="20"/>
                  <w:u w:val="single"/>
                </w:rPr>
                <w:t>Legal Proceedings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08">
              <w:r>
                <w:rPr>
                  <w:rStyle w:val="InternetLink"/>
                  <w:rFonts w:ascii="Times New Roman;serif" w:hAnsi="Times New Roman;serif"/>
                  <w:b w:val="false"/>
                  <w:color w:val="3051F2"/>
                  <w:sz w:val="20"/>
                  <w:u w:val="single"/>
                </w:rPr>
                <w:t>47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11">
              <w:r>
                <w:rPr>
                  <w:rStyle w:val="InternetLink"/>
                  <w:rFonts w:ascii="Times New Roman;serif" w:hAnsi="Times New Roman;serif"/>
                  <w:b w:val="false"/>
                  <w:color w:val="3051F2"/>
                  <w:sz w:val="20"/>
                  <w:u w:val="single"/>
                </w:rPr>
                <w:t>Risk Factors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11">
              <w:r>
                <w:rPr>
                  <w:rStyle w:val="InternetLink"/>
                  <w:rFonts w:ascii="Times New Roman;serif" w:hAnsi="Times New Roman;serif"/>
                  <w:b w:val="false"/>
                  <w:color w:val="3051F2"/>
                  <w:sz w:val="20"/>
                  <w:u w:val="single"/>
                </w:rPr>
                <w:t>47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35">
              <w:r>
                <w:rPr>
                  <w:rStyle w:val="InternetLink"/>
                  <w:rFonts w:ascii="Times New Roman;serif" w:hAnsi="Times New Roman;serif"/>
                  <w:b w:val="false"/>
                  <w:color w:val="3051F2"/>
                  <w:sz w:val="20"/>
                  <w:u w:val="single"/>
                </w:rPr>
                <w:t>Unregistered Sales of Equity Securities and Use of Proceeds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35">
              <w:r>
                <w:rPr>
                  <w:rStyle w:val="InternetLink"/>
                  <w:rFonts w:ascii="Times New Roman;serif" w:hAnsi="Times New Roman;serif"/>
                  <w:b w:val="false"/>
                  <w:color w:val="3051F2"/>
                  <w:sz w:val="20"/>
                  <w:u w:val="single"/>
                </w:rPr>
                <w:t>95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38">
              <w:r>
                <w:rPr>
                  <w:rStyle w:val="InternetLink"/>
                  <w:rFonts w:ascii="Times New Roman;serif" w:hAnsi="Times New Roman;serif"/>
                  <w:b w:val="false"/>
                  <w:color w:val="3051F2"/>
                  <w:sz w:val="20"/>
                  <w:u w:val="single"/>
                </w:rPr>
                <w:t>Defaults Upon Senior Securities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38">
              <w:r>
                <w:rPr>
                  <w:rStyle w:val="InternetLink"/>
                  <w:rFonts w:ascii="Times New Roman;serif" w:hAnsi="Times New Roman;serif"/>
                  <w:b w:val="false"/>
                  <w:color w:val="3051F2"/>
                  <w:sz w:val="20"/>
                  <w:u w:val="single"/>
                </w:rPr>
                <w:t>96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41">
              <w:r>
                <w:rPr>
                  <w:rStyle w:val="InternetLink"/>
                  <w:rFonts w:ascii="Times New Roman;serif" w:hAnsi="Times New Roman;serif"/>
                  <w:b w:val="false"/>
                  <w:color w:val="3051F2"/>
                  <w:sz w:val="20"/>
                  <w:u w:val="single"/>
                </w:rPr>
                <w:t>Mine Safety Disclosures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41">
              <w:r>
                <w:rPr>
                  <w:rStyle w:val="InternetLink"/>
                  <w:rFonts w:ascii="Times New Roman;serif" w:hAnsi="Times New Roman;serif"/>
                  <w:b w:val="false"/>
                  <w:color w:val="3051F2"/>
                  <w:sz w:val="20"/>
                  <w:u w:val="single"/>
                </w:rPr>
                <w:t>96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44">
              <w:r>
                <w:rPr>
                  <w:rStyle w:val="InternetLink"/>
                  <w:rFonts w:ascii="Times New Roman;serif" w:hAnsi="Times New Roman;serif"/>
                  <w:b w:val="false"/>
                  <w:color w:val="3051F2"/>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44">
              <w:r>
                <w:rPr>
                  <w:rStyle w:val="InternetLink"/>
                  <w:rFonts w:ascii="Times New Roman;serif" w:hAnsi="Times New Roman;serif"/>
                  <w:b w:val="false"/>
                  <w:color w:val="3051F2"/>
                  <w:sz w:val="20"/>
                  <w:u w:val="single"/>
                </w:rPr>
                <w:t>96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50">
              <w:r>
                <w:rPr>
                  <w:rStyle w:val="InternetLink"/>
                  <w:rFonts w:ascii="Times New Roman;serif" w:hAnsi="Times New Roman;serif"/>
                  <w:b w:val="false"/>
                  <w:color w:val="3051F2"/>
                  <w:sz w:val="20"/>
                  <w:u w:val="single"/>
                </w:rPr>
                <w:t>Exhibits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50">
              <w:r>
                <w:rPr>
                  <w:rStyle w:val="InternetLink"/>
                  <w:rFonts w:ascii="Times New Roman;serif" w:hAnsi="Times New Roman;serif"/>
                  <w:b w:val="false"/>
                  <w:color w:val="3051F2"/>
                  <w:sz w:val="20"/>
                  <w:u w:val="single"/>
                </w:rPr>
                <w:t>97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e78d38b2d14a58b34a2f9bcd46f83d_253">
              <w:r>
                <w:rPr>
                  <w:rStyle w:val="InternetLink"/>
                  <w:rFonts w:ascii="Times New Roman;serif" w:hAnsi="Times New Roman;serif"/>
                  <w:b w:val="false"/>
                  <w:color w:val="3051F2"/>
                  <w:sz w:val="20"/>
                  <w:u w:val="single"/>
                </w:rPr>
                <w:t>Signatures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abe78d38b2d14a58b34a2f9bcd46f83d_253">
              <w:r>
                <w:rPr>
                  <w:rStyle w:val="InternetLink"/>
                  <w:rFonts w:ascii="Times New Roman;serif" w:hAnsi="Times New Roman;serif"/>
                  <w:b w:val="false"/>
                  <w:color w:val="3051F2"/>
                  <w:sz w:val="20"/>
                  <w:u w:val="single"/>
                </w:rPr>
                <w:t>98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regarding our financial performance, including revenue, cost of revenue, gross profit, operating expenses, net income, and key metrics such as gross transaction value (“GTV”) and orders, and our ability to maintain or increase future profitability and generate profitable growth over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attract new customers and shoppers and maintain and/or increase engagement of existing customers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effectively manage our growth and plan for and execute growth strategies and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anticipated trends, growth rates, and challenges in our financial performance, key metrics, and business and in the markets in which we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and expand our relationships with retailers and brands and the effects of retailer consolidation;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continue to grow across our current markets and expand into new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increased competition in our markets and our ability to successfully compete with companies that are currently in, or may in the future enter, the markets in which we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estimated market opportunity;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timely and effectively scale and adapt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the safety, security, and availability of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expand or enhance our existing offerings and develop new products, offerings, features, and use cases, bring them to market in a timely manner, and whether retailers, customers, brands, shoppers, or other partners launch or utilize such products, offerings, features, and use cases in the manner and timing that we expect;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adapt to or utilize artificial intelligence (“AI”) and machine learning technologies as well as the use of such technologies by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protect, and enhance our brand and intellectual property;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identify, complete, and achieve anticipated business and financial benefits from acquisitions, strategic investments, collaborations, commercial arrangements, alliances or partnerships that complement and expand the functionality of Instacart and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prices and pricing methodologies and our expectations for the impact of pricing on our competitive position and our financial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and industry trends, including the impact on our business of trade policies enacted or proposed by the United States, such as tariffs or other trade restrictions, uncertainty related thereto, and responses by foreign governments to such policies, inflation, elevated interest rates, the effects of supply chain challenges, cessation of, interruptions to, or changes to government aid programs, heightened recession risk, and geopolitical conflicts;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defend litigation and government proceedings brought against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implications from any legislative, regulatory, judicial, administrative, or legal proceeding that changes our current relationship with shoppers, and the potential impacts on our business operations, our business model, fulfillment strategies,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comply or remain in compliance with laws and regulations that currently apply or become applicable to our business in the United States and internationally;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reliance on key personnel, our ability to attract, maintain, and retain management and skilled personnel;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concerning our relationships with third parties;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“we,” “us,” “our,” “our company,” and “Instacart” refer to Maplebear Inc. and its consolidated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(“SEC”), the investor relations page on our website, which is located at investors.instacart.com, our blog, which is located at www.instacart.com/company/blog,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extBody"/>
        <w:bidi w:val="0"/>
        <w:spacing w:lineRule="auto" w:line="288" w:before="0" w:after="6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 and per share amounts)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205" w:type="dxa"/>
        <w:jc w:val="left"/>
        <w:tblInd w:w="0" w:type="dxa"/>
        <w:tblLayout w:type="fixed"/>
        <w:tblCellMar>
          <w:top w:w="28" w:type="dxa"/>
          <w:left w:w="28" w:type="dxa"/>
          <w:bottom w:w="28" w:type="dxa"/>
          <w:right w:w="28" w:type="dxa"/>
        </w:tblCellMar>
      </w:tblPr>
      <w:tblGrid>
        <w:gridCol w:w="3123"/>
        <w:gridCol w:w="2443"/>
        <w:gridCol w:w="2441"/>
        <w:gridCol w:w="219"/>
        <w:gridCol w:w="622"/>
        <w:gridCol w:w="121"/>
        <w:gridCol w:w="109"/>
        <w:gridCol w:w="109"/>
        <w:gridCol w:w="109"/>
        <w:gridCol w:w="196"/>
        <w:gridCol w:w="556"/>
        <w:gridCol w:w="157"/>
      </w:tblGrid>
      <w:tr>
        <w:trPr/>
        <w:tc>
          <w:tcPr>
            <w:tcW w:w="312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March 31,</w:t>
            </w:r>
          </w:p>
        </w:tc>
      </w:tr>
      <w:tr>
        <w:trPr/>
        <w:tc>
          <w:tcPr>
            <w:tcW w:w="80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ASSETS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Short-term marketable securities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of $3 and $2, respectively</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Long-term marketable securities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noncurrent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6"/>
              </w:rPr>
            </w:pPr>
            <w:r>
              <w:rPr>
                <w:rFonts w:ascii="Times New Roman;serif" w:hAnsi="Times New Roman;serif"/>
                <w:b/>
                <w:color w:val="000000"/>
                <w:sz w:val="16"/>
              </w:rPr>
              <w:t>LIABILITIES, REDEEMABLE CONVERTIBLE PREFERRED STOCK, AND STOCKHOLDERS’ EQUITY</w:t>
            </w:r>
          </w:p>
        </w:tc>
        <w:tc>
          <w:tcPr>
            <w:tcW w:w="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10)</w:t>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Series A redeemable convertible preferred stock; $0.0001 par value per share; 5,833 shares authorized, issued, and outstanding as of December 31, 2025 and March 31, 2026</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24,167 shares authorized as of December 31, 2025 and March 31, 2026; zero shares issued and outstanding as of December 31, 2025 and March 31, 2026</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 2,000,000 shares authorized as of December 31, 2025 and March 31, 2026; 242,867 and 236,710 shares issued and outstanding as of December 31, 2025 and March 31, 2026, respectively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convertible preferred stock, and stockholders’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0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OPERATIONS</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 and per share amounts)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p>
      <w:pPr>
        <w:pStyle w:val="TextBody"/>
        <w:bidi w:val="0"/>
        <w:spacing w:before="10" w:after="283"/>
        <w:jc w:val="center"/>
        <w:rPr/>
      </w:pPr>
      <w:r>
        <w:rPr/>
      </w:r>
    </w:p>
    <w:tbl>
      <w:tblPr>
        <w:tblW w:w="10167" w:type="dxa"/>
        <w:jc w:val="left"/>
        <w:tblInd w:w="0" w:type="dxa"/>
        <w:tblLayout w:type="fixed"/>
        <w:tblCellMar>
          <w:top w:w="28" w:type="dxa"/>
          <w:left w:w="28" w:type="dxa"/>
          <w:bottom w:w="28" w:type="dxa"/>
          <w:right w:w="28" w:type="dxa"/>
        </w:tblCellMar>
      </w:tblPr>
      <w:tblGrid>
        <w:gridCol w:w="2642"/>
        <w:gridCol w:w="2313"/>
        <w:gridCol w:w="2334"/>
        <w:gridCol w:w="240"/>
        <w:gridCol w:w="571"/>
        <w:gridCol w:w="133"/>
        <w:gridCol w:w="133"/>
        <w:gridCol w:w="133"/>
        <w:gridCol w:w="133"/>
        <w:gridCol w:w="240"/>
        <w:gridCol w:w="681"/>
        <w:gridCol w:w="133"/>
        <w:gridCol w:w="109"/>
        <w:gridCol w:w="109"/>
        <w:gridCol w:w="109"/>
        <w:gridCol w:w="154"/>
      </w:tblGrid>
      <w:tr>
        <w:trPr/>
        <w:tc>
          <w:tcPr>
            <w:tcW w:w="2642"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Accretion related to Series A redeemable convertible preferred stock</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basic</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Accretion related to Series A redeemable convertible preferred stock</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diluted</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 per share attributable to common stockholders:</w:t>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0.37 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computing net income per share attributable to common stockholders:</w:t>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262,432 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239,273 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277,193 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253,597 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COMPREHENSIVE INCOME</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(unaudited)</w:t>
      </w:r>
    </w:p>
    <w:p>
      <w:pPr>
        <w:pStyle w:val="TextBody"/>
        <w:bidi w:val="0"/>
        <w:spacing w:before="0" w:after="0"/>
        <w:jc w:val="center"/>
        <w:rPr/>
      </w:pPr>
      <w:r>
        <w:rPr/>
      </w:r>
    </w:p>
    <w:tbl>
      <w:tblPr>
        <w:tblW w:w="6540" w:type="dxa"/>
        <w:jc w:val="left"/>
        <w:tblInd w:w="0" w:type="dxa"/>
        <w:tblLayout w:type="fixed"/>
        <w:tblCellMar>
          <w:top w:w="28" w:type="dxa"/>
          <w:left w:w="28" w:type="dxa"/>
          <w:bottom w:w="28" w:type="dxa"/>
          <w:right w:w="28" w:type="dxa"/>
        </w:tblCellMar>
      </w:tblPr>
      <w:tblGrid>
        <w:gridCol w:w="1322"/>
        <w:gridCol w:w="1166"/>
        <w:gridCol w:w="1172"/>
        <w:gridCol w:w="264"/>
        <w:gridCol w:w="568"/>
        <w:gridCol w:w="147"/>
        <w:gridCol w:w="147"/>
        <w:gridCol w:w="147"/>
        <w:gridCol w:w="147"/>
        <w:gridCol w:w="264"/>
        <w:gridCol w:w="568"/>
        <w:gridCol w:w="147"/>
        <w:gridCol w:w="109"/>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23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other comprehensive loss</w:t>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1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REDEEMABLE CONVERTIBLE PREFERRED STOCK AND STOCKHOLDERS’ EQUITY</w:t>
      </w:r>
    </w:p>
    <w:p>
      <w:pPr>
        <w:pStyle w:val="TextBody"/>
        <w:bidi w:val="0"/>
        <w:spacing w:lineRule="auto" w:line="268" w:before="0" w:after="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884" w:type="dxa"/>
        <w:jc w:val="center"/>
        <w:tblInd w:w="0" w:type="dxa"/>
        <w:tblLayout w:type="fixed"/>
        <w:tblCellMar>
          <w:top w:w="28" w:type="dxa"/>
          <w:left w:w="28" w:type="dxa"/>
          <w:bottom w:w="28" w:type="dxa"/>
          <w:right w:w="28" w:type="dxa"/>
        </w:tblCellMar>
      </w:tblPr>
      <w:tblGrid>
        <w:gridCol w:w="544"/>
        <w:gridCol w:w="268"/>
        <w:gridCol w:w="269"/>
        <w:gridCol w:w="292"/>
        <w:gridCol w:w="264"/>
        <w:gridCol w:w="109"/>
        <w:gridCol w:w="109"/>
        <w:gridCol w:w="109"/>
        <w:gridCol w:w="109"/>
        <w:gridCol w:w="196"/>
        <w:gridCol w:w="421"/>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424"/>
        <w:gridCol w:w="554"/>
        <w:gridCol w:w="238"/>
        <w:gridCol w:w="109"/>
        <w:gridCol w:w="109"/>
        <w:gridCol w:w="109"/>
        <w:gridCol w:w="235"/>
        <w:gridCol w:w="685"/>
        <w:gridCol w:w="131"/>
        <w:gridCol w:w="109"/>
        <w:gridCol w:w="109"/>
        <w:gridCol w:w="109"/>
        <w:gridCol w:w="196"/>
        <w:gridCol w:w="556"/>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260,964 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(3,585)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262,517 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6,758 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(3,573)</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REDEEMABLE CONVERTIBLE PREFERRED STOCK AND STOCKHOLDERS’ EQUITY, CONTINUED</w:t>
      </w:r>
    </w:p>
    <w:p>
      <w:pPr>
        <w:pStyle w:val="TextBody"/>
        <w:bidi w:val="0"/>
        <w:spacing w:lineRule="auto" w:line="268" w:before="0" w:after="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775" w:type="dxa"/>
        <w:jc w:val="center"/>
        <w:tblInd w:w="0" w:type="dxa"/>
        <w:tblLayout w:type="fixed"/>
        <w:tblCellMar>
          <w:top w:w="28" w:type="dxa"/>
          <w:left w:w="28" w:type="dxa"/>
          <w:bottom w:w="28" w:type="dxa"/>
          <w:right w:w="28" w:type="dxa"/>
        </w:tblCellMar>
      </w:tblPr>
      <w:tblGrid>
        <w:gridCol w:w="544"/>
        <w:gridCol w:w="268"/>
        <w:gridCol w:w="269"/>
        <w:gridCol w:w="292"/>
        <w:gridCol w:w="264"/>
        <w:gridCol w:w="109"/>
        <w:gridCol w:w="109"/>
        <w:gridCol w:w="109"/>
        <w:gridCol w:w="109"/>
        <w:gridCol w:w="196"/>
        <w:gridCol w:w="421"/>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424"/>
        <w:gridCol w:w="554"/>
        <w:gridCol w:w="238"/>
        <w:gridCol w:w="109"/>
        <w:gridCol w:w="109"/>
        <w:gridCol w:w="109"/>
        <w:gridCol w:w="235"/>
        <w:gridCol w:w="685"/>
        <w:gridCol w:w="131"/>
        <w:gridCol w:w="109"/>
        <w:gridCol w:w="109"/>
        <w:gridCol w:w="109"/>
        <w:gridCol w:w="196"/>
        <w:gridCol w:w="55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242,867 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(4,486)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6"/>
              </w:rPr>
              <w:t xml:space="preserve">Repurchase and retirement of common stock </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(9,375)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236,710 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completion of the Company’s accelerated share repurchase agreement (the “ASR Agreement”). Refer to Note 12 — Stockholders’ Equity for further discussion.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(unaudited)</w:t>
      </w:r>
    </w:p>
    <w:tbl>
      <w:tblPr>
        <w:tblW w:w="9058" w:type="dxa"/>
        <w:jc w:val="left"/>
        <w:tblInd w:w="0" w:type="dxa"/>
        <w:tblLayout w:type="fixed"/>
        <w:tblCellMar>
          <w:top w:w="28" w:type="dxa"/>
          <w:left w:w="28" w:type="dxa"/>
          <w:bottom w:w="28" w:type="dxa"/>
          <w:right w:w="28" w:type="dxa"/>
        </w:tblCellMar>
      </w:tblPr>
      <w:tblGrid>
        <w:gridCol w:w="2397"/>
        <w:gridCol w:w="2103"/>
        <w:gridCol w:w="2115"/>
        <w:gridCol w:w="244"/>
        <w:gridCol w:w="694"/>
        <w:gridCol w:w="136"/>
        <w:gridCol w:w="136"/>
        <w:gridCol w:w="136"/>
        <w:gridCol w:w="136"/>
        <w:gridCol w:w="244"/>
        <w:gridCol w:w="525"/>
        <w:gridCol w:w="192"/>
      </w:tblGrid>
      <w:tr>
        <w:trPr/>
        <w:tc>
          <w:tcPr>
            <w:tcW w:w="239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Impairments of long-lived assets and other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Provision for bad debts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including capitalized internal-use software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advances from payment card issuer</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Effect of foreign exchange on cash, cash equivalents, and restricted cash and cash equivalents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 and cash equivalents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and cash equivalents -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and cash equivalents - end of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24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 CONTINUED</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97" w:before="10" w:after="283"/>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5"/>
        <w:gridCol w:w="2541"/>
        <w:gridCol w:w="2546"/>
        <w:gridCol w:w="223"/>
        <w:gridCol w:w="633"/>
        <w:gridCol w:w="124"/>
        <w:gridCol w:w="124"/>
        <w:gridCol w:w="124"/>
        <w:gridCol w:w="124"/>
        <w:gridCol w:w="223"/>
        <w:gridCol w:w="479"/>
        <w:gridCol w:w="179"/>
      </w:tblGrid>
      <w:tr>
        <w:trPr/>
        <w:tc>
          <w:tcPr>
            <w:tcW w:w="2885"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2233" w:type="dxa"/>
            <w:gridSpan w:val="9"/>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paid (received) for income taxes, net</w:t>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capitalized as internal-use software</w:t>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AND CASH EQUIVALENTS TO THE CONDENSED CONSOLIDATED BALANCE SHEETS</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current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noncurrent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and cash equivalents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Business</w:t>
            </w:r>
          </w:p>
        </w:tc>
      </w:tr>
    </w:tbl>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Description of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Maplebear Inc., doing business as (“DBA”) Instacart (the “Company”), was incorporated in Delaware on August 3, 2012 and is headquartered in San Francisco, California. The Company is a diversified technology business that operates a technology platform that enables connections and transactions primarily among retailers, end users, advertisers, and shoppers largely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for a percentage of the total purchase value from the sale of goods, on a fee per transaction basis, or some combination thereof. Advertisers have the opportunity to purchase Sponsored Product ads, display ads, coupons, and a variety of other online advertising services. Shoppers, who are independent contractors, pick and deliver orders using the Company’s technology platform for fulfillment or delivery service opportunities primarily on a fee per batch basis. The Company also sells software-as-a-service offerings primarily targeted at retailers and charges fees for such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12"/>
        <w:gridCol w:w="812"/>
        <w:gridCol w:w="11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Significant Accounting Policies</w:t>
            </w:r>
          </w:p>
        </w:tc>
      </w:tr>
    </w:tbl>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Basis of Presentation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2025, which can be found in the Company’s Annual Report on Form 10-K. In management’s opinion, the unaudited interim condensed consolidated financial statements have been prepared on the same basis as the annual financial statements and reflect all adjustments, which include only normal recurring adjustments necessary for the fair statement of the condensed consolidated financial statements. The condensed consolidated balance sheet as of December 31, 2025 has been derived from the audited financial statements at that date but does not include all of the disclosures required by GAAP.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after elimination of all intercompany accounts and transactions. The condensed consolidated financial statements reflect all adjustments and reclassifications that, in the opinion of management, are necessary for the fair presentation of the Company’s results of operations and financial condition as of and for the periods presented. The results for the interim periods are not necessarily indicative of the results to be expected for the full year or any other future interim or annual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significant accounting policies described in the Company’s Annual Report on Form 10-K for the year ended December 31, 2025 that have had a material impact on the condensed consolidated financial statements and related notes.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Rounding</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Amounts presented in the condensed consolidated financial statements and accompanying footnotes have been rounded based on their actual values, including totals and subtotals. As a result, totals and subtotals may not equal the sum of individual line items shown. All underlying calculations, including percentages, are based on unrounded amounts.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Use of Estimates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judgments, estimates, and assumptions that affect the reported amounts of assets and liabilities and disclosure of contingent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legal and other loss contingencies, and (iii) income taxes. The Company determines its estimates and judgments based on historical experience and on various other assumptions that it believes are reasonable under the circumstances. However, actual results could differ from these estimates, and these differences may be material to the condensed consolidated financial statements. </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the impacts of macroeconomic trends affecting the Company’s markets and industry and consumer shopping habits, such as inflation and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its impact on consumer behavior, and the effects of severe weather patterns on the assumptions and inputs supporting certain of the Company’s estimates, assumptions, and judgments. The level of uncertainties and volatility in the global financial markets and economies, as well as the uncertainties related to these macroeconomic factors, geopolitical environment, and their effects on the Company’s operations and financial performance, means that these estimates may change in future periods as new events occur and additional information is obtained.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the exception of those discussed below, the Company reviewed all recently issued accounting pronouncements and concluded they were either not applicable or not expected to have a material impact to the Company’s consolidated financial statements or accompanying footnotes.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which requires disaggregated information about certain income statement expense line items on an annual and interim basis. The standard is effective for fiscal years beginning after December 15, 2026 and interim periods within fiscal years beginning after December 15, 2027, as clarified by ASU 2025-01,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Early adoption is permitted and can be applied prospectively or retrospectively. The Company is currently evaluating the impact this standard will have on the consolidated financial statements and accompanying footnotes.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which provides updated guidance on the capitalization of internal-use software costs. The standard is effective for annual reporting periods beginning after December 15, 2027, including interim periods within those annual periods. Early adoption is permitted and can be applied prospectively or retrospectively. The Company is currently evaluating the impact this standard will have on the consolidated financial statements and accompanying footnotes.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Revenue</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pStyle w:val="TextBody"/>
        <w:bidi w:val="0"/>
        <w:spacing w:before="0" w:after="2"/>
        <w:jc w:val="both"/>
        <w:rPr/>
      </w:pPr>
      <w:r>
        <w:rPr/>
      </w:r>
    </w:p>
    <w:tbl>
      <w:tblPr>
        <w:tblW w:w="4540" w:type="dxa"/>
        <w:jc w:val="left"/>
        <w:tblInd w:w="0" w:type="dxa"/>
        <w:tblLayout w:type="fixed"/>
        <w:tblCellMar>
          <w:top w:w="28" w:type="dxa"/>
          <w:left w:w="28" w:type="dxa"/>
          <w:bottom w:w="28" w:type="dxa"/>
          <w:right w:w="28" w:type="dxa"/>
        </w:tblCellMar>
      </w:tblPr>
      <w:tblGrid>
        <w:gridCol w:w="601"/>
        <w:gridCol w:w="528"/>
        <w:gridCol w:w="535"/>
        <w:gridCol w:w="245"/>
        <w:gridCol w:w="528"/>
        <w:gridCol w:w="136"/>
        <w:gridCol w:w="136"/>
        <w:gridCol w:w="136"/>
        <w:gridCol w:w="136"/>
        <w:gridCol w:w="245"/>
        <w:gridCol w:w="697"/>
        <w:gridCol w:w="136"/>
        <w:gridCol w:w="109"/>
        <w:gridCol w:w="109"/>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Transaction</w:t>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Advertising and other</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by geographic areas based on bill-to location was as follows:</w:t>
      </w:r>
    </w:p>
    <w:tbl>
      <w:tblPr>
        <w:tblW w:w="4076" w:type="dxa"/>
        <w:jc w:val="left"/>
        <w:tblInd w:w="0" w:type="dxa"/>
        <w:tblLayout w:type="fixed"/>
        <w:tblCellMar>
          <w:top w:w="28" w:type="dxa"/>
          <w:left w:w="28" w:type="dxa"/>
          <w:bottom w:w="28" w:type="dxa"/>
          <w:right w:w="28" w:type="dxa"/>
        </w:tblCellMar>
      </w:tblPr>
      <w:tblGrid>
        <w:gridCol w:w="433"/>
        <w:gridCol w:w="381"/>
        <w:gridCol w:w="386"/>
        <w:gridCol w:w="245"/>
        <w:gridCol w:w="528"/>
        <w:gridCol w:w="136"/>
        <w:gridCol w:w="136"/>
        <w:gridCol w:w="136"/>
        <w:gridCol w:w="136"/>
        <w:gridCol w:w="245"/>
        <w:gridCol w:w="697"/>
        <w:gridCol w:w="136"/>
        <w:gridCol w:w="109"/>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International </w:t>
            </w:r>
            <w:r>
              <w:rPr>
                <w:rFonts w:ascii="Times New Roman;serif" w:hAnsi="Times New Roman;serif"/>
                <w:b w:val="false"/>
                <w:color w:val="000000"/>
                <w:sz w:val="12"/>
              </w:rPr>
              <w:t>(1)</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68" w:before="0" w:after="36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No individual international country represented 10% or more of the Company’s total revenue for the three months ended March 31, 2025 or 2026.</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 which is a contract liability, when the Company receives customer payments in advance of the performance obligations being satisfied on the Company’s contracts. Deferred revenue primarily consists of balances related to Instacart+ memberships. Substantially all of the Company’s deferred revenue as of December 31, 2025 and March 31, 2026 is expected to be recognized within a year. For the three months ended March 31, 2025 and 2026, the Company recognized revenue of $89 million and $94 million, respectively, from the deferred revenue balance as of December 31, 2024 and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contract assets as of December 31, 2025 or March 31, 2026.</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customers accounted for 10% or more of the Company’s accounts receivable:</w:t>
      </w:r>
    </w:p>
    <w:p>
      <w:pPr>
        <w:pStyle w:val="TextBody"/>
        <w:bidi w:val="0"/>
        <w:spacing w:before="0" w:after="0"/>
        <w:jc w:val="both"/>
        <w:rPr/>
      </w:pPr>
      <w:r>
        <w:rPr/>
      </w:r>
    </w:p>
    <w:tbl>
      <w:tblPr>
        <w:tblW w:w="3311" w:type="dxa"/>
        <w:jc w:val="left"/>
        <w:tblInd w:w="0" w:type="dxa"/>
        <w:tblLayout w:type="fixed"/>
        <w:tblCellMar>
          <w:top w:w="28" w:type="dxa"/>
          <w:left w:w="28" w:type="dxa"/>
          <w:bottom w:w="28" w:type="dxa"/>
          <w:right w:w="28" w:type="dxa"/>
        </w:tblCellMar>
      </w:tblPr>
      <w:tblGrid>
        <w:gridCol w:w="359"/>
        <w:gridCol w:w="315"/>
        <w:gridCol w:w="316"/>
        <w:gridCol w:w="250"/>
        <w:gridCol w:w="250"/>
        <w:gridCol w:w="594"/>
        <w:gridCol w:w="109"/>
        <w:gridCol w:w="109"/>
        <w:gridCol w:w="109"/>
        <w:gridCol w:w="188"/>
        <w:gridCol w:w="188"/>
        <w:gridCol w:w="52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March 31,</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3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Fair Value Measurements</w:t>
            </w:r>
          </w:p>
        </w:tc>
      </w:tr>
    </w:tbl>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tables summarize assets and liabilities that are measured at fair value on a recurring basis, by level, within the fair value hierarchy:</w:t>
      </w:r>
    </w:p>
    <w:tbl>
      <w:tblPr>
        <w:tblW w:w="8024" w:type="dxa"/>
        <w:jc w:val="left"/>
        <w:tblInd w:w="0" w:type="dxa"/>
        <w:tblLayout w:type="fixed"/>
        <w:tblCellMar>
          <w:top w:w="28" w:type="dxa"/>
          <w:left w:w="28" w:type="dxa"/>
          <w:bottom w:w="28" w:type="dxa"/>
          <w:right w:w="28" w:type="dxa"/>
        </w:tblCellMar>
      </w:tblPr>
      <w:tblGrid>
        <w:gridCol w:w="1490"/>
        <w:gridCol w:w="1306"/>
        <w:gridCol w:w="1313"/>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39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109"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Long-term marketable securities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25" w:type="dxa"/>
        <w:jc w:val="left"/>
        <w:tblInd w:w="0" w:type="dxa"/>
        <w:tblLayout w:type="fixed"/>
        <w:tblCellMar>
          <w:top w:w="28" w:type="dxa"/>
          <w:left w:w="28" w:type="dxa"/>
          <w:bottom w:w="28" w:type="dxa"/>
          <w:right w:w="28" w:type="dxa"/>
        </w:tblCellMar>
      </w:tblPr>
      <w:tblGrid>
        <w:gridCol w:w="1490"/>
        <w:gridCol w:w="1306"/>
        <w:gridCol w:w="1314"/>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39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411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Long-term marketable securities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long-term marketable securities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Company’s investments in commercial paper, U.S. government and government agency debt securities, and corporate debt securities are classified as Level 2 within the fair value hierarchy because they are valued using 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Series A redeemable convertible preferred stock that was issued during the </w:t>
      </w:r>
      <w:r>
        <w:rPr>
          <w:rFonts w:ascii="Times New Roman;serif" w:hAnsi="Times New Roman;serif"/>
          <w:b w:val="false"/>
          <w:color w:val="000000"/>
          <w:sz w:val="20"/>
        </w:rPr>
        <w:t>year ended December 31, 2023</w:t>
      </w:r>
      <w:r>
        <w:rPr>
          <w:color w:val="231F20"/>
        </w:rPr>
        <w:t xml:space="preserve"> </w:t>
      </w:r>
      <w:r>
        <w:rPr>
          <w:rFonts w:ascii="Times New Roman;serif" w:hAnsi="Times New Roman;serif"/>
          <w:b w:val="false"/>
          <w:color w:val="231F20"/>
          <w:sz w:val="20"/>
        </w:rPr>
        <w:t>represented a non-recurring Level 3 financial measurement at issuance. Refer to Note 11 — Redeemable Convertible Preferred Stock for further information.</w:t>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There were </w:t>
      </w:r>
      <w:r>
        <w:rPr>
          <w:rFonts w:ascii="Times New Roman;serif" w:hAnsi="Times New Roman;serif"/>
          <w:b w:val="false"/>
          <w:color w:val="000000"/>
          <w:sz w:val="20"/>
        </w:rPr>
        <w:t>no transfers</w:t>
      </w:r>
      <w:r>
        <w:rPr>
          <w:color w:val="231F20"/>
        </w:rPr>
        <w:t xml:space="preserve"> </w:t>
      </w:r>
      <w:r>
        <w:rPr>
          <w:rFonts w:ascii="Times New Roman;serif" w:hAnsi="Times New Roman;serif"/>
          <w:b w:val="false"/>
          <w:color w:val="231F20"/>
          <w:sz w:val="20"/>
        </w:rPr>
        <w:t xml:space="preserve">of financial instruments between Level 1, Level 2, and Level 3 for the </w:t>
      </w:r>
      <w:r>
        <w:rPr>
          <w:rFonts w:ascii="Times New Roman;serif" w:hAnsi="Times New Roman;serif"/>
          <w:b w:val="false"/>
          <w:color w:val="000000"/>
          <w:sz w:val="20"/>
        </w:rPr>
        <w:t>three months ended March 31, 2025 or 2026</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8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8"/>
        <w:gridCol w:w="338"/>
        <w:gridCol w:w="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Investments</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For purposes of computing realized gains and losses, the cost of investments sold is based on the specific-identification method. The gross unrealized gains and losses related to the Company’s available-for-sale debt securities </w:t>
      </w:r>
      <w:r>
        <w:rPr>
          <w:rFonts w:ascii="Times New Roman;serif" w:hAnsi="Times New Roman;serif"/>
          <w:b w:val="false"/>
          <w:color w:val="231F20"/>
          <w:sz w:val="20"/>
        </w:rPr>
        <w:t>as of 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March 31, 2026 were immaterial</w:t>
      </w:r>
      <w:r>
        <w:rPr>
          <w:rFonts w:ascii="Times New Roman;serif" w:hAnsi="Times New Roman;serif"/>
          <w:b w:val="false"/>
          <w:color w:val="000000"/>
          <w:sz w:val="20"/>
        </w:rPr>
        <w:t>.</w:t>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amortized cost and fair value of the Company’s available-for-sale debt securities with a stated maturity date:</w:t>
      </w:r>
    </w:p>
    <w:tbl>
      <w:tblPr>
        <w:tblW w:w="7385" w:type="dxa"/>
        <w:jc w:val="left"/>
        <w:tblInd w:w="0" w:type="dxa"/>
        <w:tblLayout w:type="fixed"/>
        <w:tblCellMar>
          <w:top w:w="28" w:type="dxa"/>
          <w:left w:w="28" w:type="dxa"/>
          <w:bottom w:w="28" w:type="dxa"/>
          <w:right w:w="28" w:type="dxa"/>
        </w:tblCellMar>
      </w:tblPr>
      <w:tblGrid>
        <w:gridCol w:w="758"/>
        <w:gridCol w:w="667"/>
        <w:gridCol w:w="675"/>
        <w:gridCol w:w="336"/>
        <w:gridCol w:w="722"/>
        <w:gridCol w:w="187"/>
        <w:gridCol w:w="109"/>
        <w:gridCol w:w="109"/>
        <w:gridCol w:w="109"/>
        <w:gridCol w:w="239"/>
        <w:gridCol w:w="513"/>
        <w:gridCol w:w="133"/>
        <w:gridCol w:w="109"/>
        <w:gridCol w:w="109"/>
        <w:gridCol w:w="109"/>
        <w:gridCol w:w="336"/>
        <w:gridCol w:w="722"/>
        <w:gridCol w:w="187"/>
        <w:gridCol w:w="109"/>
        <w:gridCol w:w="109"/>
        <w:gridCol w:w="109"/>
        <w:gridCol w:w="236"/>
        <w:gridCol w:w="508"/>
        <w:gridCol w:w="18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 March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0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ind w:left="0" w:right="0" w:hanging="288"/>
              <w:jc w:val="center"/>
              <w:rPr/>
            </w:pPr>
            <w:r>
              <w:rPr/>
            </w:r>
          </w:p>
        </w:tc>
        <w:tc>
          <w:tcPr>
            <w:tcW w:w="52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One year through five years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7"/>
        <w:gridCol w:w="767"/>
        <w:gridCol w:w="1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Property and Equipment, Net</w:t>
            </w:r>
          </w:p>
        </w:tc>
      </w:tr>
    </w:tbl>
    <w:p>
      <w:pPr>
        <w:pStyle w:val="TextBody"/>
        <w:bidi w:val="0"/>
        <w:spacing w:lineRule="auto" w:line="271" w:before="0" w:after="24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Property and equipment, net of accumulated depreciation and amortization, consisted of the following:</w:t>
      </w:r>
    </w:p>
    <w:tbl>
      <w:tblPr>
        <w:tblW w:w="7882" w:type="dxa"/>
        <w:jc w:val="left"/>
        <w:tblInd w:w="0" w:type="dxa"/>
        <w:tblLayout w:type="fixed"/>
        <w:tblCellMar>
          <w:top w:w="28" w:type="dxa"/>
          <w:left w:w="28" w:type="dxa"/>
          <w:bottom w:w="28" w:type="dxa"/>
          <w:right w:w="28" w:type="dxa"/>
        </w:tblCellMar>
      </w:tblPr>
      <w:tblGrid>
        <w:gridCol w:w="1298"/>
        <w:gridCol w:w="1139"/>
        <w:gridCol w:w="1148"/>
        <w:gridCol w:w="549"/>
        <w:gridCol w:w="549"/>
        <w:gridCol w:w="551"/>
        <w:gridCol w:w="109"/>
        <w:gridCol w:w="109"/>
        <w:gridCol w:w="109"/>
        <w:gridCol w:w="294"/>
        <w:gridCol w:w="634"/>
        <w:gridCol w:w="167"/>
        <w:gridCol w:w="109"/>
        <w:gridCol w:w="109"/>
        <w:gridCol w:w="109"/>
        <w:gridCol w:w="229"/>
        <w:gridCol w:w="491"/>
        <w:gridCol w:w="179"/>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March 31,</w:t>
            </w:r>
          </w:p>
        </w:tc>
      </w:tr>
      <w:tr>
        <w:trPr/>
        <w:tc>
          <w:tcPr>
            <w:tcW w:w="35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Computer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231F20"/>
                <w:sz w:val="18"/>
              </w:rPr>
            </w:pPr>
            <w:r>
              <w:rPr>
                <w:rFonts w:ascii="Times New Roman;serif" w:hAnsi="Times New Roman;serif"/>
                <w:b w:val="false"/>
                <w:color w:val="231F2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364 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the Company’s property and equipment was $2 million and $1 million for the three months ended March 31, 2025 and 2026, respectively. Amortization expense related to the Company’s internal-use software, which is primarily recorded within cost of revenue in the condensed consolidated statements of operations, was $11 million and $22 million for the three months ended March 31, 2025 and 2026, respectively.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and 2026, the Company capitalized $26 million and $24 million of internal-use software costs,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long-lived assets, consisting of property and equipment and operating lease right-of-use assets, net of accumulated depreciation and amortization, by geographic area:</w:t>
      </w:r>
    </w:p>
    <w:p>
      <w:pPr>
        <w:pStyle w:val="TextBody"/>
        <w:bidi w:val="0"/>
        <w:spacing w:before="0" w:after="0"/>
        <w:jc w:val="both"/>
        <w:rPr/>
      </w:pPr>
      <w:r>
        <w:rPr/>
      </w:r>
    </w:p>
    <w:tbl>
      <w:tblPr>
        <w:tblW w:w="4330" w:type="dxa"/>
        <w:jc w:val="left"/>
        <w:tblInd w:w="0" w:type="dxa"/>
        <w:tblLayout w:type="fixed"/>
        <w:tblCellMar>
          <w:top w:w="28" w:type="dxa"/>
          <w:left w:w="28" w:type="dxa"/>
          <w:bottom w:w="28" w:type="dxa"/>
          <w:right w:w="28" w:type="dxa"/>
        </w:tblCellMar>
      </w:tblPr>
      <w:tblGrid>
        <w:gridCol w:w="725"/>
        <w:gridCol w:w="638"/>
        <w:gridCol w:w="646"/>
        <w:gridCol w:w="294"/>
        <w:gridCol w:w="634"/>
        <w:gridCol w:w="167"/>
        <w:gridCol w:w="109"/>
        <w:gridCol w:w="109"/>
        <w:gridCol w:w="109"/>
        <w:gridCol w:w="229"/>
        <w:gridCol w:w="491"/>
        <w:gridCol w:w="179"/>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March 31,</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long-lived assets, net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attributed to the United States, Canada, and other international geographies are based on the country in which the asset is 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Business Combinations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 of Marlin9 Holdings, Inc.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pursuant to a Stock Purchase Agreement, the Company acquired a 100% ownership interest in Marlin9 Holdings, Inc. which operates as Wynshop (“Wynshop”), a provider of ecommerce retail solutions for grocers and retailers. The acquisition builds upon the Company’s relationships with retail partners and reinforces the Company’s continued commitment to providing retailers with cutting-edge tools and technologies that help drive their business growth.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$106 million in cash. The Company has accounted for this acquisition as a business combination. The following table summarizes the fair value of assets acquired and liabilities assumed as of the date of acquisition:</w:t>
      </w:r>
    </w:p>
    <w:p>
      <w:pPr>
        <w:pStyle w:val="TextBody"/>
        <w:bidi w:val="0"/>
        <w:spacing w:before="0" w:after="0"/>
        <w:jc w:val="left"/>
        <w:rPr/>
      </w:pPr>
      <w:r>
        <w:rPr/>
      </w:r>
    </w:p>
    <w:tbl>
      <w:tblPr>
        <w:tblW w:w="2820" w:type="dxa"/>
        <w:jc w:val="center"/>
        <w:tblInd w:w="0" w:type="dxa"/>
        <w:tblLayout w:type="fixed"/>
        <w:tblCellMar>
          <w:top w:w="28" w:type="dxa"/>
          <w:left w:w="28" w:type="dxa"/>
          <w:bottom w:w="28" w:type="dxa"/>
          <w:right w:w="28" w:type="dxa"/>
        </w:tblCellMar>
      </w:tblPr>
      <w:tblGrid>
        <w:gridCol w:w="657"/>
        <w:gridCol w:w="576"/>
        <w:gridCol w:w="582"/>
        <w:gridCol w:w="255"/>
        <w:gridCol w:w="550"/>
        <w:gridCol w:w="200"/>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 assumed</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Acquisition-related expenses were immaterial and expensed as incurred and included within general and administrative expense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preliminary fair value of identified intangible assets and their respective useful lives as at the time of acquisition were as follows:</w:t>
      </w:r>
    </w:p>
    <w:p>
      <w:pPr>
        <w:pStyle w:val="TextBody"/>
        <w:bidi w:val="0"/>
        <w:spacing w:before="0" w:after="0"/>
        <w:jc w:val="both"/>
        <w:rPr/>
      </w:pPr>
      <w:r>
        <w:rPr/>
      </w:r>
    </w:p>
    <w:tbl>
      <w:tblPr>
        <w:tblW w:w="5379" w:type="dxa"/>
        <w:jc w:val="left"/>
        <w:tblInd w:w="0" w:type="dxa"/>
        <w:tblLayout w:type="fixed"/>
        <w:tblCellMar>
          <w:top w:w="28" w:type="dxa"/>
          <w:left w:w="28" w:type="dxa"/>
          <w:bottom w:w="28" w:type="dxa"/>
          <w:right w:w="28" w:type="dxa"/>
        </w:tblCellMar>
      </w:tblPr>
      <w:tblGrid>
        <w:gridCol w:w="636"/>
        <w:gridCol w:w="558"/>
        <w:gridCol w:w="560"/>
        <w:gridCol w:w="294"/>
        <w:gridCol w:w="499"/>
        <w:gridCol w:w="166"/>
        <w:gridCol w:w="109"/>
        <w:gridCol w:w="109"/>
        <w:gridCol w:w="109"/>
        <w:gridCol w:w="685"/>
        <w:gridCol w:w="685"/>
        <w:gridCol w:w="969"/>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Weighted-Average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Trademark</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weighted-average useful life of the identified amortizable intangible assets at the time of acquisition was ten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the customer relationships, developed technology, and trademark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customer attrition, customer base and growth rates, and discount rates.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accounting for the acquisition is considered preliminary with respect to certain assets acquired and liabilities assumed. Additionally, deferred tax assets and liabilities and purchase consideration may be adjusted as the Company continues to gather and evaluate information about circumstances that existed as of the acquisition date. The Company expects to complete the purchase price allocation as soon as practicable, but no later than one year from the acquisition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the business combination have been included in the Company’s condensed consolidated financial statements from the date of acquisition. Wynshop’s results of operations for periods prior to the acquisition were immaterial to the Company’s condensed consolidated statements of operations and, accordingly, historical and pro forma disclosures have not been presented.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18"/>
        <w:gridCol w:w="918"/>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Goodwill and Intangible Assets, Net</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 changes in the carrying amount of goodwill for the </w:t>
      </w:r>
      <w:r>
        <w:rPr>
          <w:rFonts w:ascii="Times New Roman;serif" w:hAnsi="Times New Roman;serif"/>
          <w:b w:val="false"/>
          <w:color w:val="000000"/>
          <w:sz w:val="20"/>
        </w:rPr>
        <w:t>three months ended March 31, 2026</w:t>
      </w:r>
      <w:r>
        <w:rPr>
          <w:color w:val="231F20"/>
        </w:rPr>
        <w:t xml:space="preserve"> </w:t>
      </w:r>
      <w:r>
        <w:rPr>
          <w:rFonts w:ascii="Times New Roman;serif" w:hAnsi="Times New Roman;serif"/>
          <w:b w:val="false"/>
          <w:color w:val="231F20"/>
          <w:sz w:val="20"/>
        </w:rPr>
        <w:t>were immaterial.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Intangible assets, net, resulting from business combinations and asset purchases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3"/>
        <w:gridCol w:w="549"/>
        <w:gridCol w:w="550"/>
        <w:gridCol w:w="401"/>
        <w:gridCol w:w="863"/>
        <w:gridCol w:w="226"/>
        <w:gridCol w:w="109"/>
        <w:gridCol w:w="109"/>
        <w:gridCol w:w="109"/>
        <w:gridCol w:w="484"/>
        <w:gridCol w:w="1080"/>
        <w:gridCol w:w="271"/>
        <w:gridCol w:w="109"/>
        <w:gridCol w:w="109"/>
        <w:gridCol w:w="109"/>
        <w:gridCol w:w="419"/>
        <w:gridCol w:w="709"/>
        <w:gridCol w:w="235"/>
        <w:gridCol w:w="109"/>
        <w:gridCol w:w="109"/>
        <w:gridCol w:w="109"/>
        <w:gridCol w:w="813"/>
        <w:gridCol w:w="813"/>
        <w:gridCol w:w="1158"/>
      </w:tblGrid>
      <w:tr>
        <w:trPr/>
        <w:tc>
          <w:tcPr>
            <w:tcW w:w="65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8.7</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5.9</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tbl>
      <w:tblPr>
        <w:tblW w:w="10205" w:type="dxa"/>
        <w:jc w:val="left"/>
        <w:tblInd w:w="0" w:type="dxa"/>
        <w:tblLayout w:type="fixed"/>
        <w:tblCellMar>
          <w:top w:w="28" w:type="dxa"/>
          <w:left w:w="28" w:type="dxa"/>
          <w:bottom w:w="28" w:type="dxa"/>
          <w:right w:w="28" w:type="dxa"/>
        </w:tblCellMar>
      </w:tblPr>
      <w:tblGrid>
        <w:gridCol w:w="653"/>
        <w:gridCol w:w="549"/>
        <w:gridCol w:w="550"/>
        <w:gridCol w:w="401"/>
        <w:gridCol w:w="863"/>
        <w:gridCol w:w="226"/>
        <w:gridCol w:w="109"/>
        <w:gridCol w:w="109"/>
        <w:gridCol w:w="109"/>
        <w:gridCol w:w="484"/>
        <w:gridCol w:w="1080"/>
        <w:gridCol w:w="271"/>
        <w:gridCol w:w="109"/>
        <w:gridCol w:w="109"/>
        <w:gridCol w:w="109"/>
        <w:gridCol w:w="419"/>
        <w:gridCol w:w="709"/>
        <w:gridCol w:w="235"/>
        <w:gridCol w:w="109"/>
        <w:gridCol w:w="109"/>
        <w:gridCol w:w="109"/>
        <w:gridCol w:w="813"/>
        <w:gridCol w:w="813"/>
        <w:gridCol w:w="1158"/>
      </w:tblGrid>
      <w:tr>
        <w:trPr/>
        <w:tc>
          <w:tcPr>
            <w:tcW w:w="65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8.6</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4.7</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Amortization expense was </w:t>
      </w:r>
      <w:r>
        <w:rPr>
          <w:rFonts w:ascii="Times New Roman;serif" w:hAnsi="Times New Roman;serif"/>
          <w:b w:val="false"/>
          <w:color w:val="000000"/>
          <w:sz w:val="20"/>
        </w:rPr>
        <w:t>$6 million</w:t>
      </w:r>
      <w:r>
        <w:rPr>
          <w:color w:val="231F20"/>
        </w:rPr>
        <w:t xml:space="preserve"> </w:t>
      </w:r>
      <w:r>
        <w:rPr>
          <w:rFonts w:ascii="Times New Roman;serif" w:hAnsi="Times New Roman;serif"/>
          <w:b w:val="false"/>
          <w:color w:val="231F20"/>
          <w:sz w:val="20"/>
        </w:rPr>
        <w:t xml:space="preserve">for each of the </w:t>
      </w:r>
      <w:r>
        <w:rPr>
          <w:rFonts w:ascii="Times New Roman;serif" w:hAnsi="Times New Roman;serif"/>
          <w:b w:val="false"/>
          <w:color w:val="000000"/>
          <w:sz w:val="20"/>
        </w:rPr>
        <w:t>three months ended March 31, 2025 and 2026.</w:t>
      </w:r>
    </w:p>
    <w:p>
      <w:pPr>
        <w:pStyle w:val="TextBody"/>
        <w:bidi w:val="0"/>
        <w:spacing w:before="0" w:after="0"/>
        <w:ind w:left="0" w:right="0" w:firstLine="360"/>
        <w:jc w:val="both"/>
        <w:rPr/>
      </w:pPr>
      <w:r>
        <w:rPr/>
      </w:r>
    </w:p>
    <w:p>
      <w:pPr>
        <w:pStyle w:val="TextBody"/>
        <w:bidi w:val="0"/>
        <w:spacing w:lineRule="auto" w:line="271"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As of March 31, 2026, the remaining intangible asset amortization was as follows:</w:t>
      </w:r>
    </w:p>
    <w:p>
      <w:pPr>
        <w:pStyle w:val="TextBody"/>
        <w:bidi w:val="0"/>
        <w:spacing w:before="0" w:after="0"/>
        <w:jc w:val="both"/>
        <w:rPr/>
      </w:pPr>
      <w:r>
        <w:rPr/>
      </w:r>
    </w:p>
    <w:tbl>
      <w:tblPr>
        <w:tblW w:w="3149" w:type="dxa"/>
        <w:jc w:val="left"/>
        <w:tblInd w:w="0" w:type="dxa"/>
        <w:tblLayout w:type="fixed"/>
        <w:tblCellMar>
          <w:top w:w="28" w:type="dxa"/>
          <w:left w:w="28" w:type="dxa"/>
          <w:bottom w:w="28" w:type="dxa"/>
          <w:right w:w="28" w:type="dxa"/>
        </w:tblCellMar>
      </w:tblPr>
      <w:tblGrid>
        <w:gridCol w:w="777"/>
        <w:gridCol w:w="683"/>
        <w:gridCol w:w="685"/>
        <w:gridCol w:w="288"/>
        <w:gridCol w:w="487"/>
        <w:gridCol w:w="229"/>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4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93"/>
        <w:gridCol w:w="993"/>
        <w:gridCol w:w="1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Accrued and Other Current Liabilities</w:t>
            </w:r>
          </w:p>
        </w:tc>
      </w:tr>
    </w:tbl>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Accrued and other current liabilities were as follows:</w:t>
      </w:r>
    </w:p>
    <w:tbl>
      <w:tblPr>
        <w:tblW w:w="6086" w:type="dxa"/>
        <w:jc w:val="left"/>
        <w:tblInd w:w="0" w:type="dxa"/>
        <w:tblLayout w:type="fixed"/>
        <w:tblCellMar>
          <w:top w:w="28" w:type="dxa"/>
          <w:left w:w="28" w:type="dxa"/>
          <w:bottom w:w="28" w:type="dxa"/>
          <w:right w:w="28" w:type="dxa"/>
        </w:tblCellMar>
      </w:tblPr>
      <w:tblGrid>
        <w:gridCol w:w="1361"/>
        <w:gridCol w:w="1200"/>
        <w:gridCol w:w="1204"/>
        <w:gridCol w:w="294"/>
        <w:gridCol w:w="634"/>
        <w:gridCol w:w="167"/>
        <w:gridCol w:w="109"/>
        <w:gridCol w:w="109"/>
        <w:gridCol w:w="109"/>
        <w:gridCol w:w="229"/>
        <w:gridCol w:w="491"/>
        <w:gridCol w:w="179"/>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March 31,</w:t>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legal and regulatory matters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Accrued shopper and merchant liability </w:t>
            </w:r>
            <w:r>
              <w:rPr>
                <w:rFonts w:ascii="Times New Roman;serif" w:hAnsi="Times New Roman;serif"/>
                <w:b w:val="false"/>
                <w:color w:val="000000"/>
                <w:sz w:val="12"/>
              </w:rPr>
              <w:t>(1)</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advertising</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professional, legal, and contractor services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indirect tax liabilities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Insurance reserves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Advances from payment card issuer</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Gift cards and rewards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634 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604 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Accrued merchant liability primarily includes liabilities to certain retailers for payment of goods.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2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856"/>
        <w:gridCol w:w="856"/>
        <w:gridCol w:w="121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Commitments and Contingencies</w:t>
            </w:r>
          </w:p>
        </w:tc>
      </w:tr>
    </w:tbl>
    <w:p>
      <w:pPr>
        <w:pStyle w:val="TextBody"/>
        <w:bidi w:val="0"/>
        <w:spacing w:lineRule="auto" w:line="288" w:before="240" w:after="240"/>
        <w:jc w:val="left"/>
        <w:rPr>
          <w:rFonts w:ascii="Times New Roman;serif" w:hAnsi="Times New Roman;serif"/>
          <w:b/>
          <w:i/>
          <w:color w:val="231F20"/>
          <w:sz w:val="20"/>
        </w:rPr>
      </w:pPr>
      <w:r>
        <w:rPr>
          <w:rFonts w:ascii="Times New Roman;serif" w:hAnsi="Times New Roman;serif"/>
          <w:b/>
          <w:i/>
          <w:color w:val="231F20"/>
          <w:sz w:val="20"/>
        </w:rPr>
        <w:t>Leases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leases primarily include corporate offices and warehouse space. The lease terms of operating leases vary from one year to nine years, with expirations through May 2034. The Company has leases that include one or more options to extend the lease term for up to five years, as well as 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and hence are not recognized as part of the Company’s operating lease liabilities and operating lease right-of-use assets.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 Company did not modify, enter into, or acquire any material leasing arrangements for the </w:t>
      </w:r>
      <w:r>
        <w:rPr>
          <w:rFonts w:ascii="Times New Roman;serif" w:hAnsi="Times New Roman;serif"/>
          <w:b w:val="false"/>
          <w:color w:val="000000"/>
          <w:sz w:val="20"/>
        </w:rPr>
        <w:t xml:space="preserve">three months ended March 31, 2025 or 2026.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Sales and Indirect Taxes</w:t>
      </w:r>
    </w:p>
    <w:p>
      <w:pPr>
        <w:pStyle w:val="TextBody"/>
        <w:bidi w:val="0"/>
        <w:spacing w:lineRule="auto" w:line="288" w:before="0" w:after="0"/>
        <w:ind w:left="0" w:right="0" w:firstLine="360"/>
        <w:jc w:val="both"/>
        <w:rPr/>
      </w:pPr>
      <w:r>
        <w:rPr>
          <w:rFonts w:ascii="Times New Roman;serif" w:hAnsi="Times New Roman;serif"/>
          <w:b w:val="false"/>
          <w:color w:val="231F20"/>
          <w:sz w:val="20"/>
        </w:rPr>
        <w:t>The Company pays applicable state, franchise, and other taxes in state and local jurisdictions in which the Company conducts business. In the United States, the Company is under audit by various tax authorities with regard to sales and indirect tax matters. The subject matter of these audits primarily relates to the reporting of sales on behalf of the Company’s third-party sellers or tax treatment applied to the sale of the Company’s services in these jurisdictions. The Company believes it properly accrues and pays taxes according to its understanding of the tax requirements in each taxing jurisdiction; however it is possible that tax authorities may question the Company’s interpretation of taxability. As such, there is a high degree of complexity involved in the interpretation and application of state and local sales and indirect tax rules to the Company’s activities. As a result, the Company maintains a reserve related to potential tax, interest, or penalties that may become due</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Significant judgments are made by the Company in estimating these reserves which includes assessing the taxability of goods or services transacted using the Company’s technology platform. The Company maintains such reserves until the respective statute of limitations has passed or upon conclusion of an audit examination with the relevant tax authorities, at which point the tax exposure and related interest and penalties are released. The reserve balance was </w:t>
      </w:r>
      <w:r>
        <w:rPr>
          <w:rFonts w:ascii="Times New Roman;serif" w:hAnsi="Times New Roman;serif"/>
          <w:b w:val="false"/>
          <w:color w:val="000000"/>
          <w:sz w:val="20"/>
        </w:rPr>
        <w:t>$13 million</w:t>
      </w:r>
      <w:r>
        <w:rPr>
          <w:color w:val="231F20"/>
        </w:rPr>
        <w:t xml:space="preserve"> </w:t>
      </w:r>
      <w:r>
        <w:rPr>
          <w:rFonts w:ascii="Times New Roman;serif" w:hAnsi="Times New Roman;serif"/>
          <w:b w:val="false"/>
          <w:color w:val="231F20"/>
          <w:sz w:val="20"/>
        </w:rPr>
        <w:t xml:space="preserve">as of December 31, 2025 and March 31, 2026, and was included within other long-term liabilities on the condensed consolidated balance sheets. </w:t>
      </w:r>
      <w:r>
        <w:rPr>
          <w:rFonts w:ascii="Times New Roman;serif" w:hAnsi="Times New Roman;serif"/>
          <w:b w:val="false"/>
          <w:color w:val="000000"/>
          <w:sz w:val="20"/>
        </w:rPr>
        <w:t xml:space="preserve">For the three months ended March 31, 2025, the Company recognized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immaterial reserve release, net of audit payments. For the three months ended March 31, 2026, the Company recognized immaterial expense related to these reserves. These amounts were</w:t>
      </w:r>
      <w:r>
        <w:rPr>
          <w:color w:val="231F20"/>
        </w:rPr>
        <w:t xml:space="preserve"> </w:t>
      </w:r>
      <w:r>
        <w:rPr>
          <w:rFonts w:ascii="Times New Roman;serif" w:hAnsi="Times New Roman;serif"/>
          <w:b w:val="false"/>
          <w:color w:val="231F20"/>
          <w:sz w:val="20"/>
        </w:rPr>
        <w:t xml:space="preserve">recorded within </w:t>
      </w:r>
      <w:r>
        <w:rPr>
          <w:rFonts w:ascii="Times New Roman;serif" w:hAnsi="Times New Roman;serif"/>
          <w:b w:val="false"/>
          <w:color w:val="000000"/>
          <w:sz w:val="20"/>
        </w:rPr>
        <w:t>general and administrative expense in the condensed consolidated statements of operations.</w:t>
      </w:r>
    </w:p>
    <w:p>
      <w:pPr>
        <w:pStyle w:val="TextBody"/>
        <w:bidi w:val="0"/>
        <w:spacing w:lineRule="auto" w:line="288" w:before="240" w:after="240"/>
        <w:jc w:val="both"/>
        <w:rPr>
          <w:rFonts w:ascii="Times New Roman;serif" w:hAnsi="Times New Roman;serif"/>
          <w:b/>
          <w:i/>
          <w:color w:val="231F20"/>
          <w:sz w:val="20"/>
        </w:rPr>
      </w:pPr>
      <w:r>
        <w:rPr>
          <w:rFonts w:ascii="Times New Roman;serif" w:hAnsi="Times New Roman;serif"/>
          <w:b/>
          <w:i/>
          <w:color w:val="231F20"/>
          <w:sz w:val="20"/>
        </w:rPr>
        <w:t>Legal Matters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Independent Contractor Classification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on December 16, 2020, the California state ballot initiative, Proposition 22, which provides a framework that offers legal certainty regarding the status of independent workers offering delivery services in California and protects worker flexibility, the quality of on-demand work, and access to benefits for those who qualify, among other things, became effective. The Company provides appropriate worker benefits and other protections in accordance with Proposition 22, including guaranteed minimum earnings, healthcare subsidies, insurance, and safety trainings.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Further, any future judgments, settlements, or orders issued by a court or governmental body or otherwise in connection with any judicial, administrative, or legal proceeding that results in the Company being prohibited from continuing to engage with independent-contractor shoppers in the manner it currently does would likely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other active legal matters in California and several other jurisdictions, including litigation, government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and agencies handling these matters may rule that the Company cannot engage workers to perform certain tasks, including delivery and other fulfillment services, as independent contractors. In some of these cases, the Company has entered into settlement agreements to resolve the claims without any admission of liability and in others, there is active litigation or proceedings.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been, is currently, and may in the future be involved in administrative audits with various state and local enforcement agencies, including audits related to shopper classification, state and local ordinance requirements, and unemployment insurance and workers’ compensation contributions. The Company is currently involved in such audits in several states. The Company believes that it complies with applicable legal requirements and that shoppers are properly classified as independent contractors; therefore, the Company disputes that it is obligated to provide such additional benefits under state law and plans to vigorously contest any adverse assessment or determination. The Company’s chances of success on the merits are still uncertain; however, the Company records a liability within accrued and other current liabilities when it believes that it is both probable that a loss has been incurred and the amount can be estimated. The results of these audits, assessments, or any negotiated agreements with these agencies, may result in additional payments, including settlement payments, penalties, and interest, and such additional amounts could have a material impact on the Company’s business, financial conditions, results of operations, and cash flows.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currently involved in several putative class and collective actions, thousands of alleged individual claims, including those brought or threatened to be brought in arbitration or compelled to arbitrate pursuant to its independent contractor agreements, and matters brought, in whole or in part, as representative actions under California’s Private Attorney General Act, Labor Code Section 2698, et seq., alleging that the Company misclassified shoppers as independent contractors and related claims. None of the putative class or collective actions have progressed to or resulted in class certification. Those involving misclassification have either been compelled to individual arbitration or have motions to compel individual arbitration which have been granted and are now pending appeal.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FTC Investigation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staff of the Federal Trade Commission (“FTC”) asserted they had authority to enter into consent negotiations with the Company relating to certain of its marketing and Instacart+ membership program practices. Following extensive discussions with staff of the FTC, the Company agreed to enter into a consent order to conclude the FTC’s investigation, which became final on January 13, 2026. The consent order does not include any admission of liability. Pursuant to the consent order, the Company is required to pay $60 million to the FTC, which was included in accrued and other current liabilities on the consolidated balance sheet as of December 31, 2025, and subsequently paid in January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Litigation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Besides the matters described above, the Company and its subsidiaries are regularly subject to claims, lawsuits, arbitration proceedings, administrative actions, government investigations, and other legal and regulatory proceedings involving unpaid wages, missed breaks, premium or overtime pay, hazard pay, inadequate notice under the Worker Adjustment and Retraining Notification Act or its state equivalent, retaliation, denial of or interference with leave of absence, improper application of the Company’s paid time off or other policies, discrimination or harassment based on a protected characteristic, wrongful termination, failure to accommodate a disability, unfair labor practices, personal injury, intellectual property, including patent infringement, property damage, securities and stockholder claims, commercial and contract disputes, unfair competition, marketing claims, consumer protection claims, including auto-renewal practices, pricing, and fees, data protection and privacy, environmental claims, health and safety, appropriate disclosures of worker and customer rights and entitlements, weights and measures, compliance with regulatory requirements, and other matters. In some of these proceedings, claims for substantial monetary damages are asserted against the Company and could result in fines, penalties, compensatory damages, or non-monetary relief. The Company does not believe that these matters will have a material adverse effect upon its operations, cash flows, or financial condition.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To the extent the Company has agreed to settle outstanding claims or where the Company has concluded it is probable that a resolution may be reached at an amount of loss that is estimable, the</w:t>
      </w:r>
      <w:r>
        <w:rPr>
          <w:color w:val="000000"/>
        </w:rPr>
        <w:t xml:space="preserve"> </w:t>
      </w:r>
      <w:r>
        <w:rPr>
          <w:rFonts w:ascii="Times New Roman;serif" w:hAnsi="Times New Roman;serif"/>
          <w:b w:val="false"/>
          <w:color w:val="000000"/>
          <w:sz w:val="20"/>
        </w:rPr>
        <w:t xml:space="preserve">loss has been recognized within general and administrative expense in the condensed consolidated statements of operations. During periods where the settled amount is less than the loss reserved or if the Company estimates that an outstanding claim is less than that previously recorded, the Company will recognize a reserve release related to the claims within general and administrative expense in the condensed consolidated statements of operations. For the </w:t>
      </w:r>
      <w:r>
        <w:rPr>
          <w:rFonts w:ascii="Times New Roman;serif" w:hAnsi="Times New Roman;serif"/>
          <w:b w:val="false"/>
          <w:color w:val="231F20"/>
          <w:sz w:val="20"/>
        </w:rPr>
        <w:t>three months ended March 31, 2025 and 2026</w:t>
      </w:r>
      <w:r>
        <w:rPr>
          <w:rFonts w:ascii="Times New Roman;serif" w:hAnsi="Times New Roman;serif"/>
          <w:b w:val="false"/>
          <w:color w:val="000000"/>
          <w:sz w:val="20"/>
        </w:rPr>
        <w:t xml:space="preserve">, the Company recognized a loss related to these claims of $40 million and $4 million, respectively. </w:t>
      </w:r>
      <w:r>
        <w:rPr>
          <w:rFonts w:ascii="Times New Roman;serif" w:hAnsi="Times New Roman;serif"/>
          <w:b w:val="false"/>
          <w:color w:val="231F20"/>
          <w:sz w:val="20"/>
        </w:rPr>
        <w:t>The actual losses incurred on claims that have not been resolved may differ from the initial estimates of loss, and such differences could be material.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condensed consolidated statements of operations. The results of these audits may result in additional payments, penalties, and interest, and such additional amounts could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231F20"/>
          <w:sz w:val="20"/>
        </w:rPr>
      </w:pPr>
      <w:r>
        <w:rPr>
          <w:rFonts w:ascii="Times New Roman;serif" w:hAnsi="Times New Roman;serif"/>
          <w:b w:val="false"/>
          <w:i/>
          <w:color w:val="231F2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 provision. To date, no significant costs have been incurred, either individually or collectively, in connection with the Company’s indemnification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431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057"/>
        <w:gridCol w:w="1057"/>
        <w:gridCol w:w="150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Series A Redeemable Convertible Preferred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subsequent to the closing of the initial public offering (“IPO”) in September 2023, the Company authorized and issued 5,833,333 shares of Series A redeemable convertible preferred stock at a price of $30.00 per share for proceeds of $175 million. The Company determined the fair value of the Series A redeemable convertible preferred stock at issuance was $175 million, using a Monte Carlo valuation model. The key assumptions used included the closing price of the Company’s common stock on the issuance date of $30.65, an expected term of approximately seven years, an expected volatility of 54%, and a discount for lack of marketability of 35%.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related to the issuance, the Company adopted the Certificate of Designation of Series A redeemable convertible preferred stock, as filed with the Secretary of State of the State of Delaware, setting forth the rights, designations, preferences, limitations, and restrictions applicable to the Series A redeemable convertible preferred stock.</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the Series A redeemable convertible preferred stock are as follows:</w:t>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Seniority; Liquidation Preference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with respect to distribution rights upon the liquidation, winding-up or dissolution of the Company but excluding a change of control, (as described below) ranks (i) senior to the Company’s common stock, (ii) on parity with any class or series of the Company’s capital stock expressly designated as ranking on parity with the Series A redeemable convertible preferred stock, and (iii) junior to any class or series of the Company’s capital stock expressly designated as ranking senior to the Series A redeemable convertible preferred stock. The Series A redeemable convertible preferred stock has a liquidation preference equal to the greater of (i) the Stated Value (as defined below), and (ii) the amount that the holder would be entitled to receive on an as-converted to common stock basis based on the then-applicable Conversion Ratio (as defined below), on the date of such liquidation, winding-up or dissolution. Such liquidation, winding-up or dissolution amounts would be paid out of the Company’s assets legally available for distribution to its stockholders, after satisfaction of debt and other liabilities owed to its creditors and holders of shares of any senior securities and before any payment or distribution is made to holders of any junior securities, including, without limitation, the Company’s common stock.</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Stated Value for the Series A redeemable convertible preferred stock on a given date is defined as the sum of (i) the original issue price of the Series A redeemable convertible preferred stock, automatically increased at an annual rate of 5.0%, compounding on each anniversary of the issue date, through such date, and (ii) on an as-converted to common stock basis, the pro rata portion of any cash dividends or distributions that the Company pays on its common stock.</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Ratio for the Series A redeemable convertible preferred stock means (i) a number of shares of common stock equal to the quotient of the Stated Value divided by the conversion price, plus (ii) if the product of such number of shares of common stock times the 10-Day VWAP (as defined below) is less than the Stated Value on such date, an additional number of shares of common stock that, when multiplied by the 10-Day VWAP, equals the difference.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10-Day VWAP is defined as the average of the volume-weighted average price (“VWAP”) per share of common stock for each of the 10 consecutive trading days ending on, and including, the trading day immediately before the date of determination.</w:t>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and after the seventh anniversary of the issue date of the Series A redeemable convertible preferred stock, at any time when the 10-Day VWAP exceeds the conversion price of the Series A redeemable convertible preferred stock, all outstanding shares of Series A redeemable convertible preferred stock will automatically convert into a number of shares of the Company’s common stock equal to the Conversion Ratio on such date.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on the third anniversary of the issue date of the Series A redeemable convertible preferred stock, if the 10-Day VWAP immediately prior to such date exceeds the conversion price of the Series A redeemable convertible preferred stock, the holder will have the option to convert all outstanding shares of Series A redeemable convertible preferred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the conversion price on such date. If there is a Conversion Shortfall (as defined below), the holder will receive an additional number of shares of common stock equal to the Conversion Shortfall divided by the 10-Day VWAP immediately prior to such date.</w:t>
      </w:r>
    </w:p>
    <w:p>
      <w:pPr>
        <w:pStyle w:val="TextBody"/>
        <w:bidi w:val="0"/>
        <w:spacing w:before="0" w:after="0"/>
        <w:ind w:left="0" w:right="0" w:firstLine="360"/>
        <w:jc w:val="both"/>
        <w:rPr/>
      </w:pPr>
      <w:r>
        <w:rPr/>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price for the Series A redeemable convertible preferred stock is not subject to adjustment, except for customary adjustments for stock splits, stock dividends, recapitalizations, reorganizations and similar corporate actions.</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Shortfall for the Series A redeemable convertible preferred stock on any conversion date is defined as the absolute dollar value by which the product of the Conversion Ratio and the 10-Day VWAP for an applicable conversion is less than the Stated Value plus the Minimum Return Amount on such date.</w:t>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Redemption</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any time from and after the seventh anniversary of the issue date of the Series A redeemable convertible preferred stock, if the 10-Day VWAP does not exceed the conversion price, the Company has the right to redeem all, but not less than all, outstanding shares of Series A redeemable convertible preferred stock at the Stated Value on such redemption date.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each of the third anniversary (only if the 10-Day VWAP immediately prior to such date does not exceed the conversion price), the seventh anniversary, the tenth anniversary and the thirteenth anniversary of the issue date, the holder has the right to require the Company to redeem all, but not less than all, outstanding shares of Series A redeemable convertible preferred stock at the Stated Value on such redemption date.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of the Company, the Company will redeem all, but not less than all, outstanding shares of Series A redeemable convertible preferred stock for an amount equal to the greater of (i) the Stated Value on the date of the change of control and (ii) the amount that the holder would be entitled to receive on an as-converted to common stock basis based on the then-applicable conversion ratio (for which the 10-Day VWAP equals the purchase price or transaction consideration per share of common stock in the change of control transaction).</w:t>
      </w:r>
    </w:p>
    <w:p>
      <w:pPr>
        <w:pStyle w:val="TextBody"/>
        <w:bidi w:val="0"/>
        <w:spacing w:lineRule="auto" w:line="26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regulatory events or strategic actions by the Company or the holder the Company or the holder, as applicable, has the right to elect to redeem all outstanding shares of Series A redeemable convertible preferred stock at the Stated Value, if the 10-Day VWAP immediately prior to the date of such event does not exceed the conversion price, or convert all outstanding shares of Series A redeemable convertible preferred stock into a number of shares of the Company’s common stock equal to the then-applicable conversion ratio, in case the 10-Day VWAP immediately prior to the date of such event exceeds the conversion price.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its Series A redeemable convertible preferred stock outside of stockholders’ equity as mezzanine equity because the shares contain redemption features that are not solely within the Company’s control. The Company is required to accrete the carrying value of the Series A redeemable preferred stock to its redemption value over the period from issuance through redemption date. The accretion was $2 million for each of the three months ended March 31, 2025 and 2026. </w:t>
      </w:r>
    </w:p>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Voting </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confers no voting rights on the holder, except as required by applicable law and with respect to matters that adversely change the powers, preferences, privileges, rights or restrictions of the Series A redeemable convertible preferred stock, including the authorization or issuance of equity securities that would rank senior to or pari passu with the Series A redeemable convertible preferred stock (other than, in certain cases, new shares of Series A redeemable convertible preferred stock or new series of preferred stock with substantially similar terms as the Series A redeemable convertible preferred stock) and the declaration or payment of cash dividends on shares other than the Series A redeemable convertible preferred stock in excess of a 5.0% annual dividend yield.</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dividends were declared or paid for the three months ended March 31, 2025 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262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61"/>
        <w:gridCol w:w="561"/>
        <w:gridCol w:w="79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Equity</w:t>
            </w:r>
          </w:p>
        </w:tc>
      </w:tr>
    </w:tbl>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Company’s board of directors authorized a $500 million share repurchase program, which was subsequently increased to $750 million, $1 billion, and $2.5 billion in November 2024, May 2025, and November 2025, respectively. In April 2026, the Company’s board of directors authorized an increase of $1.0 billion to the share repurchase program, bringing the total authorization under the program to $3.5 billion.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repurchased and immediately retired a total of 9,374,847 shares of its common stock for an aggregate amount, including broker commissions, fees, and excise taxes, of $402 million under this share repurchase program, which included shares received and immediately retired upon the completion of the ASR Agreement (as defined below). As of March 31, 2026, the Company had $323 million remaining available to repurchase shares pursuant to the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10, 2025, the Company entered into the ASR Agreement with a third-party financial institution to repurchase $250 million of the Company’s common stock. Pursuant to the terms of the ASR Agreement, the Company paid $250 million to the financial institution and received and immediately retired an initial delivery of 5,357,621 shares of common stock on November 12, 2025, representing 80% of the value of the $250 million payment. As of December 31, 2025, $50 million of the ASR was reflected as a forward contract within stockholders’ equity on the consolidated balance sheet. In January 2026, repurchases under the ASR Agreement were completed. The final number of shares of common stock repurchased was based on the VWAP of the Company’s common stock during the repurchase period, less a negotiated discount. The Company received and immediately retired an additional 553,349 shares in January 2026.</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share repurchases in excess of issuances are subject to a 1% excise tax enacted by the Inflation Reduction Act. The excise tax recognized as part of the cost basis of shares acquired for the three months ended March 31, 2026 was immaterial.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reserved for future issuance on an as-converted basis:</w:t>
      </w:r>
    </w:p>
    <w:p>
      <w:pPr>
        <w:pStyle w:val="TextBody"/>
        <w:bidi w:val="0"/>
        <w:spacing w:before="0" w:after="0"/>
        <w:jc w:val="both"/>
        <w:rPr/>
      </w:pPr>
      <w:r>
        <w:rPr/>
      </w:r>
    </w:p>
    <w:tbl>
      <w:tblPr>
        <w:tblW w:w="8051" w:type="dxa"/>
        <w:jc w:val="left"/>
        <w:tblInd w:w="0" w:type="dxa"/>
        <w:tblLayout w:type="fixed"/>
        <w:tblCellMar>
          <w:top w:w="28" w:type="dxa"/>
          <w:left w:w="28" w:type="dxa"/>
          <w:bottom w:w="28" w:type="dxa"/>
          <w:right w:w="28" w:type="dxa"/>
        </w:tblCellMar>
      </w:tblPr>
      <w:tblGrid>
        <w:gridCol w:w="2000"/>
        <w:gridCol w:w="1753"/>
        <w:gridCol w:w="1766"/>
        <w:gridCol w:w="364"/>
        <w:gridCol w:w="364"/>
        <w:gridCol w:w="366"/>
        <w:gridCol w:w="109"/>
        <w:gridCol w:w="109"/>
        <w:gridCol w:w="109"/>
        <w:gridCol w:w="368"/>
        <w:gridCol w:w="368"/>
        <w:gridCol w:w="375"/>
      </w:tblGrid>
      <w:tr>
        <w:trPr/>
        <w:tc>
          <w:tcPr>
            <w:tcW w:w="200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March 31,</w:t>
            </w:r>
          </w:p>
        </w:tc>
      </w:tr>
      <w:tr>
        <w:trPr/>
        <w:tc>
          <w:tcPr>
            <w:tcW w:w="551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5,833 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5,833 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15,959 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12,995 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6,489 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6,141 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Shares available for issuance under the 2023 Equity Incentive Plan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54,419 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66,656 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Shares available for issuance under the 2023 Employee Stock Purchase Plan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12,400 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14,829 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95,100 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106,454 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common stock are entitled to receive dividends out of funds that are legally available, when and if declared by the board of directors and subject to the approval from the holders of the Series A redeemable convertible preferred stock. No dividends were declared or paid for the three months ended March 31, 2025 or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automatic increase feature of the 2023 Equity Incentive Plan, for the three months ended March 31, 2026, an additional 12,143,367 shares were reserved for issuance effective January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stock options for the three months ended March 31, 2026:</w:t>
      </w:r>
    </w:p>
    <w:tbl>
      <w:tblPr>
        <w:tblW w:w="10205" w:type="dxa"/>
        <w:jc w:val="left"/>
        <w:tblInd w:w="0" w:type="dxa"/>
        <w:tblLayout w:type="fixed"/>
        <w:tblCellMar>
          <w:top w:w="28" w:type="dxa"/>
          <w:left w:w="28" w:type="dxa"/>
          <w:bottom w:w="28" w:type="dxa"/>
          <w:right w:w="28" w:type="dxa"/>
        </w:tblCellMar>
      </w:tblPr>
      <w:tblGrid>
        <w:gridCol w:w="620"/>
        <w:gridCol w:w="476"/>
        <w:gridCol w:w="477"/>
        <w:gridCol w:w="109"/>
        <w:gridCol w:w="278"/>
        <w:gridCol w:w="278"/>
        <w:gridCol w:w="109"/>
        <w:gridCol w:w="399"/>
        <w:gridCol w:w="298"/>
        <w:gridCol w:w="300"/>
        <w:gridCol w:w="196"/>
        <w:gridCol w:w="556"/>
        <w:gridCol w:w="109"/>
        <w:gridCol w:w="371"/>
        <w:gridCol w:w="1055"/>
        <w:gridCol w:w="208"/>
        <w:gridCol w:w="140"/>
        <w:gridCol w:w="140"/>
        <w:gridCol w:w="141"/>
        <w:gridCol w:w="671"/>
        <w:gridCol w:w="671"/>
        <w:gridCol w:w="672"/>
        <w:gridCol w:w="196"/>
        <w:gridCol w:w="421"/>
        <w:gridCol w:w="109"/>
        <w:gridCol w:w="303"/>
        <w:gridCol w:w="654"/>
        <w:gridCol w:w="248"/>
      </w:tblGrid>
      <w:tr>
        <w:trPr/>
        <w:tc>
          <w:tcPr>
            <w:tcW w:w="62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Weighted-Average Exercise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Price</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Weighted-Average Remaining Contractual Life </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6,489 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6,141 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Options vested and exercisable as of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restricted stock units (“RSUs”) for the three months ended March 31, 2026:</w:t>
      </w:r>
    </w:p>
    <w:p>
      <w:pPr>
        <w:pStyle w:val="TextBody"/>
        <w:bidi w:val="0"/>
        <w:spacing w:before="0" w:after="0"/>
        <w:jc w:val="both"/>
        <w:rPr/>
      </w:pPr>
      <w:r>
        <w:rPr/>
      </w:r>
    </w:p>
    <w:tbl>
      <w:tblPr>
        <w:tblW w:w="7855" w:type="dxa"/>
        <w:jc w:val="left"/>
        <w:tblInd w:w="0" w:type="dxa"/>
        <w:tblLayout w:type="fixed"/>
        <w:tblCellMar>
          <w:top w:w="28" w:type="dxa"/>
          <w:left w:w="28" w:type="dxa"/>
          <w:bottom w:w="28" w:type="dxa"/>
          <w:right w:w="28" w:type="dxa"/>
        </w:tblCellMar>
      </w:tblPr>
      <w:tblGrid>
        <w:gridCol w:w="1280"/>
        <w:gridCol w:w="1126"/>
        <w:gridCol w:w="1134"/>
        <w:gridCol w:w="469"/>
        <w:gridCol w:w="469"/>
        <w:gridCol w:w="471"/>
        <w:gridCol w:w="109"/>
        <w:gridCol w:w="109"/>
        <w:gridCol w:w="109"/>
        <w:gridCol w:w="556"/>
        <w:gridCol w:w="1583"/>
        <w:gridCol w:w="44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Weighted-Average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Grant-Date Fair Value per Share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January 1, 2026</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15,959 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March 31, 2026</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12,995 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 Expense Summary</w:t>
      </w:r>
    </w:p>
    <w:p>
      <w:pPr>
        <w:pStyle w:val="TextBody"/>
        <w:bidi w:val="0"/>
        <w:spacing w:before="0" w:after="0"/>
        <w:jc w:val="both"/>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by line item in the condensed consolidated statements of operations:</w:t>
      </w:r>
    </w:p>
    <w:p>
      <w:pPr>
        <w:pStyle w:val="TextBody"/>
        <w:bidi w:val="0"/>
        <w:spacing w:before="0" w:after="0"/>
        <w:jc w:val="left"/>
        <w:rPr/>
      </w:pPr>
      <w:r>
        <w:rPr/>
      </w:r>
    </w:p>
    <w:tbl>
      <w:tblPr>
        <w:tblW w:w="5877" w:type="dxa"/>
        <w:jc w:val="left"/>
        <w:tblInd w:w="0" w:type="dxa"/>
        <w:tblLayout w:type="fixed"/>
        <w:tblCellMar>
          <w:top w:w="28" w:type="dxa"/>
          <w:left w:w="28" w:type="dxa"/>
          <w:bottom w:w="28" w:type="dxa"/>
          <w:right w:w="28" w:type="dxa"/>
        </w:tblCellMar>
      </w:tblPr>
      <w:tblGrid>
        <w:gridCol w:w="1086"/>
        <w:gridCol w:w="955"/>
        <w:gridCol w:w="958"/>
        <w:gridCol w:w="294"/>
        <w:gridCol w:w="497"/>
        <w:gridCol w:w="163"/>
        <w:gridCol w:w="163"/>
        <w:gridCol w:w="163"/>
        <w:gridCol w:w="163"/>
        <w:gridCol w:w="294"/>
        <w:gridCol w:w="497"/>
        <w:gridCol w:w="163"/>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$378 million of unrecognized stock-based compensation expense related to unvested awards which are expected to vest and to be recognized over a weighted-average period of 1.31 years.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stock-based compensation expense capitalized related to the development of internal-use software was $11 million for each of the three months ended March 31, 2025 and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2023 Employee Stock Purchase Plan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adopted, and the Company’s stockholders approved, the 2023 Employee Stock Purchase Plan (“the ESPP”), which became effective immediately prior to the effectiveness of the registration statement on Form S-1 filed under the Securities Act in connection with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there had been no offering period or purchase period under the ESPP, and no such period will begin unless and until determined by the Company’s board of directors, or its compensation committee under its delegation, as the administrator of the ESPP. Pursuant to the automatic increase feature of the ESPP, for the three months ended March 31, 2026, an additional 2,428,673 shares were reserved for issuance under the ESPP effective January 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3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390"/>
        <w:gridCol w:w="390"/>
        <w:gridCol w:w="55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Income Taxes</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is determined using an estimated annual effective tax rate, adjusted for discrete items arising in that quarter.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each period presented are the result of the mix of income earned in various tax jurisdictions that apply a broad range of income tax rates. The Company’s effective tax rate was 14.2% and 23.2% for the three months ended March 31, 2025 and 2026, respectively. The Company’s provision for income taxes varied from the tax computed at the U.S. federal statutory income tax rate primarily due to tax effects of stock-based compensation recognized, U.S. research and development credits generated, and the income taxes generated in U.S. states and foreign jurisdictions.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533"/>
        <w:gridCol w:w="1533"/>
        <w:gridCol w:w="216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income per share attributable to common stockholders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75"/>
        <w:gridCol w:w="1562"/>
        <w:gridCol w:w="1567"/>
        <w:gridCol w:w="519"/>
        <w:gridCol w:w="1160"/>
        <w:gridCol w:w="271"/>
        <w:gridCol w:w="271"/>
        <w:gridCol w:w="271"/>
        <w:gridCol w:w="271"/>
        <w:gridCol w:w="519"/>
        <w:gridCol w:w="1160"/>
        <w:gridCol w:w="271"/>
        <w:gridCol w:w="109"/>
        <w:gridCol w:w="109"/>
        <w:gridCol w:w="109"/>
        <w:gridCol w:w="161"/>
      </w:tblGrid>
      <w:tr>
        <w:trPr/>
        <w:tc>
          <w:tcPr>
            <w:tcW w:w="187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 except share amounts, which are reflected in thousands, and per share amounts)</w:t>
            </w:r>
          </w:p>
        </w:tc>
        <w:tc>
          <w:tcPr>
            <w:tcW w:w="488" w:type="dxa"/>
            <w:gridSpan w:val="4"/>
            <w:tcBorders/>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Numerator:</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Accretion related to Series A redeemable convertible preferred stock</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basic</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 Accretion related to Series A redeemable convertible preferred stock</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diluted</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Denominator:</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basic net income per share attributable to common stockholders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262,432 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Unvested restricted non-voting common stock</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diluted net income per share attributable to common stockholders</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277,193 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253,597 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8"/>
              </w:rPr>
            </w:pPr>
            <w:r>
              <w:rPr>
                <w:rFonts w:ascii="Times New Roman;serif" w:hAnsi="Times New Roman;serif"/>
                <w:b/>
                <w:color w:val="000000"/>
                <w:sz w:val="18"/>
              </w:rPr>
              <w:t>Net income per share attributable to common stockholders: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5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computation of diluted income per share attributable to common stockholders because their effect was not dilutive:</w:t>
      </w:r>
    </w:p>
    <w:tbl>
      <w:tblPr>
        <w:tblW w:w="6595" w:type="dxa"/>
        <w:jc w:val="left"/>
        <w:tblInd w:w="0" w:type="dxa"/>
        <w:tblLayout w:type="fixed"/>
        <w:tblCellMar>
          <w:top w:w="28" w:type="dxa"/>
          <w:left w:w="28" w:type="dxa"/>
          <w:bottom w:w="28" w:type="dxa"/>
          <w:right w:w="28" w:type="dxa"/>
        </w:tblCellMar>
      </w:tblPr>
      <w:tblGrid>
        <w:gridCol w:w="1348"/>
        <w:gridCol w:w="1182"/>
        <w:gridCol w:w="1190"/>
        <w:gridCol w:w="266"/>
        <w:gridCol w:w="266"/>
        <w:gridCol w:w="266"/>
        <w:gridCol w:w="266"/>
        <w:gridCol w:w="266"/>
        <w:gridCol w:w="266"/>
        <w:gridCol w:w="266"/>
        <w:gridCol w:w="266"/>
        <w:gridCol w:w="266"/>
        <w:gridCol w:w="10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Series A redeemable convertible preferred stock</w:t>
            </w:r>
            <w:r>
              <w:rPr>
                <w:color w:val="000000"/>
              </w:rPr>
              <w:t xml:space="preserve"> </w:t>
            </w:r>
            <w:r>
              <w:rPr>
                <w:rFonts w:ascii="Times New Roman;serif" w:hAnsi="Times New Roman;serif"/>
                <w:b w:val="false"/>
                <w:color w:val="000000"/>
                <w:sz w:val="12"/>
              </w:rPr>
              <w:t>(1)</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5,833</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384</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258</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7,136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restricted non-voting common stock</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6,475</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2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Series A redeemable convertible preferred stock included in the table above considers the Conversion Shortfall, as applicable, as further described in Note 11 — Redeemable Convertible Preferred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table above because they are subject to performance-based and / or market-based vesting conditions that were not achieved as of those dates:</w:t>
      </w:r>
    </w:p>
    <w:tbl>
      <w:tblPr>
        <w:tblW w:w="4510" w:type="dxa"/>
        <w:jc w:val="left"/>
        <w:tblInd w:w="0" w:type="dxa"/>
        <w:tblLayout w:type="fixed"/>
        <w:tblCellMar>
          <w:top w:w="28" w:type="dxa"/>
          <w:left w:w="28" w:type="dxa"/>
          <w:bottom w:w="28" w:type="dxa"/>
          <w:right w:w="28" w:type="dxa"/>
        </w:tblCellMar>
      </w:tblPr>
      <w:tblGrid>
        <w:gridCol w:w="592"/>
        <w:gridCol w:w="519"/>
        <w:gridCol w:w="524"/>
        <w:gridCol w:w="266"/>
        <w:gridCol w:w="266"/>
        <w:gridCol w:w="266"/>
        <w:gridCol w:w="266"/>
        <w:gridCol w:w="266"/>
        <w:gridCol w:w="266"/>
        <w:gridCol w:w="266"/>
        <w:gridCol w:w="266"/>
        <w:gridCol w:w="266"/>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231F20"/>
                <w:sz w:val="16"/>
              </w:rPr>
            </w:pPr>
            <w:r>
              <w:rPr>
                <w:rFonts w:ascii="Times New Roman;serif" w:hAnsi="Times New Roman;serif"/>
                <w:b/>
                <w:color w:val="231F2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70"/>
        <w:gridCol w:w="570"/>
        <w:gridCol w:w="8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Segment Information</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A description of how the Company derives revenues can be found in Note 2 — Significant Accounting Policies of the audited consolidated financial statements for the year ended December 31, 2025, which can be found in the Company’s Annual Report on Form 10-K. The Company’s chief executive officer is the Company’s CODM, who reviews financial information on a consolidated basis for purposes of making operating decisions, allocating resources, and evaluating financial performance. The CODM uses consolidated net income as the sole measure of segment profit or loss to make key operating decisions such as the allocation of the budget and monitoring budget versus actual results. The CODM does not evaluate operating segments using asset information.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net income include cost of revenue, operations and support, research and development, sales and marketing, general and administrative, which are each separately presented on the Company’s condensed consolidated statements of operations. Stock-based compensation expense is also a significant expense within net income. Refer to Note 12 — Stockholders’ Equity for additional information about the Company’s stock-based compensation expense. Other segment items include interest income, other income (expense), net, and income before provision for income taxes on the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Geographic information is included in Note 3 — Revenue and Note 6 —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11"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01"/>
        <w:gridCol w:w="501"/>
        <w:gridCol w:w="7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Subsequent Events</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revolving credit agreement with certain lenders which provides for a $500 million unsecured revolving credit facility maturing in April 2031. As of the date of this filing, no amounts had been drawn under the credit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our audited consolidated financial statements and related notes disclosed in our Annual Report on Form 10-K for the year ended December 31, 2025. The following discussion contains forward-looking statements that are based on current plans, expectations and beliefs that involve risks and uncertainties. Our actual results may differ materially from those anticipated in these forward-looking statements as a result of various factors, including, but not limited to, those identified below and those discussed in the section titled “Risk Factors” and other sections, including the “Special Note Regarding Forward-Looking Statements” of this Quarterly Report on Form 10-Q. Our historical results are not necessarily indicative of the results that may be expected for any period in the future.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purposes of clarity and ease of presentation, numbers presented within this section may not sum precisely to the totals provided. The underlying data used in the calculations, including percentages, is not rounded.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Instacart is the leading technology and enablement partner for the grocery industry — helping consumers save time, retailers run their businesses online and in-store, and connect brands with customers.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enable retail banners to grow by providing technology that can accelerate digital transformation of their business both online and in-store.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shopping for groceries, consumers want selection, quality, affordability, and convenience, and they shop in many different ways. Customers can place orders for delivery or pickup across a variety of use cases including the weekly shop, bulk stock-up, convenience, special occasions, from restaurants, and using our in-store technologies. We help our customers shop at their favorite retailers, order from their favorite restaurants, and enjoy selection, quality, affordability, and convenience. Our membership program, Instacart+, offers expanded customer benefits including unlimited $0 delivery fees on orders over a certain size, and other exclusive benefits.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Instacart Ads offers brands a highly measurable ads offering that leverages first-party transaction data to move products off store shelves more efficiently. We provide discovery and attractive return on investment through our industry-leading advertising tools and insights purpose-built for the online grocery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shoppers an immediate, flexible earnings opportunity that allows them to choose when and how much to work. Shoppers are deeply valued members of the Instacart community, and we strive to make the shopping experience as seamless as possible so they can continue to deliver superior customer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Macroeconomic Impacts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financial condition, customer acquisition and retention, and key business metrics, including GTV and orders, may be impacted by macroeconomic trends affecting our markets and industry and consumer shopping habits, such as inflation and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its impact on consumer behavior, and the effects of severe weather patterns.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Shopper Classification Developments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state of the law regarding independent contractor status of Instacart shoppers varies from jurisdiction to jurisdiction and among governmental agencies and is subject to change based on court decisions, administrative or agency determinations, new or changing regulations, and other legal and regulatory proceedings.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jurisdictions have adopted, and may adopt in the future, regulations that impact whether we can or should classify shoppers as independent contractors. For example, Proposition 22 in California provides a framework that offers more legal certainty regarding the status of independent workers offering delivery services and entitles shoppers in California to certain pay standards and benefits, which increases costs for us to operate in California. However, there may continue to be legal challenges, or legislative or other attempts to amend or otherwise invalidate the benefits, protections, or independent worker status provided by Proposition 22. To date, no such challenges have been successful. Additionally, we may face allegations that certain of our business practices do not satisfy all the elements of Proposition 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experience and expect to continue experiencing challenges to the independent contractor classification of shoppers who use Instacart in other jurisdictions in which we operate, as well as the imposition of additional requirements on the use of contractors. Any successful challenges, changes in law, or other legal uncertainty with respect to independent contractor classification, or requirements related to the use of contractors, may adversely impact our financial condition, business, and results of operations. For additional information about the risks to our business related to independent contractor classification, see the section titled “Risk Factors—Risks Related to Our Legal and Regulatory Environment—Our business is subject to various laws and regulations, which may change or increase over time and subject us to increased compliance costs and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Key Financial and Operational Highlights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following financial and key business metrics to help us evaluate the health of our business, identify trends affecting our performance, formulate business plans, and make strategic decisions: </w:t>
      </w:r>
    </w:p>
    <w:p>
      <w:pPr>
        <w:pStyle w:val="TextBody"/>
        <w:bidi w:val="0"/>
        <w:spacing w:before="0" w:after="0"/>
        <w:jc w:val="left"/>
        <w:rPr/>
      </w:pPr>
      <w:r>
        <w:rPr/>
      </w:r>
    </w:p>
    <w:tbl>
      <w:tblPr>
        <w:tblW w:w="6751" w:type="dxa"/>
        <w:jc w:val="left"/>
        <w:tblInd w:w="0" w:type="dxa"/>
        <w:tblLayout w:type="fixed"/>
        <w:tblCellMar>
          <w:top w:w="28" w:type="dxa"/>
          <w:left w:w="28" w:type="dxa"/>
          <w:bottom w:w="28" w:type="dxa"/>
          <w:right w:w="28" w:type="dxa"/>
        </w:tblCellMar>
      </w:tblPr>
      <w:tblGrid>
        <w:gridCol w:w="1106"/>
        <w:gridCol w:w="977"/>
        <w:gridCol w:w="992"/>
        <w:gridCol w:w="326"/>
        <w:gridCol w:w="181"/>
        <w:gridCol w:w="427"/>
        <w:gridCol w:w="181"/>
        <w:gridCol w:w="181"/>
        <w:gridCol w:w="181"/>
        <w:gridCol w:w="326"/>
        <w:gridCol w:w="181"/>
        <w:gridCol w:w="427"/>
        <w:gridCol w:w="109"/>
        <w:gridCol w:w="109"/>
        <w:gridCol w:w="109"/>
        <w:gridCol w:w="203"/>
        <w:gridCol w:w="203"/>
        <w:gridCol w:w="532"/>
      </w:tblGrid>
      <w:tr>
        <w:trPr/>
        <w:tc>
          <w:tcPr>
            <w:tcW w:w="110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GTV</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9,122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Orders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83.2</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897</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671</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72 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Gross profit as a percent of GTV</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7.4 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7.2 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Net income as a percent of revenue</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12 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14 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Net income as a percent of GTV</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1.2 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1.4 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244</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i/>
                <w:color w:val="000000"/>
                <w:sz w:val="18"/>
              </w:rPr>
              <w:t xml:space="preserve">Adjusted EBITDA margin </w:t>
            </w:r>
            <w:r>
              <w:rPr>
                <w:rFonts w:ascii="Times New Roman;serif" w:hAnsi="Times New Roman;serif"/>
                <w:b w:val="false"/>
                <w:i/>
                <w:color w:val="000000"/>
                <w:sz w:val="12"/>
              </w:rPr>
              <w:t>(1)</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27 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29 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i/>
                <w:color w:val="000000"/>
                <w:sz w:val="18"/>
              </w:rPr>
              <w:t xml:space="preserve">Adjusted EBITDA as a percent of GTV </w:t>
            </w:r>
            <w:r>
              <w:rPr>
                <w:rFonts w:ascii="Times New Roman;serif" w:hAnsi="Times New Roman;serif"/>
                <w:b w:val="false"/>
                <w:i/>
                <w:color w:val="000000"/>
                <w:sz w:val="12"/>
              </w:rPr>
              <w:t>(1)</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2.7 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2.9 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298</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Free cash flow </w:t>
            </w:r>
            <w:r>
              <w:rPr>
                <w:rFonts w:ascii="Times New Roman;serif" w:hAnsi="Times New Roman;serif"/>
                <w:b w:val="false"/>
                <w:color w:val="000000"/>
                <w:sz w:val="12"/>
              </w:rPr>
              <w:t>(1)</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280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EBITDA, Adjusted EBITDA as a percent of GTV, Adjusted EBITDA margin, and free cash flow are non-GAAP financial measures. For more information regarding our use of these measures and reconciliation to the most directly comparable financial measures calculated in accordance with GAAP, see the section titled “—Non-GAAP Financial Measures.”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an order as a completed customer transaction to purchase goods for delivery or pickup primarily from a single 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orders increased to 91.2 million, or 10% growth, compared to the same period of 2025, driven primarily by new customers and increased engagement of existing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Transaction Value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 We have experienced and expect to continue to experience fluctuations in GTV growth, including due to the macroeconomic conditions described above, changes in customer and retailer engagement, and the effects of our strategic initiatives.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GTV increased to $10,288 million, or 13% growth, compared to the same period of 2025, primarily driven by the increase in orders and higher average order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Gross Margin, and Gross Profit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Gross profit is defined as revenue less cost of revenue, and gross margin is defined as gross profit as a percent of revenue. We believe that gross profit, gross margin, and gross profit as a percent of GTV are important indicators of the growth and efficiencies of our business.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first quarter of 2026, </w:t>
      </w:r>
      <w:r>
        <w:rPr>
          <w:rFonts w:ascii="Times New Roman;serif" w:hAnsi="Times New Roman;serif"/>
          <w:b w:val="false"/>
          <w:color w:val="231F20"/>
          <w:sz w:val="20"/>
        </w:rPr>
        <w:t xml:space="preserve">gross profit </w:t>
      </w:r>
      <w:r>
        <w:rPr>
          <w:rFonts w:ascii="Times New Roman;serif" w:hAnsi="Times New Roman;serif"/>
          <w:b w:val="false"/>
          <w:color w:val="000000"/>
          <w:sz w:val="20"/>
        </w:rPr>
        <w:t>increase</w:t>
      </w:r>
      <w:r>
        <w:rPr>
          <w:rFonts w:ascii="Times New Roman;serif" w:hAnsi="Times New Roman;serif"/>
          <w:b w:val="false"/>
          <w:color w:val="231F20"/>
          <w:sz w:val="20"/>
        </w:rPr>
        <w:t xml:space="preserve">d to </w:t>
      </w:r>
      <w:r>
        <w:rPr>
          <w:rFonts w:ascii="Times New Roman;serif" w:hAnsi="Times New Roman;serif"/>
          <w:b w:val="false"/>
          <w:color w:val="000000"/>
          <w:sz w:val="20"/>
        </w:rPr>
        <w:t>$738 million</w:t>
      </w:r>
      <w:r>
        <w:rPr>
          <w:rFonts w:ascii="Times New Roman;serif" w:hAnsi="Times New Roman;serif"/>
          <w:b w:val="false"/>
          <w:color w:val="231F20"/>
          <w:sz w:val="20"/>
        </w:rPr>
        <w:t xml:space="preserve">, or 10% growth, compared to the same period of </w:t>
      </w:r>
      <w:r>
        <w:rPr>
          <w:rFonts w:ascii="Times New Roman;serif" w:hAnsi="Times New Roman;serif"/>
          <w:b w:val="false"/>
          <w:color w:val="000000"/>
          <w:sz w:val="20"/>
        </w:rPr>
        <w:t>2025, primarily driven by the increase in</w:t>
      </w:r>
      <w:r>
        <w:rPr>
          <w:color w:val="231F20"/>
        </w:rPr>
        <w:t xml:space="preserve"> </w:t>
      </w:r>
      <w:r>
        <w:rPr>
          <w:rFonts w:ascii="Times New Roman;serif" w:hAnsi="Times New Roman;serif"/>
          <w:b w:val="false"/>
          <w:color w:val="231F20"/>
          <w:sz w:val="20"/>
        </w:rPr>
        <w:t xml:space="preserve">total revenue. </w:t>
      </w:r>
      <w:r>
        <w:rPr>
          <w:rFonts w:ascii="Times New Roman;serif" w:hAnsi="Times New Roman;serif"/>
          <w:b w:val="false"/>
          <w:color w:val="000000"/>
          <w:sz w:val="20"/>
        </w:rPr>
        <w:t xml:space="preserve">Gross margin decreased by 2% to 72% in the first quarter of 2026, compared to the same period of 2025, primarily due to cost of revenue growing faster than revenue.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EBITDA, Adjusted EBITDA as a Percent of GTV, and 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and (x) restructuring charges. We define Adjusted EBITDA margin as Adjusted EBITDA as a percent of revenue. For more information about how we use these non-GAAP financial measures in our business, the limitations of these measures, and reconciliations of these measures to the most directly comparable GAAP financial measures, see the section titled “—Non-GAAP Financial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first quarter of 2026, Adjusted EBITDA increased to $300 million, or </w:t>
      </w:r>
      <w:r>
        <w:rPr>
          <w:rFonts w:ascii="Times New Roman;serif" w:hAnsi="Times New Roman;serif"/>
          <w:b w:val="false"/>
          <w:color w:val="231F20"/>
          <w:sz w:val="20"/>
        </w:rPr>
        <w:t>23%</w:t>
      </w:r>
      <w:r>
        <w:rPr>
          <w:color w:val="000000"/>
        </w:rPr>
        <w:t xml:space="preserve"> </w:t>
      </w:r>
      <w:r>
        <w:rPr>
          <w:rFonts w:ascii="Times New Roman;serif" w:hAnsi="Times New Roman;serif"/>
          <w:b w:val="false"/>
          <w:color w:val="000000"/>
          <w:sz w:val="20"/>
        </w:rPr>
        <w:t>growth, compared to the same period of 2025, primarily driven by a combination of strong GTV growth and operating leverage. Adjusted EBITDA, Adjusted EBITDA as a percent of GTV, and Adjusted EBITDA margin can vary significantly as we continue to make substantial investments to fuel our growth and scale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Free Cash Flow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purchases of property and equipment, including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first quarter of 2026, free cash flow decreased to $253 million, or </w:t>
      </w:r>
      <w:r>
        <w:rPr>
          <w:rFonts w:ascii="Times New Roman;serif" w:hAnsi="Times New Roman;serif"/>
          <w:b w:val="false"/>
          <w:color w:val="231F20"/>
          <w:sz w:val="20"/>
        </w:rPr>
        <w:t>10%</w:t>
      </w:r>
      <w:r>
        <w:rPr>
          <w:rFonts w:ascii="Times New Roman;serif" w:hAnsi="Times New Roman;serif"/>
          <w:b w:val="false"/>
          <w:color w:val="000000"/>
          <w:sz w:val="20"/>
        </w:rPr>
        <w:t>, compared to the same period of 2025, primarily due to the collection of a large accounts receivable balance in the first quarter of 2025 from a retailer and the payment of $60 million in regulatory settlements in January 2026.</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consists of transaction revenue and advertising and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Transaction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transaction revenue primarily from: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end users, whom we refer to as customers, (i) through service and delivery fees paid for arranging fulfillment services from shoppers and (ii) for monthly or annual Instacart+ memberships, our membership program, which offers unlimited $0 delivery fees on orders over a certain size, and other exclusive benefits;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retailers (i) through service fees in exchange for connecting retailers with customers to facilitate transactions on Instacart Marketplace and (ii) fees related to fulfillment for orders placed through retailers’ owned and operated online storefronts powered by Instacart Enterprise platform;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revenue share agreements with third parties that supply payment cards to Instacart shoppers for in-store use.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revenue is recognized upon transfer of control of services, net of the purchase value of the goods remitted to retailers and payments to shoppers for their services (including any shopper incentives), coupons, consumer incentives, and refunds. We expect transaction revenue from customer and retailer fees to fluctuate from time to time as a result of customer and retailer fee optimizations and changes in the mix of customer use cases and fulfillment options. We also expect the amounts of payments to shoppers, coupons, consumer and shopper incentives, and refunds to fluctuate over time depending on a number of factors. For example, implementation of additional fulfillment options, shifts in our ability to use shoppers, or regulatory changes related to our engagement of shoppers, as well as fulfillment efficiencies, such as changes in our batch rate, average time spent per order, shopper tenure, and shopper pay optimization, could result in fluctuations in our transaction revenue. In addition, periods of elevated customer demand have resulted in and can in the future result in increased shopper incentives and degradation of order quality due to higher rates of out of stock items and other delays, which in turn generally lead to more appeasement credits and refunds. Furthermore, our overall marketing strategy will impact the spend mix between activities that are recorded as reductions of revenue, such as promotions and consumer incentives, and activities that are recorded as sales and marketing expense, such as paid marketing and referrer credits. In certain cases, reductions of revenue can be more than fees received from retailers and customers. As a result of these factors, transaction revenue as a percent of GTV may fluctuate over time.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Advertising and Other Revenue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generate advertising and other revenue from:</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the sale of advertising services to brands that are interested in reaching customers;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certain partners for use of our software-as-a-service solution through Instacart Enterprise platform that enhances the omnichannel shopping experience, with revenue recognized over the subscription period as services are provided.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 is recognized upon delivery of clicks, upon delivery of impressions, over the contract term on a fixed fee basis, or upon redemptions of coupons. For advertising arrangements that involve third parties, we record advertising revenue on a gross or net basis based on 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Advertising and other revenue has historically been, and is expected to continue to be, seasonally high in the fourth quarter and seasonally low in the first quarter in a given year as a result of how advertisers deploy their budgets. In addition, we expect our advertising and other revenue growth rate and advertising and other investment rate </w:t>
      </w:r>
      <w:r>
        <w:rPr>
          <w:rFonts w:ascii="Times New Roman;serif" w:hAnsi="Times New Roman;serif"/>
          <w:b w:val="false"/>
          <w:color w:val="231F20"/>
          <w:sz w:val="20"/>
        </w:rPr>
        <w:t>(which we define as advertising and other revenue in a given period divided by GTV in such period) to continue to</w:t>
      </w:r>
      <w:r>
        <w:rPr>
          <w:color w:val="000000"/>
        </w:rPr>
        <w:t xml:space="preserve"> </w:t>
      </w:r>
      <w:r>
        <w:rPr>
          <w:rFonts w:ascii="Times New Roman;serif" w:hAnsi="Times New Roman;serif"/>
          <w:b w:val="false"/>
          <w:color w:val="000000"/>
          <w:sz w:val="20"/>
        </w:rPr>
        <w:t xml:space="preserve">fluctuate, particularly during periods of acceleration or decreases in our GTV growth. We also expect advertising and other investment rate to fluctuate during periods in which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 We also expect our advertising and other revenue growth to fluctuate in the near term due to changes in brand partner spend, including as a result of the macroeconomic factors described above and in response to our GTV growth trends, which may occur on a delayed basis, as well as changes in the mix of revenue contribution from advertising contracts in effect in a particular period and related recognition of advertising revenue on a gross or net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primarily consists of third-party payment processing fees, depreciation expense and amortization expense of capitalized internal-use software and technology-related intangible assets, hosting fees, insurance costs attributed to fulfillment, payments to publishers, and expenses related to cancellations.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cost of revenue, exclusive of stock-based compensation expense, will increase on an absolute dollar basis and vary from period to period as a percent of revenue as we continue to grow our operations.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average order values, customer fee optimization, and levels of consumer incentives, (2) operational efficiencies, (3) negotiations with our retail partners, third-party payment processors, publishers, and hosting providers, and (4) macroeconomic factors as discussed above. As we continue to expand across fulfillment options and consumer use cases, we also expect to incur additional types of costs, such as certain labor costs, that can impact both our cost of revenue and profitability trends in the future. Additionally, we expect fluctuations in transaction revenue and advertising and other revenue as described above.</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Operations and Support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Operations and support expense primarily consists of compensation costs for employees who support our operations, costs of customer and shopper support, costs to attract and onboard new shoppers, expenses related to software and subscriptions, and depreciation and amortization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Operations and support expense, exclusive of stock-based compensation expense, may increase on an absolute dollar basis and vary from period to period as a percent of revenue and as a percent of GTV as we continue to invest in our operations and may hire additional employees, third-party consultants, and contractors to support our operations.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primarily consists of compensation costs for our engineering employees, costs related to subscriptions and software, hosting fees attributed to research and development, third-party consulting fees, and depreciation and amortization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exclusive of stock-based compensation expense, may increase on an absolute dollar basis and vary from period to period as a percent of revenue and as a percent of GTV as we continue to invest in research and development activities relating to ongoing improvements to, and maintenance of, our offerings, including the hiring of engineering, product development, and design employees to support these efforts.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Sales and Marketing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primarily consists of advertising expenses, such as paid marketing, compensation costs for sales and marketing employees, third-party consulting fees, amortization expense of customer relationship intangible assets, and depreciation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exclusive of stock-based compensation expense, may increase on an absolute dollar basis and vary as a percent of revenue, and as a percent of GTV as we continue to invest in sales and marketing to attract and increase the engagement of customers on Instacart and increase our brand awareness. While we expect sales and marketing expense to be one of our largest operating expenses for the foreseeable future, the trend and timing of our sales and marketing expense will depend in large part on the timing and magnitude of our marketing campaigns.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primarily consists of compensation costs for administrative employees, including finance and accounting, human resources, policy, and legal; legal, regulatory, and policy expenses; third-party consulting fees; depreciation expense; amortization expense of patents and trademarks; and taxes.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exclusive of stock-based compensation expense, may increase on an absolute dollar basis and vary from period to period as a percent of revenue and as a percent of GTV as we continue to invest in processes, systems, and controls to enable our internal support functions to scale with the growth of our business.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gains and losses from transactions denominated in a currency other than the functional currency.</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on our cash and cash equivalents, restricted cash and cash equivalents, and marketable securities.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Provision for (Benefit from) Income Taxes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consists primarily of income taxes in certain federal, state, local, and foreign jurisdictions in which we conduct business. Our provision for (benefit from) income taxes differs from the U.S. federal statutory income tax rate primarily due to the tax effects of stock-based compensation recognized, federal and California research and development credits generated, and the income taxes generated in U.S. states and foreign jurisdictions. Our future effective income tax rate depends on various factors, such as changes in tax laws, regulations, accounting principles, or interpretations thereof, and the geographic composition of our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results of operations for the periods indicated:</w:t>
      </w:r>
    </w:p>
    <w:tbl>
      <w:tblPr>
        <w:tblW w:w="5951" w:type="dxa"/>
        <w:jc w:val="left"/>
        <w:tblInd w:w="0" w:type="dxa"/>
        <w:tblLayout w:type="fixed"/>
        <w:tblCellMar>
          <w:top w:w="28" w:type="dxa"/>
          <w:left w:w="28" w:type="dxa"/>
          <w:bottom w:w="28" w:type="dxa"/>
          <w:right w:w="28" w:type="dxa"/>
        </w:tblCellMar>
      </w:tblPr>
      <w:tblGrid>
        <w:gridCol w:w="1112"/>
        <w:gridCol w:w="977"/>
        <w:gridCol w:w="986"/>
        <w:gridCol w:w="245"/>
        <w:gridCol w:w="528"/>
        <w:gridCol w:w="136"/>
        <w:gridCol w:w="136"/>
        <w:gridCol w:w="136"/>
        <w:gridCol w:w="136"/>
        <w:gridCol w:w="245"/>
        <w:gridCol w:w="697"/>
        <w:gridCol w:w="136"/>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(1)(2)</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Operations and support </w:t>
            </w:r>
            <w:r>
              <w:rPr>
                <w:rFonts w:ascii="Times New Roman;serif" w:hAnsi="Times New Roman;serif"/>
                <w:b w:val="false"/>
                <w:color w:val="000000"/>
                <w:sz w:val="12"/>
              </w:rPr>
              <w:t>(1)(2)</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(1)(2)</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(1)(2)</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(1)(2)</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Amounts include depreciation and amortization expense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tbl>
      <w:tblPr>
        <w:tblW w:w="5637" w:type="dxa"/>
        <w:jc w:val="left"/>
        <w:tblInd w:w="0" w:type="dxa"/>
        <w:tblLayout w:type="fixed"/>
        <w:tblCellMar>
          <w:top w:w="28" w:type="dxa"/>
          <w:left w:w="28" w:type="dxa"/>
          <w:bottom w:w="28" w:type="dxa"/>
          <w:right w:w="28" w:type="dxa"/>
        </w:tblCellMar>
      </w:tblPr>
      <w:tblGrid>
        <w:gridCol w:w="1158"/>
        <w:gridCol w:w="1015"/>
        <w:gridCol w:w="1021"/>
        <w:gridCol w:w="240"/>
        <w:gridCol w:w="406"/>
        <w:gridCol w:w="134"/>
        <w:gridCol w:w="134"/>
        <w:gridCol w:w="134"/>
        <w:gridCol w:w="134"/>
        <w:gridCol w:w="240"/>
        <w:gridCol w:w="406"/>
        <w:gridCol w:w="134"/>
        <w:gridCol w:w="109"/>
        <w:gridCol w:w="109"/>
        <w:gridCol w:w="109"/>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4"/>
              </w:rPr>
            </w:pPr>
            <w:r>
              <w:rPr>
                <w:rFonts w:ascii="Times New Roman;serif" w:hAnsi="Times New Roman;serif"/>
                <w:b/>
                <w:color w:val="231F20"/>
                <w:sz w:val="14"/>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 expense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Amounts include stock-based compensation expense as follows:</w:t>
      </w:r>
    </w:p>
    <w:p>
      <w:pPr>
        <w:pStyle w:val="TextBody"/>
        <w:bidi w:val="0"/>
        <w:spacing w:before="0" w:after="0"/>
        <w:jc w:val="both"/>
        <w:rPr/>
      </w:pPr>
      <w:r>
        <w:rPr/>
      </w:r>
    </w:p>
    <w:tbl>
      <w:tblPr>
        <w:tblW w:w="5383" w:type="dxa"/>
        <w:jc w:val="left"/>
        <w:tblInd w:w="0" w:type="dxa"/>
        <w:tblLayout w:type="fixed"/>
        <w:tblCellMar>
          <w:top w:w="28" w:type="dxa"/>
          <w:left w:w="28" w:type="dxa"/>
          <w:bottom w:w="28" w:type="dxa"/>
          <w:right w:w="28" w:type="dxa"/>
        </w:tblCellMar>
      </w:tblPr>
      <w:tblGrid>
        <w:gridCol w:w="1066"/>
        <w:gridCol w:w="934"/>
        <w:gridCol w:w="940"/>
        <w:gridCol w:w="240"/>
        <w:gridCol w:w="406"/>
        <w:gridCol w:w="134"/>
        <w:gridCol w:w="134"/>
        <w:gridCol w:w="134"/>
        <w:gridCol w:w="134"/>
        <w:gridCol w:w="240"/>
        <w:gridCol w:w="406"/>
        <w:gridCol w:w="134"/>
        <w:gridCol w:w="109"/>
        <w:gridCol w:w="109"/>
        <w:gridCol w:w="109"/>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66 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80 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components of our condensed consolidated statements of operations data, for each of the periods presented, as a percent of revenue.</w:t>
      </w:r>
    </w:p>
    <w:p>
      <w:pPr>
        <w:pStyle w:val="TextBody"/>
        <w:bidi w:val="0"/>
        <w:spacing w:before="0" w:after="0"/>
        <w:jc w:val="left"/>
        <w:rPr/>
      </w:pPr>
      <w:r>
        <w:rPr/>
      </w:r>
    </w:p>
    <w:tbl>
      <w:tblPr>
        <w:tblW w:w="5976" w:type="dxa"/>
        <w:jc w:val="left"/>
        <w:tblInd w:w="0" w:type="dxa"/>
        <w:tblLayout w:type="fixed"/>
        <w:tblCellMar>
          <w:top w:w="28" w:type="dxa"/>
          <w:left w:w="28" w:type="dxa"/>
          <w:bottom w:w="28" w:type="dxa"/>
          <w:right w:w="28" w:type="dxa"/>
        </w:tblCellMar>
      </w:tblPr>
      <w:tblGrid>
        <w:gridCol w:w="1112"/>
        <w:gridCol w:w="977"/>
        <w:gridCol w:w="985"/>
        <w:gridCol w:w="210"/>
        <w:gridCol w:w="211"/>
        <w:gridCol w:w="482"/>
        <w:gridCol w:w="205"/>
        <w:gridCol w:w="205"/>
        <w:gridCol w:w="205"/>
        <w:gridCol w:w="210"/>
        <w:gridCol w:w="211"/>
        <w:gridCol w:w="482"/>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(as a percent of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Months Ended March 31, 2025 and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tbl>
      <w:tblPr>
        <w:tblW w:w="7297" w:type="dxa"/>
        <w:jc w:val="left"/>
        <w:tblInd w:w="0" w:type="dxa"/>
        <w:tblLayout w:type="fixed"/>
        <w:tblCellMar>
          <w:top w:w="28" w:type="dxa"/>
          <w:left w:w="28" w:type="dxa"/>
          <w:bottom w:w="28" w:type="dxa"/>
          <w:right w:w="28" w:type="dxa"/>
        </w:tblCellMar>
      </w:tblPr>
      <w:tblGrid>
        <w:gridCol w:w="601"/>
        <w:gridCol w:w="528"/>
        <w:gridCol w:w="535"/>
        <w:gridCol w:w="245"/>
        <w:gridCol w:w="528"/>
        <w:gridCol w:w="136"/>
        <w:gridCol w:w="136"/>
        <w:gridCol w:w="136"/>
        <w:gridCol w:w="136"/>
        <w:gridCol w:w="245"/>
        <w:gridCol w:w="697"/>
        <w:gridCol w:w="136"/>
        <w:gridCol w:w="109"/>
        <w:gridCol w:w="109"/>
        <w:gridCol w:w="109"/>
        <w:gridCol w:w="214"/>
        <w:gridCol w:w="461"/>
        <w:gridCol w:w="121"/>
        <w:gridCol w:w="109"/>
        <w:gridCol w:w="109"/>
        <w:gridCol w:w="109"/>
        <w:gridCol w:w="200"/>
        <w:gridCol w:w="200"/>
        <w:gridCol w:w="471"/>
        <w:gridCol w:w="109"/>
        <w:gridCol w:w="109"/>
        <w:gridCol w:w="109"/>
        <w:gridCol w:w="109"/>
        <w:gridCol w:w="109"/>
        <w:gridCol w:w="109"/>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Transaction</w:t>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Advertising and other</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pPr>
      <w:r>
        <w:rPr>
          <w:rFonts w:ascii="Times New Roman;serif" w:hAnsi="Times New Roman;serif"/>
          <w:b w:val="false"/>
          <w:color w:val="000000"/>
          <w:sz w:val="20"/>
        </w:rPr>
        <w:t>The increase in transaction revenue during the first quarter of 2026, compared to the same period of 2025, was primarily driven by growth in GTV, which grew 13%,</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increased fulfillment efficiencies</w:t>
      </w:r>
      <w:r>
        <w:rPr>
          <w:rFonts w:ascii="Times New Roman;serif" w:hAnsi="Times New Roman;serif"/>
          <w:b w:val="false"/>
          <w:color w:val="231F20"/>
          <w:sz w:val="20"/>
        </w:rPr>
        <w:t xml:space="preserve">, </w:t>
      </w:r>
      <w:r>
        <w:rPr>
          <w:rFonts w:ascii="Times New Roman;serif" w:hAnsi="Times New Roman;serif"/>
          <w:b w:val="false"/>
          <w:color w:val="000000"/>
          <w:sz w:val="20"/>
        </w:rPr>
        <w:t>partially offset by lower payment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advertising and other revenue during the first quarter of 2026, compared to the same period of 2025, was primarily driven by interrelated factors including an increase in advertising volume, activity on our platform, and strength from emerging and mid-size brand partners. Advertising and other investment rate increased by 8 basis points to 2.8% during the first quarter of 2026, compared to the same period of 2025, as advertising and other revenue grew faster than GTV.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p>
      <w:pPr>
        <w:pStyle w:val="TextBody"/>
        <w:bidi w:val="0"/>
        <w:spacing w:before="0" w:after="0"/>
        <w:jc w:val="left"/>
        <w:rPr/>
      </w:pPr>
      <w:r>
        <w:rPr/>
      </w:r>
    </w:p>
    <w:tbl>
      <w:tblPr>
        <w:tblW w:w="6881" w:type="dxa"/>
        <w:jc w:val="left"/>
        <w:tblInd w:w="0" w:type="dxa"/>
        <w:tblLayout w:type="fixed"/>
        <w:tblCellMar>
          <w:top w:w="28" w:type="dxa"/>
          <w:left w:w="28" w:type="dxa"/>
          <w:bottom w:w="28" w:type="dxa"/>
          <w:right w:w="28" w:type="dxa"/>
        </w:tblCellMar>
      </w:tblPr>
      <w:tblGrid>
        <w:gridCol w:w="451"/>
        <w:gridCol w:w="396"/>
        <w:gridCol w:w="398"/>
        <w:gridCol w:w="227"/>
        <w:gridCol w:w="487"/>
        <w:gridCol w:w="296"/>
        <w:gridCol w:w="126"/>
        <w:gridCol w:w="126"/>
        <w:gridCol w:w="126"/>
        <w:gridCol w:w="227"/>
        <w:gridCol w:w="487"/>
        <w:gridCol w:w="296"/>
        <w:gridCol w:w="109"/>
        <w:gridCol w:w="109"/>
        <w:gridCol w:w="109"/>
        <w:gridCol w:w="245"/>
        <w:gridCol w:w="414"/>
        <w:gridCol w:w="137"/>
        <w:gridCol w:w="109"/>
        <w:gridCol w:w="109"/>
        <w:gridCol w:w="109"/>
        <w:gridCol w:w="200"/>
        <w:gridCol w:w="200"/>
        <w:gridCol w:w="471"/>
        <w:gridCol w:w="109"/>
        <w:gridCol w:w="109"/>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2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72 </w:t>
            </w:r>
          </w:p>
        </w:tc>
        <w:tc>
          <w:tcPr>
            <w:tcW w:w="2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 during the first quarter of 2026, compared to the same period of 2025, was primarily due to an increase of $16 million in credit card processing fees, an increase of $12 million in payments to publishers, and an increase of $10 million in depreciation and amortization expense, primarily related to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increase in gross profit during the first quarter of 2026, compared to the same period of 2025, was primarily driven by the increase in total revenue due to the factors described above. The decrease in gross margin during the first quarter of 2026, compared to the same period of 2025, was primarily due to cost of revenue growing faster than revenue</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Operations and Support Expense</w:t>
      </w:r>
    </w:p>
    <w:p>
      <w:pPr>
        <w:pStyle w:val="TextBody"/>
        <w:bidi w:val="0"/>
        <w:spacing w:before="0" w:after="0"/>
        <w:jc w:val="both"/>
        <w:rPr/>
      </w:pPr>
      <w:r>
        <w:rPr/>
      </w:r>
    </w:p>
    <w:tbl>
      <w:tblPr>
        <w:tblW w:w="7418" w:type="dxa"/>
        <w:jc w:val="left"/>
        <w:tblInd w:w="0" w:type="dxa"/>
        <w:tblLayout w:type="fixed"/>
        <w:tblCellMar>
          <w:top w:w="28" w:type="dxa"/>
          <w:left w:w="28" w:type="dxa"/>
          <w:bottom w:w="28" w:type="dxa"/>
          <w:right w:w="28" w:type="dxa"/>
        </w:tblCellMar>
      </w:tblPr>
      <w:tblGrid>
        <w:gridCol w:w="646"/>
        <w:gridCol w:w="568"/>
        <w:gridCol w:w="570"/>
        <w:gridCol w:w="248"/>
        <w:gridCol w:w="419"/>
        <w:gridCol w:w="324"/>
        <w:gridCol w:w="138"/>
        <w:gridCol w:w="138"/>
        <w:gridCol w:w="138"/>
        <w:gridCol w:w="248"/>
        <w:gridCol w:w="419"/>
        <w:gridCol w:w="324"/>
        <w:gridCol w:w="109"/>
        <w:gridCol w:w="109"/>
        <w:gridCol w:w="109"/>
        <w:gridCol w:w="278"/>
        <w:gridCol w:w="363"/>
        <w:gridCol w:w="155"/>
        <w:gridCol w:w="109"/>
        <w:gridCol w:w="109"/>
        <w:gridCol w:w="109"/>
        <w:gridCol w:w="200"/>
        <w:gridCol w:w="200"/>
        <w:gridCol w:w="471"/>
        <w:gridCol w:w="109"/>
        <w:gridCol w:w="109"/>
        <w:gridCol w:w="109"/>
        <w:gridCol w:w="109"/>
        <w:gridCol w:w="109"/>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2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8 </w:t>
            </w:r>
          </w:p>
        </w:tc>
        <w:tc>
          <w:tcPr>
            <w:tcW w:w="3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3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operations and support expense during the first quarter of 2026, compared to the same period in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jc w:val="both"/>
        <w:rPr/>
      </w:pPr>
      <w:r>
        <w:rPr/>
      </w:r>
    </w:p>
    <w:tbl>
      <w:tblPr>
        <w:tblW w:w="7646" w:type="dxa"/>
        <w:jc w:val="left"/>
        <w:tblInd w:w="0" w:type="dxa"/>
        <w:tblLayout w:type="fixed"/>
        <w:tblCellMar>
          <w:top w:w="28" w:type="dxa"/>
          <w:left w:w="28" w:type="dxa"/>
          <w:bottom w:w="28" w:type="dxa"/>
          <w:right w:w="28" w:type="dxa"/>
        </w:tblCellMar>
      </w:tblPr>
      <w:tblGrid>
        <w:gridCol w:w="728"/>
        <w:gridCol w:w="640"/>
        <w:gridCol w:w="642"/>
        <w:gridCol w:w="227"/>
        <w:gridCol w:w="487"/>
        <w:gridCol w:w="296"/>
        <w:gridCol w:w="126"/>
        <w:gridCol w:w="126"/>
        <w:gridCol w:w="126"/>
        <w:gridCol w:w="227"/>
        <w:gridCol w:w="487"/>
        <w:gridCol w:w="296"/>
        <w:gridCol w:w="109"/>
        <w:gridCol w:w="109"/>
        <w:gridCol w:w="109"/>
        <w:gridCol w:w="245"/>
        <w:gridCol w:w="414"/>
        <w:gridCol w:w="137"/>
        <w:gridCol w:w="109"/>
        <w:gridCol w:w="109"/>
        <w:gridCol w:w="109"/>
        <w:gridCol w:w="200"/>
        <w:gridCol w:w="200"/>
        <w:gridCol w:w="471"/>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16 </w:t>
            </w:r>
          </w:p>
        </w:tc>
        <w:tc>
          <w:tcPr>
            <w:tcW w:w="2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16 </w:t>
            </w:r>
          </w:p>
        </w:tc>
        <w:tc>
          <w:tcPr>
            <w:tcW w:w="2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during the first quarter of 2026, compared to the same period in 2025, was primarily due to a net increase of $13 million in total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before="0" w:after="0"/>
        <w:jc w:val="both"/>
        <w:rPr/>
      </w:pPr>
      <w:r>
        <w:rPr/>
      </w:r>
    </w:p>
    <w:tbl>
      <w:tblPr>
        <w:tblW w:w="7181" w:type="dxa"/>
        <w:jc w:val="left"/>
        <w:tblInd w:w="0" w:type="dxa"/>
        <w:tblLayout w:type="fixed"/>
        <w:tblCellMar>
          <w:top w:w="28" w:type="dxa"/>
          <w:left w:w="28" w:type="dxa"/>
          <w:bottom w:w="28" w:type="dxa"/>
          <w:right w:w="28" w:type="dxa"/>
        </w:tblCellMar>
      </w:tblPr>
      <w:tblGrid>
        <w:gridCol w:w="559"/>
        <w:gridCol w:w="492"/>
        <w:gridCol w:w="494"/>
        <w:gridCol w:w="227"/>
        <w:gridCol w:w="487"/>
        <w:gridCol w:w="296"/>
        <w:gridCol w:w="126"/>
        <w:gridCol w:w="126"/>
        <w:gridCol w:w="126"/>
        <w:gridCol w:w="227"/>
        <w:gridCol w:w="487"/>
        <w:gridCol w:w="296"/>
        <w:gridCol w:w="109"/>
        <w:gridCol w:w="109"/>
        <w:gridCol w:w="109"/>
        <w:gridCol w:w="245"/>
        <w:gridCol w:w="414"/>
        <w:gridCol w:w="137"/>
        <w:gridCol w:w="109"/>
        <w:gridCol w:w="109"/>
        <w:gridCol w:w="109"/>
        <w:gridCol w:w="200"/>
        <w:gridCol w:w="200"/>
        <w:gridCol w:w="471"/>
        <w:gridCol w:w="109"/>
        <w:gridCol w:w="109"/>
        <w:gridCol w:w="109"/>
        <w:gridCol w:w="109"/>
        <w:gridCol w:w="109"/>
        <w:gridCol w:w="109"/>
        <w:gridCol w:w="109"/>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2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23 </w:t>
            </w:r>
          </w:p>
        </w:tc>
        <w:tc>
          <w:tcPr>
            <w:tcW w:w="2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sales and marketing expense during the first quarter of 2026, compared to the same period in 2025, was primarily due to an increase of $10 million in marketing costs, primarily from increased paid marketing.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before="0" w:after="0"/>
        <w:jc w:val="both"/>
        <w:rPr/>
      </w:pPr>
      <w:r>
        <w:rPr/>
      </w:r>
    </w:p>
    <w:tbl>
      <w:tblPr>
        <w:tblW w:w="7647" w:type="dxa"/>
        <w:jc w:val="left"/>
        <w:tblInd w:w="0" w:type="dxa"/>
        <w:tblLayout w:type="fixed"/>
        <w:tblCellMar>
          <w:top w:w="28" w:type="dxa"/>
          <w:left w:w="28" w:type="dxa"/>
          <w:bottom w:w="28" w:type="dxa"/>
          <w:right w:w="28" w:type="dxa"/>
        </w:tblCellMar>
      </w:tblPr>
      <w:tblGrid>
        <w:gridCol w:w="727"/>
        <w:gridCol w:w="640"/>
        <w:gridCol w:w="642"/>
        <w:gridCol w:w="237"/>
        <w:gridCol w:w="509"/>
        <w:gridCol w:w="309"/>
        <w:gridCol w:w="131"/>
        <w:gridCol w:w="131"/>
        <w:gridCol w:w="131"/>
        <w:gridCol w:w="237"/>
        <w:gridCol w:w="400"/>
        <w:gridCol w:w="309"/>
        <w:gridCol w:w="109"/>
        <w:gridCol w:w="109"/>
        <w:gridCol w:w="109"/>
        <w:gridCol w:w="239"/>
        <w:gridCol w:w="423"/>
        <w:gridCol w:w="134"/>
        <w:gridCol w:w="109"/>
        <w:gridCol w:w="109"/>
        <w:gridCol w:w="109"/>
        <w:gridCol w:w="203"/>
        <w:gridCol w:w="203"/>
        <w:gridCol w:w="471"/>
        <w:gridCol w:w="109"/>
        <w:gridCol w:w="109"/>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 during the first quarter of 2026, compared to the same period of 2025, was primarily due to a decrease of $46 million in accruals for legal matters and sales and indirect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jc w:val="both"/>
        <w:rPr/>
      </w:pPr>
      <w:r>
        <w:rPr/>
      </w:r>
    </w:p>
    <w:tbl>
      <w:tblPr>
        <w:tblW w:w="6840" w:type="dxa"/>
        <w:jc w:val="left"/>
        <w:tblInd w:w="0" w:type="dxa"/>
        <w:tblLayout w:type="fixed"/>
        <w:tblCellMar>
          <w:top w:w="28" w:type="dxa"/>
          <w:left w:w="28" w:type="dxa"/>
          <w:bottom w:w="28" w:type="dxa"/>
          <w:right w:w="28" w:type="dxa"/>
        </w:tblCellMar>
      </w:tblPr>
      <w:tblGrid>
        <w:gridCol w:w="435"/>
        <w:gridCol w:w="381"/>
        <w:gridCol w:w="384"/>
        <w:gridCol w:w="311"/>
        <w:gridCol w:w="526"/>
        <w:gridCol w:w="173"/>
        <w:gridCol w:w="173"/>
        <w:gridCol w:w="173"/>
        <w:gridCol w:w="173"/>
        <w:gridCol w:w="311"/>
        <w:gridCol w:w="383"/>
        <w:gridCol w:w="173"/>
        <w:gridCol w:w="109"/>
        <w:gridCol w:w="109"/>
        <w:gridCol w:w="109"/>
        <w:gridCol w:w="278"/>
        <w:gridCol w:w="363"/>
        <w:gridCol w:w="155"/>
        <w:gridCol w:w="109"/>
        <w:gridCol w:w="109"/>
        <w:gridCol w:w="109"/>
        <w:gridCol w:w="203"/>
        <w:gridCol w:w="203"/>
        <w:gridCol w:w="471"/>
        <w:gridCol w:w="109"/>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during the first quarter of 2026, compared to the same period of 2025, was primarily due to lower interest rates and a reduction in the average balance of our cash, cash equivalents,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jc w:val="both"/>
        <w:rPr/>
      </w:pPr>
      <w:r>
        <w:rPr/>
      </w:r>
    </w:p>
    <w:tbl>
      <w:tblPr>
        <w:tblW w:w="7681" w:type="dxa"/>
        <w:jc w:val="left"/>
        <w:tblInd w:w="0" w:type="dxa"/>
        <w:tblLayout w:type="fixed"/>
        <w:tblCellMar>
          <w:top w:w="28" w:type="dxa"/>
          <w:left w:w="28" w:type="dxa"/>
          <w:bottom w:w="28" w:type="dxa"/>
          <w:right w:w="28" w:type="dxa"/>
        </w:tblCellMar>
      </w:tblPr>
      <w:tblGrid>
        <w:gridCol w:w="734"/>
        <w:gridCol w:w="644"/>
        <w:gridCol w:w="647"/>
        <w:gridCol w:w="294"/>
        <w:gridCol w:w="497"/>
        <w:gridCol w:w="163"/>
        <w:gridCol w:w="163"/>
        <w:gridCol w:w="163"/>
        <w:gridCol w:w="163"/>
        <w:gridCol w:w="294"/>
        <w:gridCol w:w="497"/>
        <w:gridCol w:w="163"/>
        <w:gridCol w:w="109"/>
        <w:gridCol w:w="109"/>
        <w:gridCol w:w="109"/>
        <w:gridCol w:w="245"/>
        <w:gridCol w:w="414"/>
        <w:gridCol w:w="137"/>
        <w:gridCol w:w="109"/>
        <w:gridCol w:w="109"/>
        <w:gridCol w:w="109"/>
        <w:gridCol w:w="210"/>
        <w:gridCol w:w="211"/>
        <w:gridCol w:w="471"/>
        <w:gridCol w:w="109"/>
        <w:gridCol w:w="109"/>
        <w:gridCol w:w="109"/>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148 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first quarter of 2026, compared to the same period of 2025, was due to the tax effects of stock-based compensation recognized, U.S. research and development credits generated, and the income taxes generated in U.S. states and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prepared and presented in accordance with GAAP, we use certain non-GAAP financial measures, as described below, to facilitate analysis of our financial and business trends and for internal planning and forecasting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expense as a percent of GTV, adjusted sales and marketing expense, adjusted sales and marketing expense as a percent of GTV, adjusted general and administrative expense, adjusted general and administrative expense as a percent of GTV, adjusted total operating expenses, adjusted total operating expenses as a percent of GTV, and free cash flow (collectively “Non-GAAP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Measures to assist investors in seeing our business and financial performance through the eyes of management, and because we believe that these Non-GAAP Measures provide an additional tool for investors to use in comparing results of operations of our business over multiple periods with other companies in our industry.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Non-GAAP financial measures are not meant to be considered in isolation or as a substitute for comparable GAAP financial measures and should be read only in conjunction with our condensed consolidated statements of operations prepared in accordance with GAAP. Our presentation of non-GAAP financial measures may not be comparable to similar measures used by other companies, which reduce their usefulness as comparative measures. In addition, other companies may not publish these or similar measures. Further, these measures have certain limitations in that they do not include the impact of certain expenses that are reflected in our condensed consolidated statements of operations.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Adjusted EBITDA as a Percent of GTV, and Adjusted EBITDA Margin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and (x) restructuring charges. We define Adjusted EBITDA margin as Adjusted EBITDA as a percent of revenue.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include Adjusted EBITDA, Adjusted EBITDA as a percent of GTV, and Adjusted EBITDA margin in this Quarterly Report on Form 10-Q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revenue growth and operating efficiencies when compared to GTV and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 agencies, and other parties in evaluating companies in our industry as a measure of operational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Adjusted EBITDA as a percent of GTV, and Adjusted EBITDA margin should not be considered as alternatives to net income (loss), net income (loss) as a percent of GTV, net income (loss) as a percent of revenue, or any other measure of financial performance calculated and presented in accordance with GAAP. There are a number of limitations related to the use of Adjusted EBITDA, Adjusted EBITDA as a percent of GTV, and Adjusted EBITDA margin rather than net income (loss), net income (loss) as a percent of GTV, and net income (loss) as a percent of revenue, which are the most directly comparable GAAP measures. Some of these limitations are that each of Adjusted EBITDA, Adjusted EBITDA as a percent of GTV, and Adjusted EBITDA margin:</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provision for or benefit from income taxes that reduces or increases cash available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interest income which increases cash available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other income or expense that includes unrealized and realized gains and losses on foreign currency exchange;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depreciation and amortization expense, and although these are non-cash expenses, the assets being depreciated may have to be replaced in the future, increasing our cash requirements;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stock-based compensation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payroll taxes related to stock-based compensation;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the positive or adverse adjustments related to the reserve for sales and other indirect taxes or certain legal and regulatory accruals and settlements, net;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acquisition-related expenses;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restructuring charges.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Adjusted EBITDA to net income (loss), the most directly comparable financial measure calculated in accordance with GAAP:</w:t>
      </w:r>
    </w:p>
    <w:p>
      <w:pPr>
        <w:pStyle w:val="TextBody"/>
        <w:bidi w:val="0"/>
        <w:spacing w:before="0" w:after="0"/>
        <w:ind w:left="0" w:right="0" w:firstLine="360"/>
        <w:jc w:val="both"/>
        <w:rPr/>
      </w:pPr>
      <w:r>
        <w:rPr/>
      </w:r>
    </w:p>
    <w:tbl>
      <w:tblPr>
        <w:tblW w:w="7182" w:type="dxa"/>
        <w:jc w:val="left"/>
        <w:tblInd w:w="0" w:type="dxa"/>
        <w:tblLayout w:type="fixed"/>
        <w:tblCellMar>
          <w:top w:w="28" w:type="dxa"/>
          <w:left w:w="28" w:type="dxa"/>
          <w:bottom w:w="28" w:type="dxa"/>
          <w:right w:w="28" w:type="dxa"/>
        </w:tblCellMar>
      </w:tblPr>
      <w:tblGrid>
        <w:gridCol w:w="1558"/>
        <w:gridCol w:w="1370"/>
        <w:gridCol w:w="1377"/>
        <w:gridCol w:w="324"/>
        <w:gridCol w:w="180"/>
        <w:gridCol w:w="424"/>
        <w:gridCol w:w="180"/>
        <w:gridCol w:w="180"/>
        <w:gridCol w:w="180"/>
        <w:gridCol w:w="324"/>
        <w:gridCol w:w="180"/>
        <w:gridCol w:w="424"/>
        <w:gridCol w:w="109"/>
        <w:gridCol w:w="109"/>
        <w:gridCol w:w="109"/>
        <w:gridCol w:w="154"/>
      </w:tblGrid>
      <w:tr>
        <w:trPr/>
        <w:tc>
          <w:tcPr>
            <w:tcW w:w="15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(2)</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(3)</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GTV</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9,122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as a percent of GTV</w:t>
            </w:r>
          </w:p>
        </w:tc>
        <w:tc>
          <w:tcPr>
            <w:tcW w:w="5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as a percent of GTV</w:t>
            </w:r>
          </w:p>
        </w:tc>
        <w:tc>
          <w:tcPr>
            <w:tcW w:w="5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2.7 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as a percent of revenue</w:t>
            </w:r>
          </w:p>
        </w:tc>
        <w:tc>
          <w:tcPr>
            <w:tcW w:w="5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5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27 </w:t>
            </w:r>
          </w:p>
        </w:tc>
        <w:tc>
          <w:tcPr>
            <w:tcW w:w="4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Cost of Revenue and Adjusted Cost of Revenue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cost of revenue as cost of revenue excluding depreciation and amortization expense and stock-based compensation expense. We exclude depreciation and amortization expense and stock-based compensation expense as they are non-cash in nature.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cost of revenue to adjusted cost of revenue:</w:t>
      </w:r>
    </w:p>
    <w:p>
      <w:pPr>
        <w:pStyle w:val="TextBody"/>
        <w:bidi w:val="0"/>
        <w:spacing w:before="0" w:after="0"/>
        <w:jc w:val="left"/>
        <w:rPr/>
      </w:pPr>
      <w:r>
        <w:rPr/>
      </w:r>
    </w:p>
    <w:tbl>
      <w:tblPr>
        <w:tblW w:w="6253" w:type="dxa"/>
        <w:jc w:val="left"/>
        <w:tblInd w:w="0" w:type="dxa"/>
        <w:tblLayout w:type="fixed"/>
        <w:tblCellMar>
          <w:top w:w="28" w:type="dxa"/>
          <w:left w:w="28" w:type="dxa"/>
          <w:bottom w:w="28" w:type="dxa"/>
          <w:right w:w="28" w:type="dxa"/>
        </w:tblCellMar>
      </w:tblPr>
      <w:tblGrid>
        <w:gridCol w:w="1222"/>
        <w:gridCol w:w="1073"/>
        <w:gridCol w:w="1079"/>
        <w:gridCol w:w="227"/>
        <w:gridCol w:w="487"/>
        <w:gridCol w:w="296"/>
        <w:gridCol w:w="126"/>
        <w:gridCol w:w="126"/>
        <w:gridCol w:w="126"/>
        <w:gridCol w:w="227"/>
        <w:gridCol w:w="487"/>
        <w:gridCol w:w="296"/>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cost of revenue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 as a percent of GTV</w:t>
            </w:r>
          </w:p>
        </w:tc>
        <w:tc>
          <w:tcPr>
            <w:tcW w:w="7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cost of revenue as a percent of GTV</w:t>
            </w:r>
          </w:p>
        </w:tc>
        <w:tc>
          <w:tcPr>
            <w:tcW w:w="7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Operations and Support Expense and Adjusted Operations and Support Expense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operations and support expense as operations and support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operations and support expense to adjusted operations and support expense:</w:t>
      </w:r>
    </w:p>
    <w:p>
      <w:pPr>
        <w:pStyle w:val="TextBody"/>
        <w:bidi w:val="0"/>
        <w:spacing w:before="0" w:after="0"/>
        <w:jc w:val="left"/>
        <w:rPr/>
      </w:pPr>
      <w:r>
        <w:rPr/>
      </w:r>
    </w:p>
    <w:tbl>
      <w:tblPr>
        <w:tblW w:w="7407" w:type="dxa"/>
        <w:jc w:val="left"/>
        <w:tblInd w:w="0" w:type="dxa"/>
        <w:tblLayout w:type="fixed"/>
        <w:tblCellMar>
          <w:top w:w="28" w:type="dxa"/>
          <w:left w:w="28" w:type="dxa"/>
          <w:bottom w:w="28" w:type="dxa"/>
          <w:right w:w="28" w:type="dxa"/>
        </w:tblCellMar>
      </w:tblPr>
      <w:tblGrid>
        <w:gridCol w:w="1640"/>
        <w:gridCol w:w="1443"/>
        <w:gridCol w:w="1447"/>
        <w:gridCol w:w="248"/>
        <w:gridCol w:w="419"/>
        <w:gridCol w:w="324"/>
        <w:gridCol w:w="138"/>
        <w:gridCol w:w="138"/>
        <w:gridCol w:w="138"/>
        <w:gridCol w:w="248"/>
        <w:gridCol w:w="419"/>
        <w:gridCol w:w="324"/>
        <w:gridCol w:w="109"/>
        <w:gridCol w:w="109"/>
        <w:gridCol w:w="109"/>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 expense</w:t>
            </w:r>
          </w:p>
        </w:tc>
        <w:tc>
          <w:tcPr>
            <w:tcW w:w="2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operations and support expense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 expense as a percent of GTV</w:t>
            </w:r>
          </w:p>
        </w:tc>
        <w:tc>
          <w:tcPr>
            <w:tcW w:w="6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Adjusted operations and support expense as a percent of GTV</w:t>
            </w:r>
          </w:p>
        </w:tc>
        <w:tc>
          <w:tcPr>
            <w:tcW w:w="6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Research and Development Expense and Adjusted Research and Development Expense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research and development expense as research and development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and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research and development expense to adjusted research and development expense:</w:t>
      </w:r>
    </w:p>
    <w:p>
      <w:pPr>
        <w:pStyle w:val="TextBody"/>
        <w:bidi w:val="0"/>
        <w:spacing w:before="0" w:after="0"/>
        <w:jc w:val="left"/>
        <w:rPr/>
      </w:pPr>
      <w:r>
        <w:rPr/>
      </w:r>
    </w:p>
    <w:tbl>
      <w:tblPr>
        <w:tblW w:w="7618" w:type="dxa"/>
        <w:jc w:val="left"/>
        <w:tblInd w:w="0" w:type="dxa"/>
        <w:tblLayout w:type="fixed"/>
        <w:tblCellMar>
          <w:top w:w="28" w:type="dxa"/>
          <w:left w:w="28" w:type="dxa"/>
          <w:bottom w:w="28" w:type="dxa"/>
          <w:right w:w="28" w:type="dxa"/>
        </w:tblCellMar>
      </w:tblPr>
      <w:tblGrid>
        <w:gridCol w:w="1718"/>
        <w:gridCol w:w="1508"/>
        <w:gridCol w:w="1513"/>
        <w:gridCol w:w="227"/>
        <w:gridCol w:w="487"/>
        <w:gridCol w:w="296"/>
        <w:gridCol w:w="126"/>
        <w:gridCol w:w="126"/>
        <w:gridCol w:w="126"/>
        <w:gridCol w:w="227"/>
        <w:gridCol w:w="487"/>
        <w:gridCol w:w="296"/>
        <w:gridCol w:w="109"/>
        <w:gridCol w:w="109"/>
        <w:gridCol w:w="109"/>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 as a percent of GTV</w:t>
            </w:r>
          </w:p>
        </w:tc>
        <w:tc>
          <w:tcPr>
            <w:tcW w:w="7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 as a percent of GTV</w:t>
            </w:r>
          </w:p>
        </w:tc>
        <w:tc>
          <w:tcPr>
            <w:tcW w:w="7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Sales and Marketing Expense and Adjusted Sales and Marketing Expense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sales and marketing expense as sales and marketing expense excluding depreciation and amortization expense, stock-based compensation expense, payroll taxes related to stock-based compensation, acquisition-related expenses, and restructuring charges. We exclude depreciation and amortization expense and stock-based compensation expense as they are non-cash in nature and we exclude payroll taxes related to the vesting and settlement of certain equity awards, acquisition-related expenses,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sales and marketing expense to adjusted sales and marketing expense:</w:t>
      </w:r>
    </w:p>
    <w:p>
      <w:pPr>
        <w:pStyle w:val="TextBody"/>
        <w:bidi w:val="0"/>
        <w:spacing w:before="0" w:after="0"/>
        <w:jc w:val="left"/>
        <w:rPr/>
      </w:pPr>
      <w:r>
        <w:rPr/>
      </w:r>
    </w:p>
    <w:tbl>
      <w:tblPr>
        <w:tblW w:w="7184" w:type="dxa"/>
        <w:jc w:val="left"/>
        <w:tblInd w:w="0" w:type="dxa"/>
        <w:tblLayout w:type="fixed"/>
        <w:tblCellMar>
          <w:top w:w="28" w:type="dxa"/>
          <w:left w:w="28" w:type="dxa"/>
          <w:bottom w:w="28" w:type="dxa"/>
          <w:right w:w="28" w:type="dxa"/>
        </w:tblCellMar>
      </w:tblPr>
      <w:tblGrid>
        <w:gridCol w:w="1558"/>
        <w:gridCol w:w="1372"/>
        <w:gridCol w:w="1375"/>
        <w:gridCol w:w="227"/>
        <w:gridCol w:w="487"/>
        <w:gridCol w:w="296"/>
        <w:gridCol w:w="126"/>
        <w:gridCol w:w="126"/>
        <w:gridCol w:w="126"/>
        <w:gridCol w:w="227"/>
        <w:gridCol w:w="487"/>
        <w:gridCol w:w="296"/>
        <w:gridCol w:w="109"/>
        <w:gridCol w:w="109"/>
        <w:gridCol w:w="109"/>
        <w:gridCol w:w="154"/>
      </w:tblGrid>
      <w:tr>
        <w:trPr/>
        <w:tc>
          <w:tcPr>
            <w:tcW w:w="155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 expense</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sales and marketing expense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 expense as a percent of GTV</w:t>
            </w:r>
          </w:p>
        </w:tc>
        <w:tc>
          <w:tcPr>
            <w:tcW w:w="7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sales and marketing expense as a percent of GTV</w:t>
            </w:r>
          </w:p>
        </w:tc>
        <w:tc>
          <w:tcPr>
            <w:tcW w:w="7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General and Administrative Expense and Adjusted General and Administrative Expense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acquisition-related expenses; and restructuring charges.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they are not indicative of our operating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general and administrative expense to adjusted general and administrative expense:</w:t>
      </w:r>
    </w:p>
    <w:p>
      <w:pPr>
        <w:pStyle w:val="TextBody"/>
        <w:bidi w:val="0"/>
        <w:spacing w:before="0" w:after="0"/>
        <w:jc w:val="left"/>
        <w:rPr/>
      </w:pPr>
      <w:r>
        <w:rPr/>
      </w:r>
    </w:p>
    <w:tbl>
      <w:tblPr>
        <w:tblW w:w="7630" w:type="dxa"/>
        <w:jc w:val="left"/>
        <w:tblInd w:w="0" w:type="dxa"/>
        <w:tblLayout w:type="fixed"/>
        <w:tblCellMar>
          <w:top w:w="28" w:type="dxa"/>
          <w:left w:w="28" w:type="dxa"/>
          <w:bottom w:w="28" w:type="dxa"/>
          <w:right w:w="28" w:type="dxa"/>
        </w:tblCellMar>
      </w:tblPr>
      <w:tblGrid>
        <w:gridCol w:w="1721"/>
        <w:gridCol w:w="1514"/>
        <w:gridCol w:w="1520"/>
        <w:gridCol w:w="237"/>
        <w:gridCol w:w="509"/>
        <w:gridCol w:w="309"/>
        <w:gridCol w:w="131"/>
        <w:gridCol w:w="131"/>
        <w:gridCol w:w="131"/>
        <w:gridCol w:w="237"/>
        <w:gridCol w:w="400"/>
        <w:gridCol w:w="309"/>
        <w:gridCol w:w="109"/>
        <w:gridCol w:w="109"/>
        <w:gridCol w:w="109"/>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(2)</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(3)</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 as a percent of GTV</w:t>
            </w:r>
          </w:p>
        </w:tc>
        <w:tc>
          <w:tcPr>
            <w:tcW w:w="7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 as a percent of GTV</w:t>
            </w:r>
          </w:p>
        </w:tc>
        <w:tc>
          <w:tcPr>
            <w:tcW w:w="7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Total Operating Expenses and Adjusted Total Operating Expenses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total operating expenses as the sum of adjusted operations and support expense, adjusted research and development expense, adjusted sales and marketing expense, and adjusted general and administrative expense.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these are not indicative of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operating expenses to adjusted total operating expenses:</w:t>
      </w:r>
    </w:p>
    <w:p>
      <w:pPr>
        <w:pStyle w:val="TextBody"/>
        <w:bidi w:val="0"/>
        <w:spacing w:before="0" w:after="0"/>
        <w:jc w:val="both"/>
        <w:rPr/>
      </w:pPr>
      <w:r>
        <w:rPr/>
      </w:r>
    </w:p>
    <w:tbl>
      <w:tblPr>
        <w:tblW w:w="7184" w:type="dxa"/>
        <w:jc w:val="left"/>
        <w:tblInd w:w="0" w:type="dxa"/>
        <w:tblLayout w:type="fixed"/>
        <w:tblCellMar>
          <w:top w:w="28" w:type="dxa"/>
          <w:left w:w="28" w:type="dxa"/>
          <w:bottom w:w="28" w:type="dxa"/>
          <w:right w:w="28" w:type="dxa"/>
        </w:tblCellMar>
      </w:tblPr>
      <w:tblGrid>
        <w:gridCol w:w="1559"/>
        <w:gridCol w:w="1368"/>
        <w:gridCol w:w="1378"/>
        <w:gridCol w:w="227"/>
        <w:gridCol w:w="487"/>
        <w:gridCol w:w="296"/>
        <w:gridCol w:w="126"/>
        <w:gridCol w:w="126"/>
        <w:gridCol w:w="126"/>
        <w:gridCol w:w="227"/>
        <w:gridCol w:w="487"/>
        <w:gridCol w:w="296"/>
        <w:gridCol w:w="109"/>
        <w:gridCol w:w="109"/>
        <w:gridCol w:w="109"/>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(2)</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(3)</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total operating expenses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 as a percent of GTV</w:t>
            </w:r>
          </w:p>
        </w:tc>
        <w:tc>
          <w:tcPr>
            <w:tcW w:w="7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total operating expenses as a percent of GTV</w:t>
            </w:r>
          </w:p>
        </w:tc>
        <w:tc>
          <w:tcPr>
            <w:tcW w:w="7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purchases of property and equipment, including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to free cash flow:</w:t>
      </w:r>
    </w:p>
    <w:p>
      <w:pPr>
        <w:pStyle w:val="TextBody"/>
        <w:bidi w:val="0"/>
        <w:spacing w:before="0" w:after="0"/>
        <w:ind w:left="0" w:right="0" w:firstLine="360"/>
        <w:jc w:val="both"/>
        <w:rPr/>
      </w:pPr>
      <w:r>
        <w:rPr/>
      </w:r>
    </w:p>
    <w:tbl>
      <w:tblPr>
        <w:tblW w:w="8715" w:type="dxa"/>
        <w:jc w:val="left"/>
        <w:tblInd w:w="0" w:type="dxa"/>
        <w:tblLayout w:type="fixed"/>
        <w:tblCellMar>
          <w:top w:w="28" w:type="dxa"/>
          <w:left w:w="28" w:type="dxa"/>
          <w:bottom w:w="28" w:type="dxa"/>
          <w:right w:w="28" w:type="dxa"/>
        </w:tblCellMar>
      </w:tblPr>
      <w:tblGrid>
        <w:gridCol w:w="2115"/>
        <w:gridCol w:w="1852"/>
        <w:gridCol w:w="1868"/>
        <w:gridCol w:w="264"/>
        <w:gridCol w:w="568"/>
        <w:gridCol w:w="147"/>
        <w:gridCol w:w="147"/>
        <w:gridCol w:w="147"/>
        <w:gridCol w:w="147"/>
        <w:gridCol w:w="264"/>
        <w:gridCol w:w="568"/>
        <w:gridCol w:w="147"/>
        <w:gridCol w:w="109"/>
        <w:gridCol w:w="109"/>
        <w:gridCol w:w="109"/>
        <w:gridCol w:w="154"/>
      </w:tblGrid>
      <w:tr>
        <w:trPr/>
        <w:tc>
          <w:tcPr>
            <w:tcW w:w="211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including capitalized internal-use-software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finance our operations primarily through fees received from retailers, customers, and brands. As of March 31, 2026, we had cash and cash equivalents of $631 million and marketable securities of $122 million, which were primarily held for working capital purposes.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generated profit in recent periods, including net income of $144 million for the three months ended March 31, 2026, we have historically experienced significant net losses as reflected in our accumulated deficit of $4.7 billion as of March 31, 2026. While we generated positive cash flows from operating activities for the years ended December 31, 2024 and 2025 and for the three months ended March 31, 2026, our future cash flows from operating activities may fluctuate as a result of investments we continue to make across our organization. As a result, we may require additional capital resources to execute strategic initiatives to grow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working capital and operating cash flows fluctuated and continue to fluctuate significantly from period to period as a result of new initiatives, the timing of payments made to and/or received from retailers, shoppers, and vendors, and certain transaction types, such as those involving EBT SNAP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the last day of each reporting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marketable securities will be sufficient to satisfy our anticipated cash needs for working capital and capital expenditures for at least the next 12 months and beyond. However, our future cash requirements will depend on many factors, including our growth rate, the timing and the amount of cash received from retailers, customers, and brands, the timing and extent of spending to support our research and development efforts as well as sales and marketing activities, the introduction of enhancements, the continuing market adoption of Instacart, and the volume and timing of our share repurchases. In addition, we may enter into additional or expanded retailer, customer,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the impact of tariffs or other trade restrictions, elevated interest rates and other macroeconomic conditions, geopolitical conflicts, and potential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 revolving credit agreement with certain lenders which provides for a $500 million unsecured revolving credit facility maturing on April 2031. As of the date of this filing, no amounts had been drawn under the credit facility.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our board of directors authorized a $500 million share repurchase program, which was subsequently increased to $750 million, $1 billion, and $2.5 billion in November 2024, May 2025, and November 2025, respectively. In April 2026, our board of directors authorized an increase of $1.0 billion to the share repurchase program, bringing the total authorization under the program to $3.5 billion.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repurchased and immediately retired 9 million shares of our common stock for an aggregate purchase price of $402 million, including broker commissions, fees, and excise taxes, under this share repurchase program, which included shares repurchased under the ASR Agreement as described below.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10, 2025, we entered into the ASR Agreement with a third-party financial institution to repurchase $250 million of our common stock. Pursuant to the terms of the ASR Agreement, we paid $250 million to the financial institution and received and immediately retired an initial delivery of 5.4 million shares of common stock on November 12, 2025, representing 80% of the value of the $250 million payment. Repurchases under the ASR Agreement were completed in January 2026, and we received and immediately retired an additional 0.6 million shares. Refer to Note 12 — Stockholders’ Equity for further discussion.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948" w:type="dxa"/>
        <w:jc w:val="left"/>
        <w:tblInd w:w="0" w:type="dxa"/>
        <w:tblLayout w:type="fixed"/>
        <w:tblCellMar>
          <w:top w:w="28" w:type="dxa"/>
          <w:left w:w="28" w:type="dxa"/>
          <w:bottom w:w="28" w:type="dxa"/>
          <w:right w:w="28" w:type="dxa"/>
        </w:tblCellMar>
      </w:tblPr>
      <w:tblGrid>
        <w:gridCol w:w="1326"/>
        <w:gridCol w:w="1162"/>
        <w:gridCol w:w="1171"/>
        <w:gridCol w:w="109"/>
        <w:gridCol w:w="109"/>
        <w:gridCol w:w="799"/>
        <w:gridCol w:w="799"/>
        <w:gridCol w:w="802"/>
        <w:gridCol w:w="109"/>
        <w:gridCol w:w="220"/>
        <w:gridCol w:w="186"/>
        <w:gridCol w:w="190"/>
        <w:gridCol w:w="109"/>
        <w:gridCol w:w="109"/>
        <w:gridCol w:w="109"/>
        <w:gridCol w:w="218"/>
        <w:gridCol w:w="173"/>
        <w:gridCol w:w="248"/>
      </w:tblGrid>
      <w:tr>
        <w:trPr/>
        <w:tc>
          <w:tcPr>
            <w:tcW w:w="132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71" w:type="dxa"/>
            <w:gridSpan w:val="10"/>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268</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(328)</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three months ended March 31, 2026, net cash provided by operating activities was $268 million, which consisted of </w:t>
      </w:r>
      <w:r>
        <w:rPr>
          <w:rFonts w:ascii="Times New Roman;serif" w:hAnsi="Times New Roman;serif"/>
          <w:b w:val="false"/>
          <w:color w:val="231F20"/>
          <w:sz w:val="20"/>
        </w:rPr>
        <w:t>net income of $144 million, adjustments for certain non-cash items of $159 million, partially offset by net cash outflows from changes in operating assets and liabilities of $35 million. Adjustments for certain non-cash items were primarily driven by stock-based compensation expense of $80 million and a decrease in deferred income taxes of $38 million. The year-over-year decrease in cash provided by operating activities was primarily driven by fluctuations in working capital from general business impacts including</w:t>
      </w:r>
      <w:r>
        <w:rPr>
          <w:color w:val="000000"/>
        </w:rPr>
        <w:t xml:space="preserve"> </w:t>
      </w:r>
      <w:r>
        <w:rPr>
          <w:rFonts w:ascii="Times New Roman;serif" w:hAnsi="Times New Roman;serif"/>
          <w:b w:val="false"/>
          <w:color w:val="000000"/>
          <w:sz w:val="20"/>
        </w:rPr>
        <w:t>(i) the timing of customer, vendor, and other third-party payments and accruals including legal and regulatory matters and sales and indirect taxes; (ii) the timing of spend and usage of software subscriptions for hosting arrangements; and (iii) the overall growth of our business. Regulatory settlements of $60 million, previously accrued as of December 31, 2025, were paid with cash on hand in January 2026 and is reflected in the operating asset and liability changes noted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three months ended March 31, 2025, net cash provided by operating activities was $298 million, which consisted of </w:t>
      </w:r>
      <w:r>
        <w:rPr>
          <w:rFonts w:ascii="Times New Roman;serif" w:hAnsi="Times New Roman;serif"/>
          <w:b w:val="false"/>
          <w:color w:val="231F20"/>
          <w:sz w:val="20"/>
        </w:rPr>
        <w:t xml:space="preserve">net income of $106 million, adjusted for certain non-cash items of $96 million, primarily driven by stock-based compensation expense of $66 million and by net cash inflows from changes in operating assets and liabilities of $96 million. </w:t>
      </w:r>
      <w:r>
        <w:rPr>
          <w:rFonts w:ascii="Times New Roman;serif" w:hAnsi="Times New Roman;serif"/>
          <w:b w:val="false"/>
          <w:color w:val="000000"/>
          <w:sz w:val="20"/>
        </w:rPr>
        <w:t>The year-over-year increase in net changes in operating assets and liabilities, which impacted cash provided by operating activities, from a net cash inflow of $105 million to $298 million was primarily driven by fluctuations in working capital from general business impacts such as the timing of customer collections primarily due to the collection of a large accounts receivable balance from a retailer; the timing of customer, vendor, and other third-party payments and accruals; and the overall growth of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Investing Activities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investing activities was $8 million, comprised primarily of purchases of property and equipment, including capitalized internal-use software, of $16 million and purchases of marketable securities of $4 million, partially offset by maturities of marketable securities of $12 million.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provided by investing activities was $1 million, comprised primarily of maturities of marketable securities of $81 million, partially offset by purchases of marketable securities of $62 million and purchases of property and equipment, including capitalized internal-use software, of $18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Financing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three months ended March 31, 2026, net cash </w:t>
      </w:r>
      <w:r>
        <w:rPr>
          <w:rFonts w:ascii="Times New Roman;serif" w:hAnsi="Times New Roman;serif"/>
          <w:b w:val="false"/>
          <w:color w:val="231F20"/>
          <w:sz w:val="20"/>
        </w:rPr>
        <w:t xml:space="preserve">used in financing activities was $328 million, comprised primarily of repurchases of common stock of $359 million and taxes paid related to net share settlement of equity awards of $4 million, partially offset by changes in advances from a payment card issuer of $31 million and proceeds from the exercise of stock options of $3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three months ended March 31, 2025, net cash </w:t>
      </w:r>
      <w:r>
        <w:rPr>
          <w:rFonts w:ascii="Times New Roman;serif" w:hAnsi="Times New Roman;serif"/>
          <w:b w:val="false"/>
          <w:color w:val="231F20"/>
          <w:sz w:val="20"/>
        </w:rPr>
        <w:t>used in financing activities was $46 million, comprised primarily of repurchases of common stock of $89 million and taxes paid related to net share settlement of equity awards of $8 million, partially offset by changes in advances from a payment card issuer of $47 million and proceeds from the exercise of stock options of $4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there have been no material changes from the contractual obligations and commitments as described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described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 Significant Accounting Policies in the notes to the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include foreign currency and exchange risk, interest rate risk, and inflation risk as follows: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Foreign Currency and Exchange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transact business globally in multiple currencies, with the vast majority of our cash generated from revenue denominated in the U.S. dollar and a small amount denominated in other foreign currencies. Our international revenue, as well as costs and expenses denominated in foreign currencies, expose us to the risk of fluctuations in foreign currency exchange rates against the U.S. dollar.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our net income as a result of transaction gains or losses related to remeasurement of certain asset and liability balances that are denominated in currencies other than the functional currency of the entities in which they are recorded. The effect of a hypothetical 10% change in foreign currency exchange rates applicable to our business would not have a material impact on our condensed consolidated financial statements.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cash and cash equivalents of $631 million and marketable securities of $122 million invested in a variety of securities, including money market funds, U.S. government and government agency debt securities, and corporate debt securities. In addition, we had $128 million of restricted cash and cash equivalents primarily due to legally restricted funds maintained in a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condensed consolidated financial statements as of March 31, 2026.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financial condition, or results of operations, other than as a result of its impact on the general economy. However, we are operating in a more volatile inflationary environment due to macroeconomic conditions and have limited data and experience doing so in our history, particularly at our scale. The principal inflationary factors affecting our business are higher prices of products offered by retail partners through Instacart, including due to higher raw material costs, tariffs and trade restrictions, shipping and freight costs, elevated fuel prices that are borne by our partners, and customers purchasing fewer items on average per order. Higher retailer prices, resulting in increased grocery costs and reduced consumer spending have negatively impacted consumer demand for online grocery as consumers return to in-store shopping to save on service and delivery fees and also have reduced order frequency, driven lower order volumes, and impacted average order values. Customers have and may continue to reduce spending on more premium products, and our brand partners have and may continue to reduce their overall advertising budgets, either of which could harm our revenue and margin. We may also not be able to fully offset higher costs through operational efficiencies or price increases.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reduced our revenue and profitability. As a result of these factors, we may experience fluctuations in GTV and orders, which could negatively impact our revenue and margin.</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offerings focused on affordability, such as the addition of discount grocers to Instacart, continued customer promotions, no rush delivery, Instacart+ members-only discounts, and acceptance of other payment options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spending by customers. Our inability or failure to address challenges relating to inflation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and provided reasonable assurance that the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our principal executive officer and principal financial officer, to allow timely decisions regarding required disclosure.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first quarter of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Limitations on Effectiveness of Controls and Procedures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discussion under the caption “Legal Matters” in Note 10 — Commitments and Contingencies to our condensed consolidated financial statements included elsewhere in this Quarterly Report on Form 10-Q for information regarding legal proceedings that constitute material contingencies for financial reporting purposes that could have a material adverse effect on our consolidated financial position, liquidity, or results of operations if they were resolved in a manner that is adverse to us.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our business is subject to numerous risks and uncertainties, as further described below. You should consider and read carefully all of the risks and uncertainties described below, as well as other information included in this Quarterly Report on Form 10-Q, including the section titled “Management’s Discussion and Analysis of Financial Condition and Results of Operations” and our condensed consolidated financial statements and related notes appearing elsewhere in this Quarterly Report on Form 10-Q,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trading price of our common stock could decline, and you may lose some or all of your original investment. You should not interpret our disclosure of any of the following risks to imply that such risks have not already materialized.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outside of our control, that could cause our actual results to be harmed. These risks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Historical trends relating to our growth and financial performance may not be indicative of future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history of losses, and we may be unable to sustain or increase profitability or generate profitable growth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various laws and regulations, including those related to the contractor status of shoppers and requirements to engage shoppers, which may change or increase over time and subject us to increased compliance costs and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Artificial intelligence and machine learning technologies, including our use of such technologies and use of such technologies by our competitors, could result in reputational harm, competitive harm, or legal liability, and could adversely affect our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cost-effectively engage, attract, or retain shoppers on Instacart, our business could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failure to achieve increased market acceptance of online grocery shopping and our offerings could seriously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Mergers or other strategic transactions by competitors or retailers could weaken our competitive position and adversely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trading price of our common stock may be volatile and could decline significantly and rapidly. You may be unable to sell your shares of common stock at or above the price at which you purchased them.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Historical trends relating to our growth and financial performance may not be indicative of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in prior periods, which was driven substantially by the COVID-19 pandemic, which led to significant demand for our offerings, and the rapid evolution of the online grocery shopping industry, as well as the other retail categories in which we operate. However, our growth rates have decreased from what we historically experienced and may continue to decrease or fluctuate as a result of macroeconomic and geopolitical conflicts, including as a result of trade policies enacted or proposed by the United States, such as tariffs or other trade restrictions, uncertainty related thereto, and responses by foreign governments to such policies, inflation risk, actual or perceived risk of an economic recession, cessation of, interruptions to, or changes to government aid programs, the effects of severe weather patterns, increasing competition, strategic initiatives, and the maturation of our business, among others. We also cannot be certain whether we will drive greater engagement from new or existing retailers, customers, or brands or maintain or increase the level of demand for our offerings over the long term. As a result of the foregoing, our prior growth rates and financial performance should not necessarily be considered indicative of our future performance and results of operations.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Overall growth of our GTV, revenue, margin, and profitability depends on a number of factors, including our ability to:</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attract new retailers, customers, brands, and shoppers, including through effective pricing of our offerings, and sustain and expand our relationships with existing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accurately forecast our revenue and plan our operating expenses and investments for future growth;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compete with other companies that are currently in, or may in the future enter, the markets in which we compete, and respond to developments from these competitors such as pricing changes and the introduction of new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hire, integrate, and retain talented sales, customer service, engineering, and other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 with existing and new laws, regulations, and judgments or settlements applicable to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expand in existing markets and enter new markets, including new geographies, retail categories, and fulfillment methods;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the adoption of our Instacart+ membership program to drive increased customer engagement;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launch new offerings and enhance Instacart and its features and use cases, including in response to new trends or competitive dynamics or the needs of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the revenue generated by our Instacart Ads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identify, acquire and integrate, or invest in businesses, products, or technologies that we believe could complement or expand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 into and maintain strategic partnerships, including our partnership with Uber to offer their restaurant delivery services on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avoid interruptions or disruptions in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retailers, customers, brands, and shoppers with high-quality support that meets their needs;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growth of our infrastructure, personnel, and operations, particularly due to our Flex First workforce model that permits employees to elect to work remotely;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our costs related to our fulfillment methods;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and enhance our reputation and the value of our brand.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you should not rely on our GTV, revenue growth rate, or other key business metrics for any prior quarterly or annual period as an indication of our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forecast, and to provide guidance to investors regarding future operating results and key financial metrics is inherently uncertain. Our business is complex, relatively young and subject to significant impacts from events or evolving regulations beyond our control. All forecasts should be viewed as our good faith expectation at the time originally made, but not accorded undue weight.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expect to continue to expend substantial financial and other resources to grow our business, which may not result in sufficient growth or increased profitability to offset the cost of such investments. We may also fail to allocate our resources in a manner that results in increased GTV or revenue growth or improved margin. If our GTV or revenue growth rates decline or our margin is negatively impacted, investors’ perceptions of our business and the trading price of our common stock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 customers and their level of engagement on Instacart may decline materially or fluctuate as a result of many factors, including,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dissatisfaction with the operation of, or pricing on, Instacart, including our customer support services, or the quality and performance of the offerings, services, and technology of our partners;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quality of service provided by shoppers, such as picking the wrong item, making a poor substitution for out of stock items, failing to deliver items on a timely basis or at all, failing to complete requested tasks or otherwise follow customer instructions, or customers having negative experiences in their interactions with shoppers, particularly during demand surges;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 of using Instacart compared to in-store shopping or other alternatives, including as a result of customer fees and differences between online and in-store prices and promotions;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value or quality of our membership offering and membership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value or quality of service, or the quality, pricing, and availability of products provided by retailers, including as a result of disruptions in the global supply chain;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breadth and variety of retailers that are available to customers on Instacart, including retailers with whom we have a limited or informal arrangement for availability on Instacart;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uncertainty,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public health outbreaks, or a future outbreak of disease or similar public health concern;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market acceptance of online grocery shopping and our in-store technology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negative publicity related to our brand, including as a result of safety incidents, dissatisfaction with our offerings, and other events;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actual or perceived public policy positions;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maintain good relationships with shoppers resulting in fewer shoppers available for customers, particularly during peak demand;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dissatisfaction with the user experience on our platform, new and current offerings, or changes we make to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in the past experienced and may continue to experience decreases in new customer acquisition rates and customer retention, which have negatively impacted and may continue to negatively impact GTV and orders. As a result, we have increased and may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or reduce, our marketing investments, we may not be able to retain our existing customers or convert first-time customers, including those using consumer incentives such as discount promotions, into customers who regularly use and engage with our offerings. Further, we may not be able to accurately assess the effectiveness of our marketing campaigns and strategies in acquiring new customers or increasing existing customer engagement for several periods. The effectiveness of our marketing campaigns and strategies may also be obfuscated due to temporary or periodic external factors, such as future public health outbreaks, macroeconomic factors, and changes in the regulatory landscape. Failure to effectively design and conduct such campaigns and strategies may negatively impact our ability to acquire new customers and increase engagement with existing customers, which would harm our revenue growth and business.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affordability over convenience or selection. If we do not successfully address the current and future needs of consumers in different demographics, primarily certain age and income groups, including through brand marketing campaigns and introduction and promotion of relevant use cases, features, fulfillment options, and other functionalities, we may be unable to attract new customers or increase engagement with existing customers. In addition, we may also experience increased customer churn, including to competitors, which would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or other customers we acquire inorganically may be lower intent users of Instacart with reduced engagement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 options, may result in negative impacts to other metrics. For example, an increase in Instacart+ orders, changes in product categories shopped, reduced spend on more premium or discretionary products, or a shift toward convenience or priority, may result in a decrease in average order value. Such shifts may also negatively impact certain retailers’ and brands’ actual or perceived benefit from engaging with Instacart.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pPr>
      <w:r>
        <w:rPr>
          <w:rFonts w:ascii="Times New Roman;serif" w:hAnsi="Times New Roman;serif"/>
          <w:b w:val="false"/>
          <w:color w:val="000000"/>
          <w:sz w:val="20"/>
        </w:rPr>
        <w:t>We regularly provide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orders, GTV,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brands as well as our ability to attract new retail and brand partners. Past and future changes to the fees that we charge our customers may also reduce overall engagement by our customers or negatively impact new customer acquisition. If we are not able to continue to expand our customer base or</w:t>
      </w:r>
      <w:r>
        <w:rPr>
          <w:color w:val="0000FF"/>
        </w:rPr>
        <w:t xml:space="preserve"> </w:t>
      </w:r>
      <w:r>
        <w:rPr>
          <w:rFonts w:ascii="Times New Roman;serif" w:hAnsi="Times New Roman;serif"/>
          <w:b w:val="false"/>
          <w:color w:val="000000"/>
          <w:sz w:val="20"/>
        </w:rPr>
        <w:t>fail to retain or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significantly scaled and expanded our business and operations, which has led to increased usage of our offerings from new and existing customers. Accordingly, we have limited experience in, and data and results from, operating our business at its current scale, scope, and complexity and in a rapidly evolving market and economic environment. As a result, our ability to plan for future operations and strategic initiatives, predict future results of operations, and plan for and model future growth in orders, GTV, revenue, expenses, and prospects is subject to significant risk and uncertainty as compared to companies with longer and more consistent operating histories and in more stable macroeconomic or regulatory environments and industries. In particular, we face risks and challenges relating to our ability to,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accurately forecast our orders, GTV, and revenue and budget for and manage our expenses;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attract new retailers, customers, brands, and shoppers and retain or increase the engagement of existing retailers, customers, brands, and shoppers in a cost-effective manner;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 into and maintain strategic partnerships, including our partnership with Uber to offer their restaurant delivery services on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 with existing and new laws, regulations, and judgments or settlements applicable to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plan for and manage capital expenditures;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anticipate and respond to macroeconomic changes and changes in the markets in which we operate,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our growth as the market for online grocery shopping continues to evolve;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deploy our capital toward strategic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expand our geographic reach;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hire, integrate, and retain talented people at all levels of our organization;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maintain and enhance our offerings and our technology infrastructure for retailers, customers, brands, and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will depend heavily on our ability to successfully execute on our strategic initiatives. For example, as we continue to expand our business, we have introduced and scaled new features, use cases (such as convenience and restaurants), fulfillment options (such as pickup and priority), and functionalities in our offerings (such as flyers and loyalty programs), and made strategic investments in new technologies and initiatives (such as our enterprise offerings,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AI Solutions). We have also invested heavily in Instacart Ads capabilities and in growing the number of brands that use our services. In addition, we continue to invest in international expansion and strategic initiatives such as Instacart Business and Instacart Health to expand the</w:t>
      </w:r>
      <w:r>
        <w:rPr>
          <w:color w:val="0000FF"/>
        </w:rPr>
        <w:t xml:space="preserve"> </w:t>
      </w:r>
      <w:r>
        <w:rPr>
          <w:rFonts w:ascii="Times New Roman;serif" w:hAnsi="Times New Roman;serif"/>
          <w:b w:val="false"/>
          <w:color w:val="000000"/>
          <w:sz w:val="20"/>
        </w:rPr>
        <w:t>scope of our business. Our future growth depends on the perceived value of our expanded offerings as a whole to retailers, customers, brands, shoppers, and strategic partners, as well as our ability to balance the effects of various strategic initiatives, including our focus on further scaling our operations to improve our margin and profitability. For example, we may experience fluctuations in our growth due to changes in average order value as a result of restaurant orders and lowered basket minimums for Instacart+ members to receive $0 delivery fees, new or updated pricing strategies, or other strategic initiatives. We have limited experience operating this expanded business model and may not be able to accurately predict and plan for the impacts it may have on our growth rates, revenue mix, margin, and profitability, as well as outside factors that may impact our business model, such as changes in consumer shopping behavior, retailer preferences, competition, and macroeconomic factors.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limited history and experience operating our current business may also negatively impact our ability to plan strategic investments and initiatives to further expand our business and offerings, including to support our retail partners, customers, brand partners, and shoppers,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new marketing, merchandising and consumer awareness strategies, Connected Stores, AI Solutions, and international expansion.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stresses our ability to plan for operational and strategic initiatives and forecast our future results of operations. We are also devoting significant resources to retain, manage, and train employees in information technology infrastructure, financial and accounting systems and controls, sales and marketing and engineering capabilities, operations and support infrastructure, as well as employees in geographically dispersed locations to service new and existing customers. We may not successfully accomplish any of these objectives in a timely manner or at all.</w:t>
      </w:r>
    </w:p>
    <w:p>
      <w:pPr>
        <w:pStyle w:val="TextBody"/>
        <w:bidi w:val="0"/>
        <w:spacing w:lineRule="auto" w:line="288" w:before="240" w:after="240"/>
        <w:ind w:left="0" w:right="0" w:firstLine="360"/>
        <w:jc w:val="both"/>
        <w:rPr/>
      </w:pPr>
      <w:r>
        <w:rPr>
          <w:rFonts w:ascii="Times New Roman;serif" w:hAnsi="Times New Roman;serif"/>
          <w:b w:val="false"/>
          <w:color w:val="000000"/>
          <w:sz w:val="20"/>
        </w:rPr>
        <w:t>You should consider and evaluate our prospects in light of the risks and uncertainties frequently encountered by growing companies in rapidly evolving markets, in particular, markets such as the online grocery industry that are or could be materially impacted by significant regulatory changes, tariffs or other trade restrictions, global pandemics, and economic recessions. If our assumptions regarding the risks and uncertainties that we consider in planning and operating our business are incorrect or</w:t>
      </w:r>
      <w:r>
        <w:rPr>
          <w:color w:val="0000FF"/>
        </w:rPr>
        <w:t xml:space="preserve"> </w:t>
      </w:r>
      <w:r>
        <w:rPr>
          <w:rFonts w:ascii="Times New Roman;serif" w:hAnsi="Times New Roman;serif"/>
          <w:b w:val="false"/>
          <w:color w:val="000000"/>
          <w:sz w:val="20"/>
        </w:rPr>
        <w:t>change, or if we do not address these risks and uncertainties successfully, including due to the lack of historical data from and experience in operating our business at its current scale, scope, and complexity, the continued evolution of our business and the online grocery industry, or other factors, our results of operations could differ materially from our expectations, and our business, financial condition, and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a history of losses, and we may be unable to sustain or increase profitability or generate profitable growth in the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generated profit in recent periods, including net income of $457 million and $447 million for the years ended December 31, 2024 and 2025, respectively, we have historically experienced significant net losses, including a net loss of $1.6 billion for the year ended December 31, 2023, primarily as a result of stock-based compensation expense we recognized in connection with the vesting of certain restricted stock units (“RSUs”) and vesting of restricted stock in connection with our initial public offering (“IPO”). As of December 31, 2025, we had an accumulated deficit of $4.5 billion. We will need to sustain or increase revenue while managing our costs to sustain or increase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generate and expand profitability is highly impacted by growth in our diversified revenue streams and our ability to drive operational efficiencies in our business. Our efforts to maintain and increase our profitability may not succeed due to factors such as evolving consumer behavior trends in grocery shopping, including the impacts of future public health outbreaks, impacts on prices of goods due to trade policies enacted or proposed by the United States, such as tariffs or other trade restrictions, uncertainty related thereto, and responses by foreign governments to such policies, inflationary pressures or other factors, actual or perceived risk of an economic recession, unfavorable macroeconomic conditions, customer engagement and retention, changes in our revenue mix and retailer, customer, and brand partner fees, the costs associated with complying with evolving regulatory regimes, including costs associated with order fulfillment, collection and credit risks, our ability to hire and retain highly skilled personnel, our ability to effectively scale our operations, and the continuing evolution of the online grocery industry, many of which are beyond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generate and expand profitability also depends on our ability to manage our costs. We have expended and expect to continue to expend substantial financial and other resources to:</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increase the engagement of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drive adoption of our offerings through marketing and incentives and increase awareness through brand campaigns;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enhance Instacart with new offerings, including through partnerships, use cases, features, including flyers and loyalty programs, fulfillment options, member benefits, such as unlimited $0 delivery fees on orders over a certain size, and other exclusive benefits for Instacart+ members, and functionality, including through strategic investments and expanded technologies, such as AI Solutions;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invest in our operations to continue scaling our business and expanding internationally to achieve and sustain long-term efficiencies.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our efforts to increase revenue and manage operating costs are new and unproven given the unique and evolving complexities of our business and the evolving nature of the grocery industry. Any failure to adequately increase revenue or manage operating costs could prevent us from sustaining or increasing profitability. Expansion of our offerings, such as to include new use cases, technologies, fulfillment options, geographic markets, or retail categories, may initially harm our profitability. We have also made and may continue to make concessions to retailers that are designed to maximize profitability in the long term but may decrease profitability in the short term. These retailer concessions negatively impact our revenue and financial results and the process for determining and quantifying the impact of these concessions requires judgment and estimates. As a result, the impact of retailer concessions on our financial results may continue into future periods or have higher impacts than we anticipate. We may also incur higher operating expenses as we implement strategic initiatives, including in response to external pressures such as competition, retailer consolidation, and evolving consumer behavior trends in grocery shopping. For example, our sales and marketing expenses as well as consumer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have expanded gross margin and optimized operating costs through these efficiencies in the past, but the pace of such expansion has normalized and may decelerate further in the future. We may encounter unforeseen operating expenses, difficulties, complications, delays, and other factors, including as we expand our business, execute on strategic initiatives, continue to expand internationally, and navigate macroeconomic uncertainty and any future public health concerns or outbreaks, which may result in losses or a failure to generate or expand profitable growth in future periods.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granted RSUs to our employees and directors, which primarily vest upon the satisfaction of a service-based vesting condition. Stock-based compensation expense related to these RSUs and other outstanding equity awards will result in fluctuations in our expenses in future periods.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such, due to these factors and others described in this “Risk Factors” section, we may not be able to sustain or increase profitability or generate profitable growth in the future. If we are unable to sustain or increase profitability, the value of our business and the trading price of our common stock may be negatively impacted.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attract and expand our relationships with consumers, brands, and shoppers, we must attract new retailers and maintain our relationships with existing retailers. Consumers have strong preferences for their favorite retailers due to the trust these retailers have created over generations, and our ability to increase consumer and brand adoption of Instacart depends on our ability to attract and maintain our retail partners and maintain or increase their adoption of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attract and retain retailers depends on our ability to generate revenue for them. Retailers will not continue to do business with us if they do not believe that partnering with Instacart will generate a competitive return relative to other alternatives, including from our competitors. Retailers have in the past chosen, and could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that may not be within our control or whose impacts are difficult to predict. For example, macroeconomic effects from supply shortages and inflation have previously resulted in fluctuations in consumer shopping behaviors and preferences. An increase in retailer operating costs, or other deterioration in the financial condition of retailers, whether due to macroeconomic conditions or otherwise, could cause retailers to raise prices, renegotiate contract terms, or cease operations, which we expect may influence our retailer fee terms. Further, as we expand our own offerings, changes in the mix of customer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services agreements with our retail partners that provide for service fees in exchange for providing access to our technology platform.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have in the past decided and may in the future decide to not renew their agreements while others have in the past modified and may in the future modify their agreement terms in a cost-prohibitive or strategically detrimental manner when their agreements are up for renewal due to factors such as macroeconomic uncertainty, dissatisfaction with existing or proposed terms in their service agreements, changes in consumer shopping behavior and preferences on Instacart and among our use cases, fulfillment options, and competitive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and other factors. Some retailers have in the past shifted and may in the future shift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or result in Instacart receiving less favorable contract terms with the consolidated entity.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Retailers could also experience downturns or fail, including due to macroeconomic pressures, experience labor shortages or disputes, fail to adopt additional offerings or fulfillment methods or fail to launch or utilize our offerings in the manner and timing that we expect,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generate significant GTV and revenue from a small number of retailers. Our top three retailers accounted for approximately 43% of our GTV for the years ended December 31, 2023 and 2025, and 42% for the year ended December 31, 2024. While GTV and revenue from our largest retail partners may decrease as a percent of our total GTV and revenue over time as we generate more GTV and revenue from other retailers, we believe that GTV and revenue from our largest retailers will continue to account for a significant portion of our GTV and revenue for the foreseeable future. If any of these retailers were to suspend, limit, or cease their operations or otherwise terminate their relationships with us, the attractiveness of Instacart to consumers and brands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continuing to build, grow, and scale our Instacart Ads offerings and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primarily recognize revenue in the amount that we have the right to invoice as advertising services are rendered, which occurs upon delivery of clicks, upon delivery of impressions, over the contract term on a fixed fee basis, or upon redemption of coupons. Payment for our advertising offerings is generally due 30 to 90 days after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and surfaces where we offer advertising, attract new retailers, marketplaces, and platforms and expand our relationships with existing retailers, marketplaces, and platforms, acquire new customers and increase the engagement of existing customers, and increase the breadth and functionality of our advertising products to create more value for our brand partners, including 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expand our relationships with more retailers, marketplaces, and platforms, acquire new customers or increase the engagement of existing customers, or acquire new brand partners or increase the engagement of existing brand partners, we may not be able to successfully grow our advertising and other revenue. In addition, our advertising and other revenue growth rate and our advertising and other investment rate have fluctuated and may continue to fluctuate, particularly during periods of acceleration or deceleration in our GTV growth. Our advertising and other investment rate may also fluctuate if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also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Additionally, many state legislatures have enacted laws and regulations granting consumers the right to opt-out of a company’s sharing of personal data for advertising purposes in exchange for money or other valuable consideration and imposing certain obligations on covered businesses with respect to consumers’ personal data. Partially as a result of these developments, individuals are becoming increasingly resistant to the collection, use, and sharing of personal data to deliver targeted advertising. Individuals are now more aware of options related to consent, privacy preference mechanisms (such as browser signals from the Global Privacy Control), and “ad-blocking” software to prevent the collection of their personal data for targeted advertising purposes. The long-term impact of these and other privacy and regulatory changes remains uncertain and may harm our growth, business, and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expenditures by brands tend to be cyclical, reflecting overall economic conditions and budgeting and buying patterns. Adverse macroeconomic conditions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as a result of trade policies enacted or proposed by the United States, such as tariffs or other trade restrictions, uncertainty related thereto, and responses by foreign governments to such policies, global supply chain disruptions, labor shortages or disputes, changing consumer preferences, geopolitical conflicts, and reduced consumer confidence. These factors have had a negative impact on our advertising revenue, and such impact is expected to continue in future periods. These factors may also negatively impact our ability to forecast our advertising revenue as the extent of the ongoing impact of these macroeconomic factors on our business and on global economic activity generally is uncertain and may continue to adversely affect our business, operations, and financial results. In addition, brand partners have in the past reduced, and may in the future reduce,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spend on Instacart as a result of decreases in our GTV growth, the timing of adoption of new advertising formats and offerings, or for any other reason, which has in the past resulted and may continue to result in reductions in the growth of brand partner digital marketing spend on Instacart and related decreases in advertising and other revenue growth in future periods. Our ability to sustain or increase profitability depends in part on our advertising revenue, and failure to maintain or grow our advertising revenue could harm our prospects, business, financial condition, and results of operations, as well as impact our ability to strategically lower fees and invest in larger marketing campaigns, new offerings, and select geographic expansions.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markets in which we compete are evolving rapidly and are highly competitive with increasing competitive pressure. Our business is complex and encompasses a range of technologies, offering types, and fulfillment methods that serve the diverse needs of our constituents.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Instacart Marketplace, our current and potential competitors include, but are not limited to: (i) existing and well-established online grocery or shopping alternatives, including digital-first platforms, such as Amazon and Thrive Market, (ii) brick-and-mortar retailers that have their own digital and fulfillment offerings, such as Target and Walmart, some of which decide to partner with Instacart to complement their own offerings, (iii) companies that provide ecommerce and fulfillment services for third parties, including retailers, whether online or offline, such as DoorDash, Shipt (acquired by Target), and Uber Eats, (iv) digital-first platforms entering the grocery market by owning inventory, including DashMart (owned by DoorDash), Fresh Direct (owned by Getir), and Gopuff, which may include existing retailers on Instacart, which could eventually eliminate their need to partner with us or limit their use of Instacart Marketplace, (v) companies that provide ecommerce and fulfillment services that focus on discrete categories of products, such as alcohol or prescription delivery, and (vi) companies that offer direct to consumer ingredient or meal offerings, such as Blue Apron (owned by Wonder Group)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platform.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Instacart Enterprise platform, our current and potential competitors include, but are not limited to: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retail media network solutions, and AI-powered grocery tools.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FoodStorm, Carrot Tags, and other in-store applications, which face competition from other retailer technology solution providers, such as Amazon and Hanshow.</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With respect to Instacart Ads, our current and potential competitors include, but are not limited to: (i) third-party platforms that assist retailers with monetization of their digital offerings for consumers, such as CitrusAd (acquired by</w:t>
      </w:r>
      <w:r>
        <w:rPr>
          <w:color w:val="0000FF"/>
        </w:rPr>
        <w:t xml:space="preserve"> </w:t>
      </w:r>
      <w:r>
        <w:rPr>
          <w:rFonts w:ascii="Times New Roman;serif" w:hAnsi="Times New Roman;serif"/>
          <w:b w:val="false"/>
          <w:color w:val="000000"/>
          <w:sz w:val="20"/>
        </w:rPr>
        <w:t>Publicis Groupe), Criteo, Moloco, and Quotient, (ii) first-party retailer-owned solutions that provide online advertising opportunities to brands on their owned and operated domains, such as Amazon, Kroger, Target, Walmart, and others, some of which are also retailers on Instacart, (iii) companies that provide ecommerce and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restaurants offered on Instacart’s Marketplace via our partnership with Uber, there are a number of competitors to such offering available through Instacart including, but not limited to: (i) local on-demand delivery companies such as DoorDash, Uber Eats via Uber’s native applications, and Grubhub (acquired by Wonder),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restaurants that have their own online ordering platform or online ordering systems, and (iii) other businesses that offer online ordering of prepared meals. Many consumers also rely on offline ordering channels, such as take-out offerings, telephone, and paper menus advertised by restaurants to consumers. The cost to switch between providers of online restaurant delivery is low for consumers, and consumers within various demographics have a propensity to shift to the lowest-cost or highest-quality provider and may use more than one delivery platform. In addition, competitors may offer different restaurant selection or restaurant delivery focused memberships that discourage consumers from switching to our offering.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while we work to expand further in the United States and Canada and scale international markets, and introduce new offerings across a range of industries, many of our competitors remain focused on a limited number of products or on a narrow geographic scope, allowing them to develop specialized expertise and employ resources in a more targeted manner than we do. As we and our competitors introduce new offerings, and as existing offerings evolve, we 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our competitors are well-capitalized and are able to offer discounted or free services, shopper incentives, consumer discounts and promotions, innovative products and offerings, and alternative pricing models, which may be more attractive to retailers, consumers, brands, or shoppers than those that we offer. In addition, we may not be able to effectively compete with service offerings from vertically integrated competitors, such as Amazon or Gopuff, which control both the brick-and-mortar retailer and online fulfillment technology. Certain brick-and-mortar retailers that have their own digital offering, such as Walmart, also have significant size, scale, geographic, and customer base advantages, which may allow them to grow online sales or capture increasing share of the online grocery market or advertising budgets more effectively and at a faster rate than us. Competitors may also offer fulfillment options from our retail partners, despite 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and new entrants to online grocery are able to initially grow grocery sales at a faster rate due to their smaller scale, which has attracted advertising budget to certain of these competitors.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all of these reasons, we may not be able to compete successfully against our current and future competitors. Our inability to compete effectively would have an adverse effect on our ability to acquire new retailers, customers, and brand partners or increase the engagement of our existing retailers, customers, and brand partners, or would otherwise harm our business, financial condition, and results of operations. Third parties may also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cost-effectively engage, attract, or retain shoppers on Instacart, our business could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Shoppers perform certain tasks for customers, including picking and delivering goods, on Instacart. We enter into agreements with shoppers for them to provide fulfillment and other services to customers through Instacart and our 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there are not enough shoppers on Instacart, customer orders may be late, go unfulfilled, or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and actual or perceived economic advantages of providing services with other companies that engage independent contractors, including our competitors, our growth objectives and our business and prospects could be seriously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changes to the terms of our independent contractor agreement, shopper incentives, our retail partners, having a poor experience on Instacart, or deciding to pursue other work opportunities.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coordinated shopper work stoppages, shoppers choosing not to provide their services through Instacart, and negative press. Any protests, work stoppages,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experienced, and expect to continue to experience, shopper shortages, often due to factors that are not within our control and which may be difficult to predict. Shoppers have significant flexibility regarding the in-store tasks they want to perform, including when, where, and how they wish to shop and may also provide services on other app-based platforms. To the extent that we experience shopper shortages, we may need to provide or increase 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that can arise due to factors outside of our control, such as inclement weather.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other online grocery platforms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in the past imposed and may in the future impose requirements forcing us to fix minimum levels of compensation and provide certain benefits for shoppers, disclose additional details about orders, prices, and shopper earnings, and handle shopper account deactivation in a prescribed manner,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or interpretations by agencies of the applicability of a retailer or brand collective bargaining agreement to certain tasks shoppers perform, may also negatively affect our ability to attract and retain retailers, customers, or shoppers. Even if some or all of such changes are ultimately not costly or time-consuming, they could reduce the number of shoppers in those markets or extend the time required to recruit new shoppers to Instacart, which could adversely impact our growth, business,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Often, we are forced to balance tradeoffs between the satisfaction of various constituents on Instacart, as a change that one category views as positive may be viewed as negative to another category. For example, we take certain measures that</w:t>
      </w:r>
      <w:r>
        <w:rPr>
          <w:color w:val="000000"/>
        </w:rPr>
        <w:t xml:space="preserve"> </w:t>
      </w:r>
      <w:r>
        <w:rPr>
          <w:rFonts w:ascii="Times New Roman;serif" w:hAnsi="Times New Roman;serif"/>
          <w:b w:val="false"/>
          <w:color w:val="000000"/>
          <w:sz w:val="20"/>
        </w:rPr>
        <w:t xml:space="preserve">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 which may cause frustration with retailers and customers. If we do not adequately balance the tradeoffs among the various constituents on Instacart and continuously assess such tradeoffs in the context of prevailing market and competitive factors, our business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failure to achieve increased market acceptance of online grocery shopping and our offerings could seriously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traditional consumer in-store experience through an online platform or with connected shopping experiences is difficult due to broad consumer demands on selection, quality, affordability, and convenience. Grocery shopping habits and related consumer preferences are complex and diverse across and within geographies and across demographics and age groups. Changing traditional grocery shopping habits is difficult, and if consumers and retailers do not embrace the transition to online grocery shopping and connected shopping experiences as we expect, our business and operations could be harmed. The amount of influence we may have over these shopping habits and preferences, and the methods at our disposal to exercise such influence (including marketing and incentives), may be limited, and we are dependent on external influences over shopping habits and macroeconomic factors.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 of factors beyond our control, including macroeconomic conditions, initiatives by retailers to influence shopping behavior, continued market acceptance of our offerings, the timing of development and release of new offerings and features by us, the timing or manner of the adoption of our offerings by retailers and our competitors, changing consumer preferences, technological change, brand recognition, and growth or contraction in our markets. If we fail to achieve increased market acceptance of our offerings, our business could be seriously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Mergers or other strategic transactions by competitors or retailers could weaken our competitive position and adversely affect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one or more competitors or retailers were to merge, acquire, or partner with another competitor or retailer, the change in the competitive landscape could adversely affect our ability to compete effectively. Consolidation amongst major retail partners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parties with whom we have relationships, which could limit our ability to promote our offerings to those retailers and reduce our number of customers. As a result of these and future potential acquisitions or strategic partnerships,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results of operations could vary significantly from quarter to quarter and year to year because of a variety of factors, many of which are outside of our control. As a result, comparing our results of operations on a period-to-period</w:t>
      </w:r>
      <w:r>
        <w:rPr>
          <w:color w:val="0000FF"/>
        </w:rPr>
        <w:t xml:space="preserve"> </w:t>
      </w:r>
      <w:r>
        <w:rPr>
          <w:rFonts w:ascii="Times New Roman;serif" w:hAnsi="Times New Roman;serif"/>
          <w:b w:val="false"/>
          <w:color w:val="000000"/>
          <w:sz w:val="20"/>
        </w:rPr>
        <w:t>basis may not be meaningful. In addition to other risk factors discussed in this section, factors that may contribute to the variability of our quarterly and annual results include:</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our ability to accurately forecast revenue and appropriately plan our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uncertainty, including as a result of trade policies enacted or proposed by the United States, such as tariffs or other trade restrictions, uncertainty related thereto, and responses by foreign governments to such policies;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impact of prior or future public health threats on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revenue and fulfillment option mix shifts as we enhance Instacart with new offerings, use cases, and functionality, as well as changes in mix of revenue contribution from advertising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the recognition of our deferred 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strategic investments and expenditures, including international expansion;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operating expenses, including cost of revenue, as we seek to improve efficiencies, comply with changing regulatory requirements, and expand our business, offerings, and technologies;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seasonality of our business, including as a result of inclement weather;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collect payments from retailers and brands on a timely basis.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and other factors may cause our results of operations to vary significantly. In particular, we experienced substantial growth in prior periods and made significant changes to our business, including through scaling our operations to meet the increased demand and implementing new business and product initiatives, which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or macroeconomic conditions. As such, for these and other factors stated above, quarter-to-quarter and year-over-year comparisons of our results of operations may not be meaningful and should not be unduly relied upon as an indication of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working capital and operating cash flows have fluctuated and may continue to fluctuate significantly from period to period as a result of new initiatives, the timing of payments made to and/or received from retailers, shoppers, and vendors, and certain transaction types, such as those involving EBT SNAP benefits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the last day of each reporting period. Due to this timing, our cash flows from operating activities may not be directly comparable from period to period.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Seasonality may cause fluctuations in our sales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during periods of inclement weather, the number of available shoppers generally decreases, while the number of orders from customers has typically increased,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although growth in offerings, such as restaurants, acquisitions, and disruptive events, such as future public health outbreaks, may obscure future seasonality trends. Moreover, other seasonal trends may develop, including from new offerings, or these existing seasonal trends may become more extreme, and the existing seasonality and</w:t>
      </w:r>
      <w:r>
        <w:rPr>
          <w:color w:val="0000FF"/>
        </w:rPr>
        <w:t xml:space="preserve"> </w:t>
      </w:r>
      <w:r>
        <w:rPr>
          <w:rFonts w:ascii="Times New Roman;serif" w:hAnsi="Times New Roman;serif"/>
          <w:b w:val="false"/>
          <w:color w:val="000000"/>
          <w:sz w:val="20"/>
        </w:rPr>
        <w:t>customer and shopper behavior that we experience may change or become more significant, which would contribute to fluctuations in our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 xml:space="preserve">If we or the third parties we rely on experience a compromise to the confidentiality, integrity, or availability of our or their systems, or to data of our customers, shoppers, partners, employees, or Instacart, we may experience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our business and platform involves the collection, use, storage, transmission, and other processing of sensitive, proprietary, and confidential information, including personal information of customers, shoppers, and personnel, our proprietary and confidential information, and the confidential information of partners including retailers and brands. Security incidents compromising the confidentiality, integrity, or availability of this information or our IT systems or data (or those of third parties upon which we rely or otherwise engage with), or disrupting our ability (or that of third parties with whom we work) to provide our offerings, products, and/or services, could materially impact our business and results of operations. We face evolving cybersecurity threats and threat actors including but not limited to state-sponsored and advanced persistent threat actors, malicious code and malware (such as viruses, worms and ransomware), social engineering (including deep fakes, which may be increasingly difficult to identify as fake, phishing, and vishing), denial-of-service attacks, credential harvesting, credential stuffing, supply-chain attacks, server malfunctions, software or hardware failures, security bugs, vulnerabilities or misconfigurations in the software or systems on which we rely, loss of data or other information technology assets, adware, telecommunications failures, attacks enhanced or facilitated by AI, earthquakes, fires, floods, and other similar threats. In addition, malfeasance, error, theft, or misuse by our own personnel or the personnel of our strategic partners, our collaborators, or the third-party service providers with which we engage, of our intellectual property, financial data, or employee, retailer, customer, brand, or shopper data, could adversely affect our business and results of operations, particularly if such information is provided to or accessed by a competitor.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a number of third parties to operate our critical business systems and to process confidential and personal information, such as the payment processors that process customer credit card payments, cloud service providers, and employee and customer service centers, including those located in other countries. Our ability to require, monitor, and enforce these third parties’ information security practices is limited. Because third parties provide operational support to our business and process confidential and personal information on our behalf, we could experience materially adverse consequences as a result of cyberattacks or incidents experienced by those third parties. Third-party and supply chain attacks have increased in frequency and severity and we cannot guarantee that the security of our service providers or any of their partners has not been materially compromised. We also cannot be certain that our contracts with these third parties will allow us to obtain indemnification or recovery from them for data security-related liability that they cause us to incur.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maintain, sell, and distribute our offerings and services. In particular, severe ransomware and extortion attacks are becoming increasingly prevalent and can lead to significant interruptions in our operations, loss of sensitive data and income, reputational harm, and diversion of funds.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remote work poses risks to our information technology systems and data, as our employees utilize network connections, computers, and devices outside our premises or network, including working at home, while in transit, and in public locations. For example, technologies in our employees’ and service providers’ homes are often not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the privacy, data security, and data protection safeguards we or our service providers have put in place will be comprehensive, or completely implemented, complied with, or effective. Additionally, future and past business transactions with other parties (such as acquisitions, strategic partnerships, collaborations, or integrations) have exposed us to additional cybersecurity risks and vulnerabilities associated with those parties, such as security issues that were not identified during due diligence, and difficulty or incomplete integration of their systems into our information technology environment and security program.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third-party providers regularly experience cyberattacks and other security incidents, and we expect such attacks and incidents to continue. For example, we regularly experience credential stuffing attacks in which malicious third parties use credentials compromised in data breaches suffered by other companies or otherwise improperly obtain credentials to access shopper or customer accounts on Instacart, as well as sophisticated social engineering attacks, which, if successful, could lead to the installation of malware on our network and unauthorized access to and acquisition of information. It is increasingly difficult and costly to detect, investigate, mitigate, contain, and remediate a security incident.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Actions taken by us or the third parties with whom we work to detect, investigate, mitigate, contain, and remediate a security incident could result in outages, data losses, and disruptions of our business, which presents additional opportunities for threat actors to gain access to other networks and systems.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take steps designed to detect, mitigate, and remediate vulnerabilities in our information systems (such as our hardware and/or software, including that of third parties with whom we work). We are unable to comprehensively apply patches or confirm that measures are in place to mitigate all such vulnerabilities, or that patches will be applied before vulnerabilities are exploited, resulting in a security incident.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and our third-party providers cannot anticipate, or implement adequate preventative measures to address all cybercrime and hacking techniques (including the use of AI) used by threat actors, including those that are designed to circumvent controls, avoid detection, and remove or obfuscate forensic artifacts. Any or all of the following could independently or in the aggregate cause a material adverse impact to our business, financial condition, and results of operations: loss of customer confidence in the security of Instacart and damage to our brand, reduced demand for our offerings, serious disruption of normal business operations, material diversion of resources to investigate and remediate incidents, exposure to legal liability, including through litigation (such as class actions), regulatory enforcement, and indemnity obligations. Further, applicable privacy, data security, and data protection obligations require us to notify relevant stakeholders of certain security incidents, including affected individuals, customers, regulators, and investors, or to take other actions, such as providing credit monitoring and identity theft protection services. Such disclosures are costly, and the disclosure or the failure to comply with such requirements could lead to adverse consequences, including potential statutory damages. We have expended and may in the future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These risks are expected to increase as we continue to grow and process, store, and transmit increasingly large amounts of data, including across different jurisdictions. Our contracts may not contain limitations of liability, and even where they do, there can be no assurance that limitations of liability in our contracts are sufficient to protect us from liabilities, damages, or claims related to our privacy, data security, and data protection obligations. We cannot be sure that our insurance coverage will be adequate or sufficient to protect us from or to mitigate liabilities arising out of our privacy, data security, and data protection practices, that such coverage will continue to be available on commercially reasonable terms or at all, or that such coverage will pay future claims.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Interruptions or performance problems, including failure to ensure accessibility, associated with our offerings and technology capabilities may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retailers, customers, brands, or shoppers, cause incorrect calculations relating to the prices or discounts available to consumers, cause incorrect calculations relating to the payments we make to or fees we receive from or charge to retailers, customers, brands, or shoppers, or create vulnerabilities in our systems which bad actors may exploit to perpetrate fraud or otherwise harm our business. We have from time to time found defects or errors in our system and may discover additional defects or errors in the future that could result in platform unavailability or system disruption. In addition, we have experienced, and may in the future experience, disruptions, outages, operational errors, and other performance problems due to a variety of other factors, including infrastructure changes, introductions of new functionality, defects in third-party software, human errors, capacity constraints due to an overwhelming number of customers accessing our offerings and technology capabilities simultaneously, website hosting disruptions, cloud provider disruptions, interruptions to business and operations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and may continue to result in losses in revenue including through increased fraud activity and issuing appeasement credits and refunds as well as incentives for future orders to impacted customers and losses of customers or retailers due to perceived weaknesses in our systems and protective measures. In addition, the affected party could seek monetary recourse from us for their losses, and such claims, even if unsuccessful, would likely be</w:t>
      </w:r>
      <w:r>
        <w:rPr>
          <w:color w:val="0000FF"/>
        </w:rPr>
        <w:t xml:space="preserve"> </w:t>
      </w:r>
      <w:r>
        <w:rPr>
          <w:rFonts w:ascii="Times New Roman;serif" w:hAnsi="Times New Roman;serif"/>
          <w:b w:val="false"/>
          <w:color w:val="000000"/>
          <w:sz w:val="20"/>
        </w:rPr>
        <w:t>time-consuming and costly for us to address. Further, in some instances, we may not be able to identify the cause or causes of these performance problems or adequate remedies within an acceptable period of time. Moreover, some of our offerings rely on the software and technology capabilities of third parties, our strategic partners, or our collaborators, all of which are subject to the interruption and performance problem risks described above and which have required and will require third-party collaboration to detect and remediate.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retailers, customers, brands, or shoppers, lost or delayed market acceptance of Instacart and our offerings, delays in payment to us by retailers, injury to our reputation and brand, regulatory inquiries,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has previously had a negative impact on our business and may adversely impact our business in the future.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are not able to continue to introduce new features or offerings successfully and to make enhancements to existing offerings, our ability to grow and operate our business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attract new retailers, customers, brands, and shoppers and increase revenue from existing retailers, customers,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retailers, consumers, brands, and shoppers. The success of these and any other enhancements or developments depend on several factors, including their timely introduction and completion, sufficient demand, and cost effectiveness. It is difficult to accurately predict retailer, consumer, brand, or shopper adoption of new features or offerings, and related shifts in consumer shopping behavior, as well as our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or regulatory challenges and competing technologies to gain market acceptance, then our business and results of operations will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develop new offerings, features, and functionality to meet industry demands is important to our value proposition to retailers, consumers, brands, and shoppers, and if we fail to continue to successfully innovate, we could lose existing retailers, customers,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 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 We are increasing our investment in product development and hiring and retaining highly skilled engineering personnel to support these efforts, but such investments may not be effective in maintaining or improving the experience for retailers, customers, or shoppers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Artificial intelligence and machine learning technologies, including our use of such technologies and use of such technologies by our competitors, could result in reputational harm, competitive harm, or legal liability, and could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incorporated and may continue to incorporate additional AI (including machine learning) technologies into our platform, offerings, services, and features, including those based on large language models, and these applications have become more important to our operations and to our future growth over time. For example, we recently launched AI Solutions, a new collection of enterprise offerings that bring AI-powered capabilities to our retail partners. We intend to rely on AI to help drive future growth in our business and reduce costs, but there can be no assurance that we will realize the desired or anticipated benefits from, adoption of, or reactions to AI Solutions or other AI technologies that we may use, integrate, or rely upon. We may also fail to properly implement or market AI Solutions or other AI offerings. Our competitors or other third parties may incorporate AI into their products more quickly or more successfully than us, which could impair our ability to compete effectively and adversely affect our results of operations. Additionally, our offerings based on AI or other uses or reliance upon AI tools in our business may expose us to lawsuits, regulatory investigations, and penalties, as well as subject us to legal liability and brand and reputational harm. For example, if the content, analyses, or recommendations that AI offerings or AI tools assist in producing are or are alleged to be deficient, inaccurate, misleading, unfair, or biased, or infringe on third-party intellectual property rights, our business, financial condition, and results of operations may be adversely affected. Third-party AI technologies, including agent-based applications capable of performing online tasks on behalf of users, may change how consumers interact with our offerings, including our advertising offerings, or may divert consumers from engaging with our offerings altogether. Failure to adapt our offerings to such technologies may in the future impact our financial performance and results of operations. Additionally, although we have invested in AI tools for internal use, there can be no assurances that we will successfully develop and employ such tools, or that our personnel will effectively adopt and leverage such tools, to improve productivity and operational efficiencies.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foreign, federal, state, and local regulators have adopted, or are in the process of adopting, comprehensive legal frameworks governing AI, machine learning, and automated decision-making systems. Additionally, certain privacy laws extend rights to consumers, such as the right to delete certain personal data and regulate automated decision making. These and any future laws and regulations may increase compliance costs and complexity and impact our ability to utilize AI or develop or deploy AI offerings, which could adversely affect our business, financial performance, and results of operations. Any failure or perceived failure by us to comply with such requirements may subject us to lawsuits or regulatory investigations, negatively impact our brand and reputation, result in fines and/or orders to disgorge data from AI offerings or AI tools, and have an adverse impact on our business. Our use of AI tools may also create additional confidentiality, security, and related risks. For instance, sensitive information (including confidential, competitive, proprietary, or personal data) that we input into or is otherwise accessible by a third-party AI tool could be leaked or disclosed to others, including if sensitive information is used to train a third party’s AI model. Additionally,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substantial investments to expand our offerings and technologies to capitalize on new and unproven business opportunities, including new fulfillment options and use cases, international expansion, expansion into retail categories outside of grocery, the development of hardware products, and automated AI technologies. We intend to continue investing significant resources in developing these technologies, tools, initiatives, features, and offerings that we believe will enable our success in new markets or areas of business and/or strengthen our core business. For example, we launched AI Solutions, a new collection of enterprise offerings that bring AI-powered capabilities to our retail partners. If we do not spend our development budget efficiently or effectively on commercially successful and innovative technologies or ventures, or if we are unable to timely introduce and commercialize such offerings, we may not realize the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of time before they become accretive to our revenue or margin, and if they never become accretive, we may be contractually obligated to make payments or incur expenses in connection with initiatives for an extended period without sufficient, or any, economic or financial benefit. Further, our development efforts with respect to new offerings and technologies could distract management from current operations and divert capital and other resources from our more established offerings and technologies.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Producing and offering hardware products will also involve new or heightened risks to our business, such as manufacturing and inventory risks resulting from supply chain disruptions, user safety risks and additional expenses resulting from product defects, import and export expenses, in particular, if such expenses increase as a result of trade policies enacted or proposed by the United States, such as tariffs or other trade restrictions, uncertainty related thereto, and responses by foreign governments to such policies, and other hardware-related costs. For example, any interruption to the manufacturing, inventory, or import and export of hardware products produced by Caper may negatively impact the development, deployment, and adoption of such products. Although we believe these investments will improve our financial results over the long term, they may negatively impact our short-term financial results, which may be inconsistent with the short-term expectations of our stockholders. Moreover, there can be no assurance that retailer, consumer, or brand demand for such initiatives will exist or be sustained at the levels that we anticipate, or that any of these initiatives will gain sufficient traction or market acceptance to generate sufficient revenue to offset any new expenses or</w:t>
      </w:r>
      <w:r>
        <w:rPr>
          <w:color w:val="0000FF"/>
        </w:rPr>
        <w:t xml:space="preserve"> </w:t>
      </w:r>
      <w:r>
        <w:rPr>
          <w:rFonts w:ascii="Times New Roman;serif" w:hAnsi="Times New Roman;serif"/>
          <w:b w:val="false"/>
          <w:color w:val="000000"/>
          <w:sz w:val="20"/>
        </w:rPr>
        <w:t>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including in their interpretations of existing retailer or brand collective bargaining agreements,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Promoting awareness and driving adoption of our offerings is important to our ability to grow our business, and attracting and engaging new retailers, customers, brands, and shoppers can be costly. Our consumer marketing efforts currently include, without limitation, digital performance marketing that includes search, programmatic, and social; customer relationship management based marketing that includes push notifications, text messaging, email marketing, linear television, audio, and shopping ads; and co-marketing efforts with retailers, payment providers, brands, and other partners. Some of these marketing efforts rely on our ability to utilize third-party systems or platforms, which are subject to their own operational and regulatory risks. To drive existing customer reengagement, we also utilize targeted promotions including time-limited $0 delivery offers and coupons. We also provide incentives to brands to advertise on our platform, increase their engagement, and promote the launch of new advertising solutions.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consumer incentive initiatives to accelerate the growth of our business,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consumer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or if we reduce our marketing expenditures, we expect that our business, financial condition, and results of operations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engage or expand our base of retailers, customers, brands, and shoppers will be impaired and our business, financial condition, and results of operations may suffer.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Maintaining and enhancing our reputation as a differentiated and category-defining company is critical to attracting and expanding our relationships with retailers, customers,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services at competitive prices. Brand promotion activities may not yield increased GTV, orders, or revenue, and even if they do, the increases in GTV or orders may not persist and any increases in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effects could occur as a result of trust and safety or fraud incidents. The loss of customers or retailers due to poor shopper performance or a trust and safety incident caused by</w:t>
      </w:r>
      <w:r>
        <w:rPr>
          <w:color w:val="0000FF"/>
        </w:rPr>
        <w:t xml:space="preserve"> </w:t>
      </w:r>
      <w:r>
        <w:rPr>
          <w:rFonts w:ascii="Times New Roman;serif" w:hAnsi="Times New Roman;serif"/>
          <w:b w:val="false"/>
          <w:color w:val="000000"/>
          <w:sz w:val="20"/>
        </w:rPr>
        <w:t>a shopper, customer, or third party could harm our business. In addition, negative publicity related to strategic partners, marketing partners, or key brands that we have partnered with may damage our reputation, even if the publicity is not directly related to us. If we fail to maintain, protect, and enhance our brand successfully or to maintain loyalty among retailers, customers, brands, and shoppers, or if we incur substantial expenses in unsuccessful attempts to maintain, protect, and enhance our brand, we may fail to attract or increase the engagement of retailers, customers, brands, and shoppers, and our business, financial condition, and results of operations may suffer.</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offer high-quality support, our ability to attract and engage customers and shoppers could suffer.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and shoppers rely on our and our partners’ support personnel and technologies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We also rely in part on support technologies, including self-service and AI tools. Those technologies have in the past and may in the future fail to perform as expected or fail to adequately address support issues resulting in customer and shopper dissatisfaction. If we do not help customers and shoppers quickly resolve issues and provide effective ongoing support, our ability to maintain and expand our revenue from existing and new customers could suffer, as well as our reputation with existing or potential customers.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pricing methodologies are impacted by a number of factors and ultimately may not be successful in attracting and engaging retailers, customers, brands, and shoppers. Future changes to our pricing model could adversely affect our business.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offerings is highly sensitive to a range of factors, including our strategies relating to the amount of potential earnings required to attract shoppers, incentives paid to shoppers, and the fees we charge retailers, customers, and brands. Many factors, including operating costs, launching or scaling new strategic initiatives or use cases, legal and regulatory requirements, constraints, or changes, supply chain issues, the price sensitivity of consumers in different income groups or other demographics, inflation, and our current and future competitors’ pricing and marketing strategies, have in the past significantly affected and may in the future significantly affect our pricing strategies. For example, certain of our competitors offer, or may in the future offer, lower-priced or a broader range of offerings, including subscription offerings for bundled services. Moreover, some jurisdictions in which we operate have established requirements to engage certain delivery workers, including around shopper pay and benefits, shopper access to our platform, and other types of regulations governing our engagement of shoppers, and we expect other such measures may be enacted in the future. Such competition, regulation, or other factors may cause us to change the fees we charge customers, increase the incentives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pay to shoppers who use Instacart, adjust the fees we charge retailers or brands, or increase our marketing and other expenses to attract and maintain or increase the engagement of retailers, customers, brands, and shoppers. We have launched, and may in the future launch, new or updated pricing strategies and initiatives, such as subscription offerings like Instacart+, and customer or shopper loyalty programs, or we may modify existing pricing methodologies or pricing models and fulfillment options. These new or updated pricing strategies and initiatives may not ultimately be successful in attracting and engaging retailers, customers, brands, or shoppers or may negatively impact growth rates, customer retention, and engagement as well as our financial results. We also offer brands and retailers tools and products, including through our Eversight business, to enable them to formulate their pricing and promotions strategies. If these solutions fail to generate improved results for brands and retailer sales, brands and retailers may choose to not use such solutions. In addition, government authorities and regulators have recently been increasingly focused on grocery prices and related pricing methodologies and practices, which may impact our ability to offer such tools and products. Our brand reputation and our ability to attract and retain customers could also be harmed if these solutions negatively impact consumer price perception. The increasing complexity of our pricing models and related expansion of our business may also require us to update our internal systems for invoicing retailers or brands or incur costs to remediate errors or disputes in existing invoices.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Further, consumers’ price sensitivity may vary by geographic location, and as we expand, our current pricing methodologies may not enable us to compete effectively in these locations. In particular, as we continue expanding internationally, we may be required to change our pricing strategies and to adjust to different cultural norms, including with respect to consumer pricing and gratuities. While we do and will attempt to set prices for our services based on our prior operating experience and customer, retailer, brand, and shopper feedback and engagement levels, our assessments may not be accurate, our ability to assess or implement changes may be constrained, there may be errors in the technology used to price our services, and we could be underpricing or overpricing our services as a result. In particular, we have limited experience pricing our offerings in volatile macroeconomic environments and at the current scale, scope, and complexity of our business. As a result, our historical data and operating experience may be insufficient to adequately</w:t>
      </w:r>
      <w:r>
        <w:rPr>
          <w:color w:val="0000FF"/>
        </w:rPr>
        <w:t xml:space="preserve"> </w:t>
      </w:r>
      <w:r>
        <w:rPr>
          <w:rFonts w:ascii="Times New Roman;serif" w:hAnsi="Times New Roman;serif"/>
          <w:b w:val="false"/>
          <w:color w:val="000000"/>
          <w:sz w:val="20"/>
        </w:rPr>
        <w:t>inform our future pricing strategies. In addition, we may need to revise our pricing methodologies as we continue to develop new offerings and features. Changes to any components of our pricing model may, among other things, result in customer dissatisfaction, lead to a loss of customers on Instacart, and seriously harm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retailers, customers, brands, shoppers, or other third parties using Instacart engage in, or are subject to, criminal, violent, inappropriate, or dangerous activity, it could have an adverse impact on our reputation,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able to control or predict the actions of retailers, customers,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retailers, customers,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 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and availability of records. Moreover, our third-party service providers may fail to conduct such background checks adequately or disclose information that could be relevant to a determination of eligibility. We have in the past received, and we expect to continue to receive, complaints from retailers, customers, shoppers, and other third parties, as well as actual or threatened legal action against us related to shopper, customer, retailer, and other third-party conduct. 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shoppers or individuals impersonating shoppers or customers engage in criminal activity, fraud, including identity theft, use of stolen or fraudulent credit card data, misconduct, breach of our terms of service, or inappropriate conduct or use Instacart as a conduit for criminal activity, or we fail to identify or detect, or experience delays in identifying or detecting such activity or events, or if we are prevented from deactivating such individuals or otherwise taking action to stop such activity, including as a result of regulations, our financial results may be negatively impacted, our offerings may not be viewed as safe, reliable, or appealing, and we may receive negative press coverage as a result. Such negative public perception of our offerings or brand would adversely impact our brand, reputation, and business. We have in the past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experienced, and may experience in the future, inappropriate conduct and criminal activity by certain shoppers or other bad actors, including fraudulent uses of credit cards, manipulation or falsification of data related to shopper activity, social engineering attacks to gain access to customer and shopper accounts, as well as fraudulent use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even if we are not contractually required to do so, we have historically provided retailers with business concessions for related losses in certain cases and may provide 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and, in cases where the fraudulent activity occurs through systems controlled by our partners, we may be unable to remediate or prevent this activity in a timely manner or at all due to limitations in, or our ability to, interact with such systems.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retailers, customers, brands, shoppers, or other third parties, our ability to attract retailers, customers, brands, and shoppers may be harmed, and our reputation, business, and financial results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are regularly subject to claims of significant liability based on traffic accidents, deaths, injuries, or other incidents that are caused by shoppers, customers, or third parties while using Instacart, or even when shoppers, customers, or third parties are not actively using Instacart. On a smaller scale, we regularly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shoppers that our insurance policies may not cover or the cost of our policies may increase.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our products and offerings, this insurance risk will grow.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impact of macroeconomic and geopolitical conditions, public health incidents, weather events, and natural catastrophes, including the resulting effect on consumer spending, may harm our business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may vary based on the impact of disruptive events or changes in our industry or the economy on us and retailers, consumers, brands, and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our business is impacted by the amount of disposable income that consumers have to spend on online grocery shopping. Actual or perceived risks of an economic recession, elevated interest rates, cessation of, interruptions to, or changes to government aid programs, tariffs or other trade restrictions enacted by the United States and responses by foreign governments to such policies, and inflationary pressures have in the past resulted and may in the future result in decreased customer retention and engagement as consumers may opt to purchase groceries or other consumer goods themselves, instead of through Instacart, or choose to purchase groceries from bargain or other lower-cost retailers that are not on Instacart, as well as reduced advertising spending by brands. We may not be able to fully offset higher costs through operational efficiencies and/or pricing strategies, and while certain of our new offerings are focused on value and affordability, these initiatives may not fully offset pricing challenges faced by customers. In addition, increases in food, labor, fuel, rent, energy, supply, and other costs, many of which are beyond the control of our retail partners, have increased retailers’ operating costs and caused our retail partners to raise prices and may cause further price increases in the future. In many cases, these retailers may not be able to pass along these increased costs to consumers and, as a result, may reduce product offerings or cease operations. If spending at many of the retailers in our network declines, or if a significant number of these retailers goes out of business, consumers may be less likely to use our service, which could harm our business and results of operations. Reduced customer spending on Instacart could also cause our retail partners to reduce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cease engagement with Instacart. Further, increases in gas prices or other factors that increase the costs to operate motor vehicles could make it prohibitively expensive for shoppers to deliver to customers.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negative conditions in the general economy both in the United States and abroad resulting from disruptive events, including future public health threats, geopolitical conflicts, economic sanctions, bank failures, changes in international trade relations, political turmoil, weather events, and natural catastrophes, including warfare and terrorist attacks on the United States or elsewhere, could adversely affect our liquidity and financial condition as well as demand for our offerings and the growth of our business. In particular, we generate a significant proportion of our GTV from a limited number of geographical markets. If such negative conditions disproportionally affect these markets, the demand for our offerings and the growth of our business may be more severely impacted. In addition, future public health outbreaks could cause operational disruptions and incur additional expenses including expenses associated with health and safety protocols and processes, which could adversely affect our business and results of operations. Further, due to the size, scope, and nature of our operations, the expenses we may need to incur to protect the health and safety of shoppers and certain of our employees in the event of future public health outbreaks may be higher than similar expenses that companies in other industries may need to incur. In addition, these events and any impact of these events on critical infrastructure in the United States and elsewhere, have the potential to disrupt our business and the business of our partners, including supply chain disruptions, as well as the ability of shoppers using Instacart to complete deliveries. Such disruptions may create additional costs for us to maintain or resume operations and may also negatively affect the growth of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operations have grown substantially in recent years, and we expect to continue expanding the scale of our operations. If we are unable to effectively manage that growth, our financial performance and future prospects will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recent years, we have experienced growth of our operations in the United States, Canada, and Europe.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grow our number of employees in order to meet our business plans or comply with regulatory changes. Our organizational structure will continue to evolve as we add additional retailers, customers, brands, shoppers, employees, offerings, and technologies, improve upon our product infrastructure, and as we continue to expand further domestically and internationally. Properly managing our growth will require us to continue to retain or hire, train, and manage qualified employees and staff, including engineers, operations personnel, financial and accounting staff, and sales and marketing staff, and to improve and maintain our technology. If our new hires perform poorly, if we are unsuccessful in retaining,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 bargaining agreement. Such negotiations or collective bargaining agreements may negatively impact our financial performance or results of operations. Furthermore, any workforce restructuring may result in increased attrition beyond our intended reduction, reduce employee morale, and may negatively impact employee recruiting and retention as well as our operations, our ability to grow our business, and our financial results.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processing and reporting, operational and financial systems, procedures, and controls. Our current and planned personnel, systems, procedures, and controls may not be adequate to support our future operations. We may require additional capital and management resources to grow and mature in these areas. Such investments may also require diversion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resources from other projects, such as the development of Instacart and related offerings. If we are unable to manage our growth effectively, it could have a material adverse effect on our business, results of operations, and financial condition.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depend on highly skilled personnel to grow and operate our business, and if we are unable to hire, retain, and motivate our personnel, we may not be able to grow effectively.</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success and future growth depend largely upon the continued services of our management team. From time to time, there have been and may continue to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The loss of one or more of our executive</w:t>
      </w:r>
      <w:r>
        <w:rPr>
          <w:color w:val="0000FF"/>
        </w:rPr>
        <w:t xml:space="preserve"> </w:t>
      </w:r>
      <w:r>
        <w:rPr>
          <w:rFonts w:ascii="Times New Roman;serif" w:hAnsi="Times New Roman;serif"/>
          <w:b w:val="false"/>
          <w:color w:val="000000"/>
          <w:sz w:val="20"/>
        </w:rPr>
        <w:t>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as a result of any workforce restructuring, and as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business and competitive position may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employees elect to work remotely as permitted by our Flex First workforce model. Remote work, as well as any workforce restructuring may negatively impact employee morale and productivity and may also harm collaboration and innovation. If we fail to maintain our company culture, our business and competitive position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exposed to collection and credit risks, which could impact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are subject to collection and credit risks, which could negatively impact our results of operations and affect our liquidity and our ability to fully fund our ongoing operations. Retailers are generally obligated to pay our fees within 45 days of invoicing, and brands are generally obligated to do so within 30 to 90 days. In times of economic recession or uncertainty or as a result of any disruptive event such as uncertainty in the political and regulatory environment and financial markets, trade policies enacted or proposed by the United States, such as tariffs or other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restrictions, uncertainty related thereto, and responses by foreign governments to such policies,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in our public disclosures may prove to be inaccurate, and even if the market in which we compete achieves the forecasted growth, our business could fail to grow at a similar rate,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herein in this Quarterly Report on Form 10-Q. Even if the market in which we compete achieves the forecasted growth, our business could fail to grow at a similar rate,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variables that go into the calculation of our market opportunity are subject to change over time, and there is no guarantee that any particular number or percentage of addressable retailers, consumers,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our public disclosures should not be taken as indicative of our future growth.</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Acquisitions, strategic investments, partnerships, collaborations, commercial arrangements,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For example, in April 2025, we acquired Marlin9 Holdings, Inc., which operates as Wynshop, a provider of ecommerce retail solutions for grocers and retailers. We have also entered in the past, and will continue to seek in the future, strategic partnerships, collaborations, commercial arrangements, or alliances with third parties, which we refer to collectively as collaborations. The identification of suitable acquisition candidates or collaborators can be difficult, time-consuming, and costly, and we may not be able to successfully complete identified acquisitions or collaborations, including as a result of regulatory inquiries or actions by antitrust authorities. In particular, our proposed or completed acquisitions or collaborations may be subject to investigations or enforcement actions by antitrust regulatory bodies in the countries in which we operate, such as the Department of Justice and the Federal Trade Commission (“FTC”), which have recently increased their scrutiny of merger or collaboration activity, particularly in the technology sector. In addition, once we have completed an acquisition, we may not be able to successfully integrate the acquired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collaborations also are, and may in the future be, with third parties that are well-capitalized and have significant size, scale, geographic, and other advantages. As a result, certain of the terms in such arrangements may be less favorable to us. We will also have limited control over the amount and timing of resources that our collaborators dedicate to our arrangements. These arrangements may not lead to the business, growth, and financial outcomes that we expect, may raise new compliance-related obligations and challenges, and may also result in significantly higher costs for us or other negative impacts or impediments to our business, operations, regulatory posture, or strategy, which we may not anticipate or currently project, that result in a material adverse effect to our business, financial condition, and results of operations. In particular, these collaborations may span multiple years, include significant fees, and often require significant upfront costs. As a result, we may not be able to accurately assess the success of these collaborations for several periods and only after we have made substantial investments and expenditures. If any collaboration results in future material adverse effects to our business, financial condition, and results of operations, we may not be able to terminate such collaboration on a timely or cost-effective basis. In addition, we offer certain features or use cases to our customers, such as restaurants, through collaborations. If any such collaborations are terminated or any of our collaborators refuse to renew their agreements with us on commercially reasonable terms, we may need to find other partners to continue offering such features or use cases, and may not be able to secure similar terms or replace such partners in an acceptable time frame. Similarly, our ability to continue providing certain features or use cases could be negatively impacted if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collaborators experience a disruption in their operations, the quality of their services decline, or they are otherwise unable to offer their services as customers expect. Certain of these third parties, such as retailers and brands, also engage with our business in other aspects, and any disagreements or disputes in connection with collaborations may result in the loss of these third parties as customers or partners in other areas of our business. We have issued in the past, and may in the future issue, new equity or equity-linked securities to partners, which may dilute our existing stockholders and include affirmative or restrictive covenants as well as redemption or repurchase provisions.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risks we face in connection with acquisitions, strategic partnerships, or collaborations include: </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negative impacts to our financial results as a result of incurring charges or fees or assuming substantial debt or other liabilities, adverse tax consequences or unfavorable accounting treatment, exposure to claims and disputes by stockholders and third parties, including intellectual property claims and disputes, failing to generate sufficient financial return to offset additional costs and expenses related to the acquisition, partnership, or collaboration, or even significant negative impacts to our business, financial condition, and results of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inquiries or actions, including changes to applicable regulatory frameworks and/or remedies imposed by antitrust authorities such as divestitures, ownership or operational restrictions, or other structural or behavioral remedies, either as a condition to or following the completion of a transaction;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or unforeseen expenditures in integrating the business, offerings, technologies, personnel, or operations of any company that we acquire or with which we collaborate, particularly if key personnel of an acquired company decide not to work for us, which may result in delays in integration or realization of anticipated synergies or other benefits and/or impede our ability to incorporate their results or contributions in our reported metrics;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disruptions to our ongoing business, diversion of resources, increases to our expenses, and distraction of our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delays or reductions of customer purchases for both us and the company we acquire or with which we collaborate due to customer uncertainty about continuity and effectiveness of service from either company or negative reputational impacts;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for strategic partners or collaborators to establish or strengthen relationships with current or future retailers and customers, or other parties with whom we have relationships, which could limit our ability to promote our offerings to those parties and reduce our number of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in, or inability to, successfully sell any acquired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use of cash to pay for an acquisition limiting other potential uses of our cash;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incur debt to fund an acquisition, such debt may subject us to material restrictions on our ability to conduct our business, as well as financial maintenance covenants;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issue a significant amount of equity or equity-linked securities in connection with future acquisitions, strategic partnerships, or collaborations, existing stockholders will be diluted and earnings per share may decrease, and we may face unfavorable tax treatment with respect to such securities.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or how we define such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as of or for the applicable period of measurement, there are inherent challenges in these measurements. We have also refined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further refine in the future our methodology for tracking certain operational metrics from time to time, to the extent practicable, including to improve overall accuracy, as a result of business updates, and to align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w:t>
      </w:r>
      <w:r>
        <w:rPr>
          <w:color w:val="0000FF"/>
        </w:rPr>
        <w:t xml:space="preserve"> </w:t>
      </w:r>
      <w:r>
        <w:rPr>
          <w:rFonts w:ascii="Times New Roman;serif" w:hAnsi="Times New Roman;serif"/>
          <w:b w:val="false"/>
          <w:color w:val="000000"/>
          <w:sz w:val="20"/>
        </w:rPr>
        <w:t>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require additional capital to support the growth of our business, and this capital might not be available on acceptable terms,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We have also expended and may continue to expend substantial funds in connection with the tax withholding and remittance obligations that arise upon the vesting and/or settlement of certain of our RSUs.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trade policies enacted or proposed by the United States, such as tariffs or other trade restrictions, uncertainty related thereto, and responses by foreign governments to such policies, inflationary pressures, elevated interest rates, actual or perceived risks of an economic recession,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revolving credit facility contains financial covenants and other restrictions on our actions that may limit our operational flexibility or otherwise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 credit agreement for a revolving credit facility providing the ability to borrow an aggregate principal amount of up to $500 million. The terms of our revolving credit facility include a number of covenants that limit our and certain of our subsidiaries’ ability to, among other things, incur additional indebtedness, grant liens, merge or consolidate with other companies or sell substantially all of our assets, pay dividends, make redemptions and repurchases of stock, make certain investments and loans, or engage in certain transactions with affiliates. The terms of our revolving credit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failure by us to comply with the covenants or payment requirements specified in the credit agreement could result in an event of default under the credit agreement, which would give the lenders the right to terminate their commitments to provide additional loans under our revolving credit facility and to declare all borrowings outstanding, together with accrued and unpaid interest and fees, to be immediately due and payable. Upon such an event, even if we were able to obtain new financing or negotiate an amendment, waiver, or consent under the credit agreement, it may contain additional restrictions or not be on commercially reasonable terms or on terms that are acceptable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Legal and Regulatory Environment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is subject to various laws and regulations, which may change or increase over time and subject us to increased compliance costs and liabilities.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complex and changing laws, rules, and regulations in the United States and other jurisdictions in which we operate, including, without limitation, those governing internet usage and access, text messaging, ecommerce, hardware devices, electronic payments, privacy, data security, data protection, data retention, AI, machine learning, automated decision-making, health information privacy and security, intellectual property, pay and fee transparency, pricing on our platform, consumer protection, marketing and advertising (including terms and conditions and disclosure), subscriptions and memberships, gift cards, consumer safety, bodily injury, property damage, food and product safety, product labeling and traceability, import and export, commerce and contracts, competition, zoning and permitting, sustainability, environmental, tax, insurance, transactions involving our securities, weights and measures, alcohol and other age-restricted products, labor and employment, anti-discrimination, collective bargaining, background checks, worker classification, and shopper rights and compensation (including minimum earnings, onboarding, deactivation, and safety).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these laws were adopted prior to the advent of the internet and mobile and related technologies and, as a result, do not contemplate or address the unique issues of the internet and related technologies. New laws and regulations have been and may continue to be adopted, implemented, or interpreted to apply to us, and existing laws and regulations that we currently comply with and operate under may be interpreted differently in the future, including as a result of changes to our business and international expansion. Additionally, the scope and interpretation of these laws and regulations, and whether they are applicable to us, are often uncertain and may be conflicting, including varying standards and interpretations between U.S. law and the laws of other jurisdictions, between U.S.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Some of these laws and regulations will, or may in the future, require us to change our business and operations, pricing, or fee disclosures, which may be costly and harm our customer retention and engagement as well as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statute and local ordinance requirements, and unemployment insurance and workers’ compensation contributions. Although we believe that we comply with applicable legal requirements and that shoppers are properly classified as independent contractors, we may be required to make significant payments, including through settlements, penalties, and interest as a result of these audits. A judgment, settlement, or order issued by a court or governmental body or otherwise in connection with any judicial, administrative, or legal proceeding that results in us being prohibited from continuing to use independent-contractor shoppers in the manner we currently do, may,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require us to adopt novel or different delivery fulfillment strategies or introduce new shopper tasks that result in increased risk of litigation against our existing business model, or may increase risk of adverse determinations in our ongoing actions and proceedings;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significantly increase our costs to serve customers due to potential changes in our business model and fulfillment strategies that would be required;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 or prevent the fulfillment of customer orders, cause disruption of service to customers, or cause a reduction in fulfillment options for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 our ability to innovate upon and expand our offerings, pursue new business verticals, or innovate on our operational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create challenges in recruiting and retaining adequate shopper supply due to potential necessary changes including restricting the flexibility of shoppers by instituting minimum, maximum, or set hours of work, or designated locations for work, or controlling costs in other ways (such as limiting shopper access to Instacart or shopper incentives or eliminating tips), which could result in disruption to service and harm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incur significant expenses, which may be due to costs associated with existing employment-related laws, such as wage and hour laws, including minimum wage and overtime, liability for and withholding of employment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employee benefits, including medical insurance, workers compensation coverage, among others, as well as other related liabilities;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us to increase customer fees or charges as a result of the increased costs resulting from shoppers being classified as employees or alternative fulfillment strategies we may implement, which may lead to customer dissatisfaction with such increased fees, which could result in significant decreases in orders, GTV, and 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expose us to significant retroactive liability, such as liability for meal breaks, overtime premiums, and statutory penalties;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us to take additional actions that we determine are in the best interests of our business, customers, partners, and growth strategy, including potential cessation of operations in certain service areas;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to significant operational disruptions and challenges that we do not have experience managing;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result in losses in excess of the accrued amounts in our reserve balances.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would cause our results of operations to vary significantly and would materially impair our growth prospects, business, financial condition, and results of our operations and specifically impact our current financial statement presentation including revenue and cost of revenue.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state of the law regarding independent contractor status varies from jurisdiction to jurisdiction and among governmental agencies and is subject to change based on court decisions and regulation. For example, Proposition 22 provides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 To date, no such challenges or attempts have been successful. Additionally, we may face allegations that certain of our business practices do not satisfy all the elements of Proposition 22.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laws that provide greater certainty over the status of or otherwise regulate independent workers may also impose additional requirements related to the use of contractors. For example, Proposition 22 entitles shoppers in California to certain new pay standards and benefits, and imposes certain requirements, which increases costs for us in California, where a large number of shoppers who use Instacart are located. While we believe we properly provide all requisite pay standards and benefits under Proposition 22, we may nonetheless face various claims involving disputes over such pay standards and benefits. Additionally, in September 2025, the New York City Council passed legislation mandating certain minimum earnings standards and other protections for grocery delivery workers, as well as certain disclosure requirements. If similar minimum earnings standards and other regulations are enacted in other jurisdictions in which we operate, it will increase the cost and complexity of operating our business in those jurisdictions and may adversely affect our business. We expect continuing challenges to the independent contractor classification of shoppers who use Instacart and the imposition of additional requirements on the use of contractors. If legislation, regulations, or judicial decisions regarding contractors change adversely, including by imposing additional requirements to engage contractors, such changes would increase the already existing risk that shoppers could be construed as employees or increase our costs to use shoppers. Therefore, our ability to contract with independent contractors for order fulfillment in those jurisdictions would be significantly negatively impacted, and we may experience one or more of the impacts listed above, which would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compliance with the evolving and ever-changing legal and regulatory environment may be significant and have in the past required, and may in the future require, us to modify our business and operations or pricing strategies. As our business matures and we expand geographically and into different retail categories or use cases, we may become subject to new laws and regulations in new jurisdictions. It is difficult to predict how existing and future laws will be applied to our business as it exists today and may exist in the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are currently, and may continue to be, subject to litigation, arbitration, audits, civil and criminal investigations, disputes, and other legal or regulatory proceedings as a result of our failure or perceived failure, or the failure of activities of our customers or partners on our platform, to comply with existing or future laws, rules, and regulations. Such matters have in the past and may in the future result in fines, monetary damages, civil or criminal liability, forfeiture of significant assets, mandatory injunctions, or consent orders that change or restrict how we operate or require cessation of operations. In addition, certain legal proceedings, governmental investigations, or regulatory actions brought against us or involving our partners, whether or not ultimately resolved in our favor, could cause significant harm to our reputation, erode customer, partner, and investor confidence, and adversely affect public perception of our business, which could, in turn, adversely affect the growth of our business and our financial condition and results of operations.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costs incurred to prevent or mitigate this potential liability may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Adverse litigation judgments or settlements resulting from legal proceedings in which we are or may be involved could expose us to monetary damages or reputational harm or limit our ability to operate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been, are currently, and may in the future become, involved in claims, lawsuits, arbitration proceedings, administrative actions, government investigations, and other legal and regulatory proceedings relating to various matters, including internet usage and access, text messaging, ecommerce, hardware devices, electronic payments, privacy, data security, data protection, data retention, AI, machine learning, automated decision-making, health information privacy and security, intellectual property, pay and fee transparency, pricing on our platform, consumer protection, marketing and advertising (including terms and conditions and disclosure), subscriptions and memberships, gift cards, consumer safety, bodily injury, property damage, food and product safety, product labeling and traceability, import and export, commerce and contracts, competition, zoning and permitting, sustainability, environmental, tax, insurance, transactions involving our securities, weights and measures, alcohol and other age-restricted products, labor and employment, anti-discrimination, collective bargaining, background checks, worker classification, and shopper rights and compensation (including minimum earnings, onboarding, deactivation, and safety). Any such litigation, arbitration, investigations, and other legal and regulatory proceedings have in the past and may in the future result in fines, monetary damages, civil or criminal liability, forfeiture of significant assets, mandatory injunctions, or consent orders that change or restrict how we operate or require cessation of operations, all of which could have an adverse effect on our business, financial condition, and results of operations. In addition, certain legal proceedings, governmental investigations, or regulatory actions brought against us, whether or not ultimately resolved in our favor, have in the past resulted and may in the future result in significant harm to our reputation, erosion of customer, partner, and investor confidence, and negative public perception of our business, which could, in turn, adversely affect the growth of our business and our financial condition and results of operations. For example, we have received and may continue to receive inquiries from various agencies regarding pricing on our platform. See the information under the caption “Legal Matters” in Note 10 — Commitments and Contingencies to our condensed consolidated financial statements included elsewhere in this Quarterly Report on Form 10-Q for more information.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any such litigation, arbitration, investigations, and other legal and regulatory proceedings are inherently unpredictable and expensive. The frequency of such claims could increase in proportion to the number of retailers, customers, brands, and shoppers that use Instacart. Any claims against us, whether meritorious or not, could be costly and harmful to our reputation, and could require significant amounts of management time and corporate resources. We have in the past entered and may in the future enter into settlement agreements to resolve such claims. For example, in December 2025, we entered into a consent order to conclude the FTC’s investigation relating to certain of our marketing and Instacart+ membership program practices. The consent order does not include any admission of liability and required us to pay $60 million to the FTC, which we paid in January 2026.</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we cannot be certain that our insurance coverage will be adequate for any claims or liabilities against us,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with the potential for conflicting rules and new or upcoming rules or changes in the interpretation of such rules regarding the scope and enforceability of arbitration, some or all of our arbitration provisions could be subject to challenge or may need to be to exempt certain categories of protection. For example, some plaintiffs’ attorneys have argued that certain shoppers are workers “in interstate commerce” and are thus exempt from the Federal Arbitration Act, and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remains possible that a court could find our agreements unenforceable against those shoppers. If our arbitration agreements were found to be unenforceable, in whole 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face potential liability, expenses for legal claims, and harm to our business based on the nature of our business and the content on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potential liability, expenses for legal claims or appeasement credits or refunds, and harm to our reputation and business relating to the nature of on-demand delivery of food and other consumer goods, including potential claims related to food offerings, delivery, and quality. For example, third parties have asserted, and in the future could assert, legal claims against us in connection with personal injuries related to food poisoning, tampering, or accidents caused by our retail partners or shoppers while making a delivery to customers, defective products, or the sale, advertising, marketing, or consumption of alcoholic beverages, tobacco, or other regulated products by our retail partners to underage customers. 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 Our new or planned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claims against us alleging personal injuries, false advertising, and related legal claims, as well as harm to our brand and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acts of terrorism on food supply also exists, and if such an event occurs, it could harm our business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rapidly changing and increasingly stringent laws, regulations, industry standards, contractual obligations, policies and other obligations relating to privacy, data security, data protection, artificial intelligence, machine learning, and automated decision-making. The obligations, restrictions, and costs imposed by these laws, or our actual or perceived failure to comply with them, could subject us to adverse business consequences and other liabilities that adversely affect our business, operations, and financial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normal business activities, we collect, use, store, share, transmit, and otherwise process sensitive, proprietary, and confidential information, including personal information of retailers, customers, brands, shoppers, employees, and others. We are subject to a variety of federal, state, local, and foreign privacy, data security, data protection, AI, machine learning, and automated decision-making laws, regulations, regulatory guidance, industry standards, contractual obligations, and codes of conduct, many of which have become increasingly stringent in recent years and are complex, constantly evolving, impose heavy compliance burdens, and may have conflicting requirements. New laws and regulations that apply to our business are being introduced at every level of government in the United States, as well as internationally, which could further restrict certain uses of the personal information of retailers, customers, brands, shoppers, employees, and others.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Controlling the Assault of Non-Solicited Pornography and Marketing Act of 2003 and the Telephone Consumer Protection Act of 1991 impose specific requirements on communications with customers. There are also a growing number of laws and regulations governing the use of AI, machine learning, and automated decision-making systems, which may increase the cost and complexity of operating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state legislatures have enacted comprehensive privacy laws that impose certain obligations on covered businesses, including providing specific disclosures in privacy notices and affording residents with certain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concerning their personal data, such as the right to access, correct, or delete certain personal data, and to opt-out of certain data processing activities, such as targeted advertising, profiling, and automated decision-making. The exercise of these rights has and may continue to impact our business and ability to provide our offerings. For example, the California Consumer Privacy Act applies to personal data of consumers, business representatives, and employees who are California residents, and requires businesses to provide specific disclosures in privacy notices and honor requests of such individuals to exercise certain privacy rights. Some states also impose stricter requirements for processing certain categories of personal data, including sensitive information, such as conducting data privacy impact assessments. These state laws allow for statutory fines for noncompliance. For example, the Illinois Biometric Information Privacy Act regulates the collection, use, safeguarding, and storage of biometric information. These and other U.S. state privacy laws have and may continue to further complicate compliance efforts and increase our legal risk and compliance costs, including with respect to our marketing initiatives, Instacart Ads offerings, identity verification technologies, and AI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health information privacy and security laws. A number of state legislatures have adopted legislation that regulates how businesses may use consumers’ health data. For example, the Washington My Health My Data Act creates restrictions on the use of consumer health data for purposes such as marketing and advertising. As a result, our marketing initiatives and Instacart Ads and Instacart Health offerings could be further limited and we have incurred and expect to continue incurring additional compliance expenses. We are also subject to HIPAA as a result of the limited amount of health information that we receive in connection with baskets containing prescriptions and certain of our Instacart Health initiatives. We maintain a HIPAA compliance program, but it is not always possible to identify and deter misuse by our employees, contractors,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Some U.S. states and the FTC have also adopted privacy laws or issued guidance limiting the collection and use of certain health information that may extend to our customers’ interactions with certain over-the-counter health products.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As we continue to expand internationally, our efforts to comply with applicable foreign privacy laws may increase the costs and complexity of operating our business. In Canada, the Personal Information Protection and Electronic Documents Act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w:t>
      </w:r>
      <w:r>
        <w:rPr>
          <w:color w:val="0000FF"/>
        </w:rPr>
        <w:t xml:space="preserve"> </w:t>
      </w:r>
      <w:r>
        <w:rPr>
          <w:rFonts w:ascii="Times New Roman;serif" w:hAnsi="Times New Roman;serif"/>
          <w:b w:val="false"/>
          <w:color w:val="000000"/>
          <w:sz w:val="20"/>
        </w:rPr>
        <w:t>Anti-Spam Legislation prohibits email marketing without the recipient’s consent, with limited exceptions. Failure to comply with these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 addition, certain of our subsidiaries have immaterial operations in China, Australia, and Mexico and are subject to local laws that impose a number of requirements on our processing and handling of personal information and direct marketing activities that may increase our compliance costs and risk of facing regulatory enforcement action.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are subject to the United Kingdom General Data Protection Regulation (“UK GDPR”), the European Union’s General Data Protection Regulation (“GDPR”), the European Union’s Artificial Intelligence Act, and various Member State laws and regulations governing data protection and AI. Further expansion of our business, operations, or service offerings to the European Economic Area (“EEA”), will increase our exposure to data protection laws in the region, including the GDPR. The GDPR and UK GDPR impose strict requirements for processing personal data of individuals, give individuals extensive rights with respect to their personal data, carry penalties and potential corrective action for violations, and provide for private litigation.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United States, Europe, the United Kingdom, and other jurisdictions have enacted laws requiring data to be localized or limiting the transfer of personal data to other countries. We are subject to the U.S. Department of Justice’s rule restricting certain transfers of sensitive personal data to designated countries of concern, which may increase compliance obligations and expose us to civil and criminal fines and penalties. The EEA and the United Kingdom have significantly restricted the transfer of personal data to the United States and other countries whose privacy laws they believe are inadequate. Other jurisdictions have in the past and may continue to adopt similarly stringent data localization and cross-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border data transfer laws. Although there are currently various mechanisms that may be used to transfer personal data from the EEA and United Kingdom to the United States in compliance with law, such as the EEA’s and UK’s standard contractual clauses, certain of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Other countries outside of Europe increasingly emulate European data protection laws. As a result, operating our business or providing our offerings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 European Union’s Data Act). This means that, if and to the extent such regulations are relevant to our operations or those of our customers, certain of the risks and considerations outlined above may apply equally to our processing of both personal and non-personal data.</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publish privacy policies and other statements regarding data privacy, AI, and security. Regulators in the United States have scrutinized and are increasingly scrutinizing these statements, and if these policies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 mobile applications using its operating system, iOS, to affirmatively obtain an end user’s permission for cross-contextual advertising. Such restrictions could limit the efficacy of our marketing activities and our Instacart Ads offerings. In addition, certain legislative proposals and draft regulations seek to further regulate targeted advertising activities, and regulators are increasingly scrutinizing the use of online tracking tools and compliance with requirements related to the online behavioral advertising ecosystem. As a result, we may be required to develop alternative solutions to support our marketing initiatives and/or change the way we deliver our Instacart Ads offerings. In addition, consumer resistance to the collection and sharing of the data used to deliver targeted advertising, increased visibility of consent or requirements to respond to privacy preference mechanisms as a result of regulatory or legal developments, the adoption by consumers of browser settings or “ad-blocking” software, and the development and deployment of new technologies could materially impact our ability to collect and use data or reduce our ability to deliver relevant promotions or media, which could materially impair the results of our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Apple and other technology platforms are considering similar and additional restrictions and obligations, including age verification and parental consent requirements, which may result in new platform-level policies or technical mandates that apply to all developers whose applications are distributed through those stores, which may increase our compliance burden and operational complexity.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Despite our efforts, we may not be successful in achieving compliance with the laws, regulations, and requirements discussed above. Any actual or perceived non-compliance, by us or the third parties upon whom we rely,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litigation and proceedings against us by governmental entities, customers, or others (including class action claims or mass arbitration demands),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customers and shoppers accessing Instacart via a mobile device or, with respect to customers, a personal computer or a Connected Stores device, and the internet. We may operate in jurisdictions that provide limited internet connectivity, particularly as we continue to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 infrastructure that we and users of our offerings rely on in any particular geographic area may be unable to support the demands placed upon it and could interfere with the speed, quality, and availability of Instacart. Any such failure in internet or mobile device or computer accessibility, even for a short period of time, could adversely affect our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Governmental agencies in any of the countries in which we or our customers are located could block access to or require a license for Instacart, our mobile apps, website, or the internet generally for a number of reasons, including security, confidentiality, regulatory concerns, or geopolitical reasons. In addition, companies may adopt policies that prohibit their employees from using Instacart. If companies or governmental entities block, limit, or otherwise restrict customers or shoppers from</w:t>
      </w:r>
      <w:r>
        <w:rPr>
          <w:color w:val="0000FF"/>
        </w:rPr>
        <w:t xml:space="preserve"> </w:t>
      </w:r>
      <w:r>
        <w:rPr>
          <w:rFonts w:ascii="Times New Roman;serif" w:hAnsi="Times New Roman;serif"/>
          <w:b w:val="false"/>
          <w:color w:val="000000"/>
          <w:sz w:val="20"/>
        </w:rPr>
        <w:t>accessing Instacart, our business could be negatively impacted, the number of customers and shoppers using Instacart could decline or grow more slowly, and our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could be required to collect additional taxes or be subject to other tax liabilities in various jurisdictions which could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goods and services tax, business and occupation tax, commercial activity tax, business license tax, digital advertising tax, and gross receipts tax, to our business 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 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as a result of our Flex First workforce model, we may become subject to additional taxes and our compliance burdens with respect to the tax laws of additional jurisdictions may be increased.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may in the future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condensed consolidated financial statements, if these liabilities exceed such reserves, our financial 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federal tax rules generally require payors to report payments to unrelated parties to the Internal Revenue Service.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certain other tax attributes to offset taxable income or taxes may be limited.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As of December 31, 2025, we had federal net operating loss carryforwards of $443 million. We generated $5 million of net operating loss carryforwards prior to 2018, which will begin to expire in 2037. The remaining $438 million will carryforward indefinitely. Furthermore, as of December 31, 2025, we had state net operating loss carryforwards of $679 million, an immaterial amount of which, if unused, will begin to expire in 2026. Portions of these net operating loss carryforwards could expire unused and be unavailable to offset future income tax liabilities. Under current law, U.S. federal net operating losses</w:t>
      </w:r>
      <w:r>
        <w:rPr>
          <w:color w:val="0000FF"/>
        </w:rPr>
        <w:t xml:space="preserve"> </w:t>
      </w:r>
      <w:r>
        <w:rPr>
          <w:rFonts w:ascii="Times New Roman;serif" w:hAnsi="Times New Roman;serif"/>
          <w:b w:val="false"/>
          <w:color w:val="000000"/>
          <w:sz w:val="20"/>
        </w:rPr>
        <w:t>incurred in taxable years beginning after December 31, 2017, may be carried forward indefinitely, but the deductibility of such federal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 For example, California imposed limits on the usability of California state net operating losses to offset taxable income in tax years beginning after 2023 and before 2027.</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through December 31, 2025. Based upon this assessment, reductions were made to our net operating loss and tax credit carryforwards under these rules for the acquisition of Marlin9 Holdings, Inc. We may experience ownership changes in the future, ownership changes as a result of shifts in our stock ownership, some of which may be outside of our control.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Such changes have had and, along with any related uncertainty generated by these changes, may in the future have adverse impacts on our business, financial condition, results of operations, and cash flows.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Organisation for Economic Cooperation and Development has published proposals covering a number of issues, including minimum tax rules, country-by-country reporting, permanent establishment guidance, transfer pricing rules, tax treaties, and taxation of the digital economy. Several foreign jurisdictions, including some of those in which we operate, have formally adopted these proposals in their tax code, which could adversely affect our effective tax rate or result in higher cash tax liabilities in such jurisdictions.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w:t>
      </w:r>
      <w:r>
        <w:rPr>
          <w:color w:val="0000FF"/>
        </w:rPr>
        <w:t xml:space="preserve"> </w:t>
      </w:r>
      <w:r>
        <w:rPr>
          <w:rFonts w:ascii="Times New Roman;serif" w:hAnsi="Times New Roman;serif"/>
          <w:b w:val="false"/>
          <w:color w:val="000000"/>
          <w:sz w:val="20"/>
        </w:rPr>
        <w:t>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and sanctions laws and regulations that could impair our ability to compete in international markets or subject us to liability if we violate such laws.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Instacart and our offerings are subject to import and export controls, including the U.S.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immaterial operations in Asia relating to the design, engineering, and supply of Caper Carts to certain of our retail partners’ stores, whose operations are subject to import and export controls. Any adverse changes in trade relations with countries where we have such operations, including trade policies enacted or proposed by the United States, such as tariff increases and other trade restrictions, uncertainty related thereto, and responses by foreign governments to such policies, and import and export licensing and control requirements, could interfere with the shipment of Caper Carts to our retail partners, which could have a negative impact on future development and adoption of Caper Carts and related prospects.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our activities are subject to U.S. economic sanctions laws and regulations administered by the Office of Foreign Assets Control of the U.S. Treasury Department which generally prohibit any transactions or dealings,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presence outside the United States and any future international expansion strategy will subject us to additional costs and risks, and our plans may not be successful.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expanded and expect to continue to expand our presence internationally. We have operations in Canada and have acquired companies that have immaterial operations in certain other countries. We expect to continue to expand our international operations and are evaluating opportunities across the world.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inability to attract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local incumbents that better understand the local market, may market and operate more effectively, and may enjoy greater local affinity or awareness;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differing demand dynamics, which may make our offerings less successful;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differing and potentially more onerous employment and labor regulations including with respect to worker classification and collective bargaining, where employment and labor laws are generally more advantageous to</w:t>
      </w:r>
      <w:r>
        <w:rPr>
          <w:color w:val="0000FF"/>
        </w:rPr>
        <w:t xml:space="preserve"> </w:t>
      </w:r>
      <w:r>
        <w:rPr>
          <w:rFonts w:ascii="Times New Roman;serif" w:hAnsi="Times New Roman;serif"/>
          <w:b w:val="false"/>
          <w:color w:val="000000"/>
          <w:sz w:val="20"/>
        </w:rPr>
        <w:t>workers or employees as compared to the United States, including deemed hourly wage and overtime regulations in these locations;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complying with varying laws and regulatory standards, including with respect to privacy, data security, data protection and transfer restrictions, AI, safety, tax, and local regulatory restrictions;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obtaining any required government approvals, licenses, or other authorizations;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varying levels of internet and mobile technology adoption and infrastructure;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currency exchange restrictions or costs and exchange rate fluctuations;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changing perceptions or reputation of U.S. products and services in non-U.S.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public health concerns or emergencies may occur in various parts of the world in which we operate or may operate in the future;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limitations on the repatriation and investment of funds, as well as foreign currency exchange restrictions.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limited experience in operating our business internationally increases the risk that any potential future expansion efforts that we may undertake may not be successful. For example, the possibility of adverse changes in trade or political relations with countries where we have operations relating to the design, engineering, and supply of Caper Carts, political instability, or increases in labor costs could interfere with the manufacturing and/or shipment of Caper Carts. We also rely on contract and third-party manufacturers in Asia for Caper Carts and their components, which exposes us to risks such as historically lower protection of intellectual property rights, unexpected or unfavorable changes in regulatory requirements, including the imposition or proposed imposition by the United States of tariffs, economic sanctions, export controls, and other trade restrictions, laws, regulations, and executive orders affecting international trade, uncertainty related thereto, and responses by foreign governments to such policies, volatility in currency exchange rates, and difficulties associated with local legal systems. If we invest substantial time and resources to expand our operations internationally and are unable to manage these risks effectively,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third parties for elements of the payment processing infrastructure underlying Instacart. If these third-party elements become unavailable or unavailable on favorable terms, our business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convenient payment mechanisms provided by Instacart are key factors contributing to the development of our business. We rely on third parties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 and Apple Pay®,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retailers, consumers, and shoppers could be adversely affected. If we are forced to migrate to other third-party payment service providers for any reason, the transition would require significant time and management resources, and may not be as effective, efficient, or well-received by retailers, consumers, or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made on Instacart are subject to the Payment Card Industry (“PCI”), Data Security Standard.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software and services from other parties. Defects in, or the loss of or disruption of access to, software or services from third parties could harm our business and adversely affect the quality of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offerings incorporate certain third-party software obtained pursuant to licenses or service agreements from other companies, including but not limited to, software and services related to our background checks, data visualization, mapping, and database tools. Such third parties may discontinue their products or services,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or services would require us to engage with third parties, and we may not be able to enter into agreements with such third parties on advantageous terms. In addition, integration of the software used in our offerings with new third-party software may require significant work and substantial investment of our time and resources. To the extent that our offerings depend upon the successful operation of third-party software, any undetected errors or defects in, or disruptions to the functionality of, such third-party software have in the past and could in the future prevent the deployment or impair the functionality of our offerings, delay new offering introductions, result in a failure of our offerings, and injure our reputation, which in each case could harm our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currently rely on a small number of third-party service providers to host or support a significant portion of Instacart technology infrastructure and data, and any interruptions or delays in services from these third parties could impair the delivery of our offerings and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host Instacart technology infrastructure and data and support our operations using a combination of a small number of third-party service providers. We do not have control over the operations of the facilities of the hosting providers that we use, and these third-party operations and co-located data centers may experience break-ins, computer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viruses, denial-of-service or other cyber-attacks or security incidents, sabotage, acts of vandalism, outages, disruptions, and other misconduct or incidents that impact the services provided to us.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provide services to our customers and retail and brand partners, onboard new customers, expand the usage of our existing customers, or effectively detect or respond to other issues with our services,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any changes in our hosting provider’s service levels may adversely affect our ability to meet the expectations of retailers, customers,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retailers and shoppers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mobile operating systems and app marketplaces to make portions of Instacart available to retailers, customers, brands, and shoppers, and if we do not effectively operate with such app marketplaces, our usage or brand recognition could decline and our business, financial condition, and results of operations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in part on mobile operating systems, such as Android and iOS, and their respective app marketplaces to make Instacart available to retailers, customers, brands, and shoppers. Any changes in such systems and app marketplaces that degrade the functionality of our apps or give preferential treatment to our competitors’ apps could adversely affect Instacart’s usage on mobile devices. If such mobile operating systems or app marketplaces limit or prohibit us from making our apps available to retailers, customers, brands, or shoppers, make changes that degrade the functionality of our apps, change the way we collect or use data, increase the cost of using our apps, impose terms of use unsatisfactory to us, alter how we collect fees, increase our compliance costs, impair or inhibit our ability to enter into partnerships or effectively market partnerships, or modify their search or ratings algorithms in ways that are detrimental to us, or if our competitors’ placement in such mobile operating systems’ app marketplace is more prominent than the placement of our apps, our growth could slow. Our apps have experienced fluctuations in placement in the past, and we anticipate similar fluctuations in the future. Additionally, we are subject to requirements imposed by app marketplaces such as those operated by Apple and Google, who have and may further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new mobile devices and mobile platforms are released, there is no guarantee that certain mobile devices will continue to support our apps or that we can effectively roll out updates to our app. Additionally, in order to deliver high-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quality apps, we need to ensure that Instacart is designed to work effectively with a range of mobile technologies, systems, networks, and standards. If retailers, customers,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primarily on third-party insurance policies from a limited number of insurance providers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procure third-party insurance policies from a limited number of insurance providers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risks related to our new and evolving offerings, we may not be able to, or may choose not to, acquire insurance. Even if we do acquire insurance for our operations-related risks or risks related to our new and evolving services and offerings, we may not obtain enough insurance to adequately mitigate such risks, and we may have to pay high premiums, co-insurance, self-insured retentions, or deductibles for the coverage we do obtain. If any of our insurance providers discontinue or increase the cost of coverage, we cannot guarantee that we would be able to secure similar coverage on commercially reasonable terms or at all. If any of our insurance providers change the terms of our policies in a manner not favorable to us or to shoppers, our insurance costs could increase. If the insurance coverage we maintain is not adequate to cover losses that occur, or if we are required to purchase additional insurance for other aspects of our business, we could be liable for significant additional costs. Further, if any of our insurance providers becomes insolvent, it would be unable to pay any operations-related claims that we make.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us. Insurance providers have raised premiums, deductibles, and self-insured retentions for many businesses and may do so in the future. As a result, our insurance costs and claims expense have increased and could further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exceeds our historical experience and coverage limits; we experience a claim in excess of our coverage limits; our insurance providers fail to pay on our insurance claims; we experience a claim</w:t>
      </w:r>
      <w:r>
        <w:rPr>
          <w:color w:val="0000FF"/>
        </w:rPr>
        <w:t xml:space="preserve"> </w:t>
      </w:r>
      <w:r>
        <w:rPr>
          <w:rFonts w:ascii="Times New Roman;serif" w:hAnsi="Times New Roman;serif"/>
          <w:b w:val="false"/>
          <w:color w:val="000000"/>
          <w:sz w:val="20"/>
        </w:rPr>
        <w:t>for which coverage is not provided; or the severity or number of claims under our deductibles or self-insured retentions differs from historical averages.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insurance reserves for claims incurred but not yet paid and claims incurred but not yet reported and any related estimable expenses, and we periodically evaluate and, as necessary, adjust our actuarial assumptions and insurance reserves as our experience develops or if we receive new information. We employ various predictive modeling and actuarial techniques and make numerous assumptions based on historical claim and loss experience and industry statistics to estimate our insurance reserves. Estimating the number and severity of claims, as well as related judgment or settlement amounts, is inherently difficult, subjective, and speculative. Additionally, actuarial projections make no provision for the extraordinary future emergence of losses or types of losses not sufficiently represented in the historical data or which are not yet quantifiable. While an independent actuarial firm periodically reviews our reserves for appropriateness and provides claims reserve valuations, a number of external factors can affect the actual losses incurred for any given claim, including but not limited to the length of time the claim remains open, increases in healthcare costs, increases in automotive costs, legislative and regulatory developments, judicial developments and unexpected events such as natural or human-made catastrophic disasters. Such factors can also impact our insurance reserves and any related estimable expenses for current and historical periods. For any of the foregoing reasons, our actual losses for claims and related expenses may deviate, individually or in the aggregate, from the insurance reserves reflected in our condensed consolidated financial statements. If we determine that our estimated insurance reserves are inadequate, we may be required to increase such reserves at the time of the determination, which could negatively impact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certain contractual requirements to obtain insurance. For example, 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and, in addition, the output of AI tools we utilize may not be eligible for copyright protection.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including with the use of AI, have in the past accessed, and may in the future access,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currently, and may in the future become, party to intellectual property disputes, which are costly and may subject us to significant liability and increased costs of doing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To reduce the risk of adverse outcomes in intellectual property disputes, we may need to establish new intellectual property agreements or renew existing licenses. However, this strategy of cross-licensing our patent portfolio with third parties in order to settle infringement claims brought against us may not be appropriate in the future and is not effective against certain patent owners, such as non-practicing entities.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w:t>
      </w:r>
      <w:r>
        <w:rPr>
          <w:color w:val="0000FF"/>
        </w:rPr>
        <w:t xml:space="preserve"> </w:t>
      </w:r>
      <w:r>
        <w:rPr>
          <w:rFonts w:ascii="Times New Roman;serif" w:hAnsi="Times New Roman;serif"/>
          <w:b w:val="false"/>
          <w:color w:val="000000"/>
          <w:sz w:val="20"/>
        </w:rPr>
        <w:t xml:space="preserve">and expose us to other legal liabilities, such as indemnification obligations. We could be required to pay substantial damages or cease using intellectual property or technology that is deemed infringing or be required to enter into royalty or licensing agreements to obtain the right to use a third party’s intellectual property. Any such royalty or licensing 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cease selling or using offerings that incorporate the intellectual property rights that we allegedly infringe, misappropriate, or violate;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make substantial payments for legal fees, settlement payments, or other costs or damages;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 a license, which may not be available on reasonable terms or at all, to sell or use the relevant technology;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redesign the allegedly infringing offerings to avoid infringement, misappropriation, or violation, which could be costly, time-consuming, or impossible.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use of third-party open-source software could adversely affect our ability to offer Instacart and our offerings and subjects us to possible litigation.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use third-party open-source software in connection with the operation, development, and deployment of Instacart and our offerings. From time to time, companies that use third-party open-source software have faced claims challenging the use of such open-source software and their compliance with the terms of the applicable open-source license. We may be subject to suits by parties claiming ownership of what we believe to be open-source software or claiming non-compliance with the applicable open-source licensing terms. Some open-source licenses require end-users who distribute or make available across a network software and services that include open-source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open-source software and to shield our valuable proprietary source code from these open-source license requirements, we have not run a complete open-source license review and may inadvertently use third-party open-source software in a manner that exposes us to claims of non-compliance with the applicable terms of such license, that could require us to disclose source code of our proprietary software, prohibit us from charging fees for use of our proprietary software, or render our software temporarily unavailable. Furthermore, there is an increasing number of open-source software license types, many of which have been tested in a court of law, resulting in a dearth of guidance regarding the proper legal interpretation of such licenses. If we were to receive a claim of non-compliance with the terms of</w:t>
      </w:r>
      <w:r>
        <w:rPr>
          <w:color w:val="0000FF"/>
        </w:rPr>
        <w:t xml:space="preserve"> </w:t>
      </w:r>
      <w:r>
        <w:rPr>
          <w:rFonts w:ascii="Times New Roman;serif" w:hAnsi="Times New Roman;serif"/>
          <w:b w:val="false"/>
          <w:color w:val="000000"/>
          <w:sz w:val="20"/>
        </w:rPr>
        <w:t>any of our open-source licenses, we may be required to publicly release certain portions of our proprietary source code, expend substantial time and resources to re-engineer some or all of our software, or temporarily disable one or more features of our platform. Further, our use of any AI-assisted coding tools that use or are based on any open source software may heighten the foregoing risks.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Instacart. Additionally, because any software source code that we contribute to open-source projects becomes publicly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trading price of our common stock may be volatile and could decline significantly and rapidly.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could be subject to wide fluctuations in response to numerous factors in addition to the ones described in this “Risk Factors” section many of which are beyond our control,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actual or anticipated fluctuations in our results of operations and growth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number of shares of our common stock made available for trading;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overall performance of the equity markets and the economy as a whole;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financial projections we may provide to the public and/or our failure to meet these projections;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pricing of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actual or anticipated changes in our growth rate relative to that of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anticipated future size or growth rate of our addressable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announcements of new products, or of acquisitions, strategic partnerships, joint ventures, or capital-raising activities or commitments, by us or by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repurchases or expectations with respect to repurchases of our common stock by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additions or departures of board members, management, or key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including those related to consumer protection, privacy, data security, data protection, and cyber security in the United States or globally;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administrative actions, government investigations, lawsuits, and other legal and regulatory proceedings threatened or initiated against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other events or geopolitical factors, including those resulting from war, incidents of terrorism, tariffs or other trade restrictions enacted or proposed to be enacted, or responses to these events;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health epidemics, such as influenza, and other highly infectious diseases;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inclusion, exclusion, or deletion of our stock from any trading indices, including the S&amp;P 400 Index;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sales or expectations with respect to sales of shares of our capital stock by us or our security holders.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In addition, stock prices of many companies, including technology companies, have fluctuated in a manner often unrelated or disproportionate to the operating performance of those companies. In the past, companies that have experienced volatility in the trading price for their stock have been subject to securities class action litigation. For example, we were subject to a class action lawsuit in federal court alleging federal securities law violations in connection with our IPO, which was dismissed with prejudice on May 30, 2025 without plaintiffs receiving any compensation. Any securities litigation that may be instituted</w:t>
      </w:r>
      <w:r>
        <w:rPr>
          <w:color w:val="0000FF"/>
        </w:rPr>
        <w:t xml:space="preserve"> </w:t>
      </w:r>
      <w:r>
        <w:rPr>
          <w:rFonts w:ascii="Times New Roman;serif" w:hAnsi="Times New Roman;serif"/>
          <w:b w:val="false"/>
          <w:color w:val="000000"/>
          <w:sz w:val="20"/>
        </w:rPr>
        <w:t>against us in the future could result in substantial costs and a diversion of our management’s attention and resources and adversely affect our business, results of operations, and financial condition.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Future sales of our common stock in the public market could cause the market price of our common stock to decline.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directly or indirectly,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certain holders of our capital stock have rights, subject to certain conditions, to require us to file registration statements covering the sale of their shares or to include their shares in registration statements that we may file for ourselves or other stockholders.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a share repurchase program, under which repurchases may be made from time to time through open market purchases, accelerated share repurchase programs, privately negotiated transactions, or any other transactions in accordance with applicable federal securities laws, subject to market conditions, applicable legal requirements, and other relevant factors. Open market repurchases may be structured to occur in accordance with the requirements of Rule 10b-18 of the Exchange Act. We may also, from time to time, enter into Rule 10b5-1 plans to facilitate repurchases of our common stock under this authorization.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Any failure to repurchase stock after we have announced our intention to do so may negatively impact our reputation, investor confidence in us, or our stock price.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existence of our share repurchase program could cause our stock price to be higher than it otherwise would be and could potentially reduce the market liquidity for our stock, and any announcement of a termination of this program may result in a decrease in our stock price.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as well as to invest in securities to generate returns on our cash balance. We also may fail to realize the anticipated long-term stockholder value of any share repurchase program.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part of the Inflation Reduction Act of 2022, the United States implemented a 1% excise tax on the value of certain stock repurchases by publicly traded companies. This tax has in the past increased and may in the future increase the costs to us of any share repurchases.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executive officers, directors, and principal stockholders, if they choose to act together, continue to have the ability to control or significantly influence all matters submitted to stockholders for approval. Furthermore, certain of our current directors were initially appointed by our principal stockholders.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executive officers, directors, and greater than 5% stockholders, in the aggregate, beneficially own a significant portion of our outstanding common stock. Furthermore, certain of our current directors were initially appointed by our principal stockholders. As a result, such persons or their appointees to our board of directors, acting together, will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w:t>
      </w:r>
      <w:r>
        <w:rPr>
          <w:color w:val="0000FF"/>
        </w:rPr>
        <w:t xml:space="preserve"> </w:t>
      </w:r>
      <w:r>
        <w:rPr>
          <w:rFonts w:ascii="Times New Roman;serif" w:hAnsi="Times New Roman;serif"/>
          <w:b w:val="false"/>
          <w:color w:val="000000"/>
          <w:sz w:val="20"/>
        </w:rPr>
        <w:t>combination involving us, or discouraging a potential acquiror from making a tender offer or otherwise attempting to obtain control of our business, even if such a transaction would benefit other stockholders.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limited to, those identified in this “Risk Factors”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market research firms, and other publishers often make statements regarding our historical or projected business or financial performance, and we cannot assure you of the reliability of any such information even if it is attributed directly or indirectly to us.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could experience volatility in our trading price and trading volume if securities or industry analysts cease to publish research about our business, or if they publish inaccurate or unfavorable research.</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control over the content and opinions included in reports published by equity research analysts, and we cannot assure you that any equity research analysts will continue to adequately provide research coverage of our common stock. A lack of adequate research coverage at any time may harm the liquidity and trading price of our common stock. The trading price of our common stock could decline if one or more equity research analysts downgrade our stock or publish inaccurate or unfavorable commentary or research. If one or more equity research analysts cease coverage of our company, or fail to regularly publish reports on us, the demand for our common stock could decrease, which in turn could cause our trading price to decline and/or trading volumes to fluctuate.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capital stock is limited by the terms of our Series A redeemable convertible preferred stock (“Series A Preferred Stock”) and may be further restricted under future contractual arrangements. Accordingly, you must rely on the sale of your common stock after price appreciation, which may never occur, as the only way to realize any future gain on your investment.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Additional stock issuances could result in significant dilution to our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our capital stock or securities convertible into our capital stock from time to time in connection with a financing, acquisition, investments, or otherwise. Additional issuances of our capital stock will result in dilution to existing stockholders. Also, to the extent outstanding stock options to purchase our stock are exercised, RSUs settle, or our Series A Preferred Stock is converted, there will be further dilution. The amount of dilution could be substantial depending upon the size of the issuance. Any such issuances could result in substantial dilution to our existing stockholders and cause the trading price of our common stock to decline.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Series A Preferred Stock ranks senior to our common stock, impacts our ability to pay dividends, and may result in significant dilution.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Series A Preferred Stock ranks senior to our common stock. Accordingly, in the event of our liquidation or dissolution in bankruptcy or otherwise, the holders of our Series A Preferred Stock would receive their liquidation preference prior to any distribution being available to holders of our common stock. The terms of our Series A Preferred Stock also require us to obtain approval from the holders of the outstanding shares of our Series A Preferred Stock for any cash dividends on our common stock in excess of a 5.0% annual dividend yield. Any dividend payment on our common stock will also result in adjustments to the conversion price of our Series A Preferred Stock. In addition, upon a conversion of our Series A Preferred Stock, your percentage ownership in us will be diluted.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 classified board of directors so that not all members of our board of directors are elected at one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our board of directors to determine the number of directors and to fill any vacancies and newly created directorships;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requirement that our directors may only be removed for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prohibition on cumulative voting for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requirement of a super-majority to amend some provisions in our restated certificate of incorporation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authorization of the issuance of “blank check” preferred stock that our board of directors could use to implement a stockholder rights plan;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inability of our stockholders to call special meetings of stockholders; and a prohibition on stockholder actions by written consent, thereby requiring that all stockholder actions be taken at a meeting of our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may limit our stockholders’ ability to obtain a favorable judicial forum for disputes with us or our directors, officers, or employees.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seeking to interpret, apply, enforce, or determine the validity of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 to which Delaware General Corporation Law confers jurisdiction on the Court of Chancery of the State of Delaware;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are the exclusive forums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listing standards of the Nasdaq Global Select Market, and other applicable securities rules and regulations. Complying with these complex and evolving rules and regulations has increased and may continue to increase our legal, accounting, and financial compliance costs and the demand on our systems and resources, as well as divert management’s time and attention from other business concerns, which could harm our business, results of operations, and financial condition. Several members of our management team do not have prior experience in running a public company.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Additionally, as a result of the disclosure obligations required of a public company, our business and financial condition are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 Furthermore, as a public company, we may be subject to stockholder activism, which can lead to additional substantial costs, distract management and impact the manner in which we operate our business in ways we cannot currently anticipate.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to furnish a report by management on, among other things, the effectiveness of our internal control over financial reporting as of the end of each fiscal year. This assessment includes disclosure of any material weaknesses in our internal control over financial reporting identified by our management. In addition, our independent registered public accounting firm is required to attest to the effectiveness of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 (“GAAP”), are subject to interpretation by the Financial Accounting Standards Board,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our condensed consolidated financial statements and accompanying notes included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w:t>
      </w:r>
      <w:r>
        <w:rPr>
          <w:color w:val="000000"/>
        </w:rPr>
        <w:t>—</w:t>
      </w:r>
      <w:r>
        <w:rPr>
          <w:rFonts w:ascii="Times New Roman;serif" w:hAnsi="Times New Roman;serif"/>
          <w:b w:val="false"/>
          <w:color w:val="000000"/>
          <w:sz w:val="20"/>
        </w:rPr>
        <w:t>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and loss contingencies;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 Additionally, incorrect judgments may cause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following table sets forth information relating to repurchases of our equity securities for the </w:t>
      </w:r>
      <w:r>
        <w:rPr>
          <w:rFonts w:ascii="Times New Roman;serif" w:hAnsi="Times New Roman;serif"/>
          <w:b w:val="false"/>
          <w:color w:val="231F20"/>
          <w:sz w:val="20"/>
        </w:rPr>
        <w:t>three months ended March 31, 2026</w:t>
      </w:r>
      <w:r>
        <w:rPr>
          <w:rFonts w:ascii="Times New Roman;serif" w:hAnsi="Times New Roman;serif"/>
          <w:b w:val="false"/>
          <w:color w:val="000000"/>
          <w:sz w:val="20"/>
        </w:rPr>
        <w: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52"/>
        <w:gridCol w:w="429"/>
        <w:gridCol w:w="431"/>
        <w:gridCol w:w="481"/>
        <w:gridCol w:w="481"/>
        <w:gridCol w:w="482"/>
        <w:gridCol w:w="109"/>
        <w:gridCol w:w="109"/>
        <w:gridCol w:w="109"/>
        <w:gridCol w:w="304"/>
        <w:gridCol w:w="865"/>
        <w:gridCol w:w="169"/>
        <w:gridCol w:w="109"/>
        <w:gridCol w:w="109"/>
        <w:gridCol w:w="109"/>
        <w:gridCol w:w="775"/>
        <w:gridCol w:w="775"/>
        <w:gridCol w:w="778"/>
        <w:gridCol w:w="109"/>
        <w:gridCol w:w="109"/>
        <w:gridCol w:w="109"/>
        <w:gridCol w:w="684"/>
        <w:gridCol w:w="1470"/>
        <w:gridCol w:w="548"/>
      </w:tblGrid>
      <w:tr>
        <w:trPr/>
        <w:tc>
          <w:tcPr>
            <w:tcW w:w="5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January 1, 2026 to January 31, 2026 </w:t>
            </w:r>
            <w:r>
              <w:rPr>
                <w:rFonts w:ascii="Times New Roman;serif" w:hAnsi="Times New Roman;serif"/>
                <w:b w:val="false"/>
                <w:color w:val="000000"/>
                <w:sz w:val="12"/>
              </w:rPr>
              <w:t>(3)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3,850 </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February 1, 2026 to February 28, 2026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March 1, 2026 to March 31, 2026</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June 2024, our board of directors authorized a $500 million share repurchase program, which was subsequently increased to $750 million, $1 billion, and $2.5 billion in November 2024, May 2025, and November 2025, respectively. In April 2026, our board of directors authorized an increase of $1.0 billion to the share repurchase program, bringing the total authorization under the program to $3.5 billion. The share repurchase program has no expiration date. In determining the authorization of each share repurchase program, including the amount authorized, our board of directors considered the trading price levels of our common stock, including relative to that of comparable companies, our cash position, and other relevant business, tax, and legal factors. Our board of directors also considered our profitability and positive operating cash flow in recent periods, which enable us to both engage in capital return and reinvest in our talent, technology, and long-term endeavors to drive more profitable growth and help our partners navigate the digital transformations of their businesses. As such, our board of directors believes that these factors will allow us to generate more value for our stockholders over the long term. For more information regarding the risks associated with our share repurchase program, see the section titled “Risk Factors—Risks Related to Ownership of Our Common Stock—We may not realize the anticipated long-term stockholder value of our share repurchase program, and any failure to repurchase our common stock after we have announced our intention to do so may negatively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Excludes costs associated with the repurchases and the 1% excise tax accrued on our share repurchases as a result of the Inflation Reduction Act of 2022.</w:t>
      </w:r>
    </w:p>
    <w:p>
      <w:pPr>
        <w:pStyle w:val="TextBody"/>
        <w:bidi w:val="0"/>
        <w:spacing w:lineRule="auto" w:line="276"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On November 10, 2025, we entered into an accelerated share repurchase agreement (the “ASR Agreement”) with a third-party financial institution to repurchase $250 million of our common stock. In January 2026, repurchases under the ASR Agreement were completed, and we received and immediately retired an additional 0.6 million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3"/>
        <w:gridCol w:w="109"/>
        <w:gridCol w:w="109"/>
        <w:gridCol w:w="109"/>
        <w:gridCol w:w="1430"/>
        <w:gridCol w:w="1225"/>
        <w:gridCol w:w="1229"/>
        <w:gridCol w:w="109"/>
        <w:gridCol w:w="109"/>
        <w:gridCol w:w="109"/>
        <w:gridCol w:w="175"/>
        <w:gridCol w:w="175"/>
        <w:gridCol w:w="176"/>
        <w:gridCol w:w="109"/>
        <w:gridCol w:w="109"/>
        <w:gridCol w:w="109"/>
        <w:gridCol w:w="299"/>
        <w:gridCol w:w="245"/>
        <w:gridCol w:w="165"/>
        <w:gridCol w:w="109"/>
        <w:gridCol w:w="109"/>
        <w:gridCol w:w="109"/>
        <w:gridCol w:w="225"/>
        <w:gridCol w:w="225"/>
        <w:gridCol w:w="226"/>
        <w:gridCol w:w="109"/>
        <w:gridCol w:w="109"/>
        <w:gridCol w:w="109"/>
        <w:gridCol w:w="206"/>
        <w:gridCol w:w="206"/>
        <w:gridCol w:w="207"/>
        <w:gridCol w:w="109"/>
        <w:gridCol w:w="109"/>
        <w:gridCol w:w="109"/>
        <w:gridCol w:w="273"/>
        <w:gridCol w:w="273"/>
        <w:gridCol w:w="398"/>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18"/>
                  <w:u w:val="single"/>
                </w:rPr>
                <w:t>Amended and Restated Certificate of Incorporation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18"/>
                  <w:u w:val="single"/>
                </w:rPr>
                <w:t>Certificate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5">
              <w:r>
                <w:rPr>
                  <w:rStyle w:val="InternetLink"/>
                  <w:rFonts w:ascii="Times New Roman;serif" w:hAnsi="Times New Roman;serif"/>
                  <w:b w:val="false"/>
                  <w:color w:val="0000FF"/>
                  <w:sz w:val="18"/>
                  <w:u w:val="single"/>
                </w:rPr>
                <w:t>Amended and Restated Bylaws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6">
              <w:r>
                <w:rPr>
                  <w:rStyle w:val="InternetLink"/>
                  <w:rFonts w:ascii="Times New Roman;serif" w:hAnsi="Times New Roman;serif"/>
                  <w:b w:val="false"/>
                  <w:color w:val="000080"/>
                  <w:sz w:val="18"/>
                  <w:u w:val="single"/>
                </w:rPr>
                <w:t xml:space="preserve">Revolving Credit Agreement among the Company, the lenders party thereto, the issuing banks party thereto, and Morgan Stanley Senior Funding, Inc., dated May </w:t>
              </w:r>
            </w:hyperlink>
            <w:hyperlink r:id="rId7">
              <w:r>
                <w:rPr>
                  <w:rStyle w:val="InternetLink"/>
                  <w:rFonts w:ascii="Times New Roman;serif" w:hAnsi="Times New Roman;serif"/>
                  <w:b w:val="false"/>
                  <w:color w:val="000080"/>
                  <w:sz w:val="18"/>
                  <w:u w:val="single"/>
                </w:rPr>
                <w:t>1</w:t>
              </w:r>
            </w:hyperlink>
            <w:hyperlink r:id="rId8">
              <w:r>
                <w:rPr>
                  <w:rStyle w:val="InternetLink"/>
                  <w:rFonts w:ascii="Times New Roman;serif" w:hAnsi="Times New Roman;serif"/>
                  <w:b w:val="false"/>
                  <w:color w:val="000080"/>
                  <w:sz w:val="18"/>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1-2026exhibit311.htm">
              <w:r>
                <w:rPr>
                  <w:rStyle w:val="InternetLink"/>
                  <w:rFonts w:ascii="Times New Roman;serif" w:hAnsi="Times New Roman;serif"/>
                  <w:b w:val="false"/>
                  <w:color w:val="000080"/>
                  <w:sz w:val="18"/>
                  <w:u w:val="single"/>
                </w:rPr>
                <w:t>Certification of Principal Executive Officer pursuant to Rule 13a-14(a) and Rule 15d-14(a)</w:t>
              </w:r>
            </w:hyperlink>
            <w:hyperlink w:anchor="q1-2026exhibit311.htm">
              <w:r>
                <w:rPr>
                  <w:rStyle w:val="InternetLink"/>
                  <w:rFonts w:ascii="Times New Roman;serif" w:hAnsi="Times New Roman;serif"/>
                  <w:b w:val="false"/>
                  <w:color w:val="000080"/>
                  <w:sz w:val="18"/>
                  <w:u w:val="single"/>
                </w:rPr>
                <w:t xml:space="preserve"> under the Securities Exchange Act of 1934</w:t>
              </w:r>
            </w:hyperlink>
            <w:hyperlink w:anchor="q1-2026exhibit311.htm">
              <w:r>
                <w:rPr>
                  <w:rStyle w:val="InternetLink"/>
                  <w:rFonts w:ascii="Times New Roman;serif" w:hAnsi="Times New Roman;serif"/>
                  <w:b w:val="false"/>
                  <w:color w:val="000080"/>
                  <w:sz w:val="18"/>
                  <w:u w:val="single"/>
                </w:rPr>
                <w: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1-2026exhibit312.htm">
              <w:r>
                <w:rPr>
                  <w:rStyle w:val="InternetLink"/>
                  <w:rFonts w:ascii="Times New Roman;serif" w:hAnsi="Times New Roman;serif"/>
                  <w:b w:val="false"/>
                  <w:color w:val="000080"/>
                  <w:sz w:val="18"/>
                  <w:u w:val="single"/>
                </w:rPr>
                <w:t>Certification of Principal Financial Officer pursuant to Rule 13a-14(a) and Rule 15d-14(a)</w:t>
              </w:r>
            </w:hyperlink>
            <w:hyperlink w:anchor="q1-2026exhibit312.htm">
              <w:r>
                <w:rPr>
                  <w:rStyle w:val="InternetLink"/>
                  <w:rFonts w:ascii="Times New Roman;serif" w:hAnsi="Times New Roman;serif"/>
                  <w:b w:val="false"/>
                  <w:color w:val="000080"/>
                  <w:sz w:val="18"/>
                  <w:u w:val="single"/>
                </w:rPr>
                <w:t xml:space="preserve"> under the Securities E</w:t>
              </w:r>
            </w:hyperlink>
            <w:hyperlink w:anchor="q1-2026exhibit312.htm">
              <w:r>
                <w:rPr>
                  <w:rStyle w:val="InternetLink"/>
                  <w:rFonts w:ascii="Times New Roman;serif" w:hAnsi="Times New Roman;serif"/>
                  <w:b w:val="false"/>
                  <w:color w:val="000080"/>
                  <w:sz w:val="18"/>
                  <w:u w:val="single"/>
                </w:rPr>
                <w:t xml:space="preserve">xchange </w:t>
              </w:r>
            </w:hyperlink>
            <w:hyperlink w:anchor="q1-2026exhibit312.htm">
              <w:r>
                <w:rPr>
                  <w:rStyle w:val="InternetLink"/>
                  <w:rFonts w:ascii="Times New Roman;serif" w:hAnsi="Times New Roman;serif"/>
                  <w:b w:val="false"/>
                  <w:color w:val="000080"/>
                  <w:sz w:val="18"/>
                  <w:u w:val="single"/>
                </w:rPr>
                <w:t>Act of 1934</w:t>
              </w:r>
            </w:hyperlink>
            <w:hyperlink w:anchor="q1-2026exhibit312.htm">
              <w:r>
                <w:rPr>
                  <w:rStyle w:val="InternetLink"/>
                  <w:rFonts w:ascii="Times New Roman;serif" w:hAnsi="Times New Roman;serif"/>
                  <w:b w:val="false"/>
                  <w:color w:val="000080"/>
                  <w:sz w:val="18"/>
                  <w:u w:val="single"/>
                </w:rPr>
                <w: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1-2026exhibit321.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certifications furnished herewith are deemed to accompany this Quarterly Report on Form 10-Q and are not deemed to be “filed” for purposes of Section 18 of the Exchange Act, or otherwise subject to the liability of that section, nor shall they be deemed incorporated by reference into any filing under the Securities Act, or the Exchange Act (whether made before or after the date of the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be78d38b2d14a58b34a2f9bcd46f83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578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379"/>
        <w:gridCol w:w="379"/>
        <w:gridCol w:w="381"/>
        <w:gridCol w:w="243"/>
        <w:gridCol w:w="243"/>
        <w:gridCol w:w="243"/>
        <w:gridCol w:w="243"/>
        <w:gridCol w:w="243"/>
        <w:gridCol w:w="243"/>
        <w:gridCol w:w="672"/>
        <w:gridCol w:w="672"/>
        <w:gridCol w:w="9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MAPLEBEAR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Chris Rogers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Chris Rogers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Emily Reuter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Lisa Blackwood-Kapral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Lisa Blackwood-Kapral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 Rogers,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Maplebear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408" w:type="dxa"/>
        <w:jc w:val="left"/>
        <w:tblInd w:w="0" w:type="dxa"/>
        <w:tblLayout w:type="fixed"/>
        <w:tblCellMar>
          <w:top w:w="28" w:type="dxa"/>
          <w:left w:w="28" w:type="dxa"/>
          <w:bottom w:w="28" w:type="dxa"/>
          <w:right w:w="28" w:type="dxa"/>
        </w:tblCellMar>
      </w:tblPr>
      <w:tblGrid>
        <w:gridCol w:w="201"/>
        <w:gridCol w:w="178"/>
        <w:gridCol w:w="179"/>
        <w:gridCol w:w="110"/>
        <w:gridCol w:w="110"/>
        <w:gridCol w:w="110"/>
        <w:gridCol w:w="382"/>
        <w:gridCol w:w="382"/>
        <w:gridCol w:w="384"/>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Rogers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Rogers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Emily Reuter,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Maplebear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39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379"/>
        <w:gridCol w:w="379"/>
        <w:gridCol w:w="38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Chris Rogers, Chief Executive Officer of Maplebear Inc. (the “Company”), and Emily Reuter, Chief Financial Officer of the Company, each hereby certifies that, to the best of his or her knowledge:</w:t>
      </w:r>
    </w:p>
    <w:p>
      <w:pPr>
        <w:pStyle w:val="TextBody"/>
        <w:bidi w:val="0"/>
        <w:spacing w:lineRule="auto" w:line="288" w:before="120" w:after="283"/>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undersigned have set their hands hereto as of May 7, 2026.</w:t>
      </w:r>
    </w:p>
    <w:tbl>
      <w:tblPr>
        <w:tblW w:w="4376" w:type="dxa"/>
        <w:jc w:val="left"/>
        <w:tblInd w:w="0" w:type="dxa"/>
        <w:tblLayout w:type="fixed"/>
        <w:tblCellMar>
          <w:top w:w="28" w:type="dxa"/>
          <w:left w:w="28" w:type="dxa"/>
          <w:bottom w:w="28" w:type="dxa"/>
          <w:right w:w="28" w:type="dxa"/>
        </w:tblCellMar>
      </w:tblPr>
      <w:tblGrid>
        <w:gridCol w:w="738"/>
        <w:gridCol w:w="649"/>
        <w:gridCol w:w="652"/>
        <w:gridCol w:w="109"/>
        <w:gridCol w:w="109"/>
        <w:gridCol w:w="109"/>
        <w:gridCol w:w="588"/>
        <w:gridCol w:w="588"/>
        <w:gridCol w:w="83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9091/000119312523240556/d511433dex31.htm" TargetMode="External"/><Relationship Id="rId4" Type="http://schemas.openxmlformats.org/officeDocument/2006/relationships/hyperlink" Target="https://www.sec.gov/Archives/edgar/data/1579091/000119312523240556/d511433dex32.htm" TargetMode="External"/><Relationship Id="rId5" Type="http://schemas.openxmlformats.org/officeDocument/2006/relationships/hyperlink" Target="https://www.sec.gov/Archives/edgar/data/1579091/000119312523231909/d55348dex34.htm" TargetMode="External"/><Relationship Id="rId6" Type="http://schemas.openxmlformats.org/officeDocument/2006/relationships/hyperlink" Target="https://www.sec.gov/Archives/edgar/data/1579091/000157909126000032/exhibit101_creditagreement.htm" TargetMode="External"/><Relationship Id="rId7" Type="http://schemas.openxmlformats.org/officeDocument/2006/relationships/hyperlink" Target="https://www.sec.gov/Archives/edgar/data/1579091/000157909126000032/exhibit101_creditagreement.htm" TargetMode="External"/><Relationship Id="rId8" Type="http://schemas.openxmlformats.org/officeDocument/2006/relationships/hyperlink" Target="https://www.sec.gov/Archives/edgar/data/1579091/000157909126000032/exhibit101_creditagreement.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64732</Words>
  <Characters>365209</Characters>
  <CharactersWithSpaces>427595</CharactersWithSpaces>
  <Paragraphs>3338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