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br/>
      </w:r>
      <w:r>
        <w:rPr>
          <w:rFonts w:ascii="Times New Roman;serif" w:hAnsi="Times New Roman;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43"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001-41805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314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36195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33" w:type="dxa"/>
        <w:jc w:val="center"/>
        <w:tblInd w:w="0" w:type="dxa"/>
        <w:tblLayout w:type="fixed"/>
        <w:tblCellMar>
          <w:top w:w="28" w:type="dxa"/>
          <w:left w:w="28" w:type="dxa"/>
          <w:bottom w:w="28" w:type="dxa"/>
          <w:right w:w="28" w:type="dxa"/>
        </w:tblCellMar>
      </w:tblPr>
      <w:tblGrid>
        <w:gridCol w:w="279"/>
        <w:gridCol w:w="244"/>
        <w:gridCol w:w="244"/>
        <w:gridCol w:w="244"/>
        <w:gridCol w:w="244"/>
        <w:gridCol w:w="244"/>
        <w:gridCol w:w="244"/>
        <w:gridCol w:w="244"/>
        <w:gridCol w:w="244"/>
        <w:gridCol w:w="163"/>
        <w:gridCol w:w="163"/>
        <w:gridCol w:w="163"/>
        <w:gridCol w:w="163"/>
        <w:gridCol w:w="163"/>
        <w:gridCol w:w="163"/>
        <w:gridCol w:w="163"/>
        <w:gridCol w:w="163"/>
        <w:gridCol w:w="163"/>
        <w:gridCol w:w="163"/>
        <w:gridCol w:w="163"/>
        <w:gridCol w:w="163"/>
        <w:gridCol w:w="163"/>
        <w:gridCol w:w="163"/>
        <w:gridCol w:w="163"/>
        <w:gridCol w:w="163"/>
        <w:gridCol w:w="163"/>
        <w:gridCol w:w="231"/>
      </w:tblGrid>
      <w:tr>
        <w:trPr/>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23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46-0723335</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pPr>
      <w:r>
        <w:rPr>
          <w:rFonts w:ascii="Times New Roman;serif" w:hAnsi="Times New Roman;serif"/>
          <w:b/>
          <w:color w:val="000000"/>
          <w:sz w:val="18"/>
        </w:rPr>
        <w:t>50 Beale Street</w:t>
      </w:r>
      <w:r>
        <w:rPr>
          <w:rFonts w:ascii="Times New Roman;serif" w:hAnsi="Times New Roman;serif"/>
          <w:b w:val="false"/>
          <w:color w:val="000000"/>
          <w:sz w:val="18"/>
        </w:rPr>
        <w:t xml:space="preserve">, </w:t>
      </w:r>
      <w:r>
        <w:rPr>
          <w:rFonts w:ascii="Times New Roman;serif" w:hAnsi="Times New Roman;serif"/>
          <w:b/>
          <w:color w:val="000000"/>
          <w:sz w:val="18"/>
        </w:rPr>
        <w:t>Suite 600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18"/>
        </w:rPr>
        <w:t>San Francisco</w:t>
      </w:r>
      <w:r>
        <w:rPr>
          <w:rFonts w:ascii="Times New Roman;serif" w:hAnsi="Times New Roman;serif"/>
          <w:b w:val="false"/>
          <w:color w:val="000000"/>
          <w:sz w:val="18"/>
        </w:rPr>
        <w:t xml:space="preserve">, </w:t>
      </w:r>
      <w:r>
        <w:rPr>
          <w:rFonts w:ascii="Times New Roman;serif" w:hAnsi="Times New Roman;serif"/>
          <w:b/>
          <w:color w:val="000000"/>
          <w:sz w:val="18"/>
        </w:rPr>
        <w:t>California</w:t>
      </w:r>
      <w:r>
        <w:rPr>
          <w:color w:val="000000"/>
        </w:rPr>
        <w:t xml:space="preserve"> </w:t>
      </w:r>
      <w:r>
        <w:rPr>
          <w:rFonts w:ascii="Times New Roman;serif" w:hAnsi="Times New Roman;serif"/>
          <w:b/>
          <w:color w:val="000000"/>
          <w:sz w:val="18"/>
        </w:rPr>
        <w:t>94105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color w:val="000000"/>
          <w:sz w:val="18"/>
        </w:rPr>
        <w:t>888</w:t>
      </w:r>
      <w:r>
        <w:rPr>
          <w:rFonts w:ascii="Times New Roman;serif" w:hAnsi="Times New Roman;serif"/>
          <w:b w:val="false"/>
          <w:color w:val="000000"/>
          <w:sz w:val="18"/>
        </w:rPr>
        <w:t xml:space="preserve">) </w:t>
      </w:r>
      <w:r>
        <w:rPr>
          <w:rFonts w:ascii="Times New Roman;serif" w:hAnsi="Times New Roman;serif"/>
          <w:b/>
          <w:color w:val="000000"/>
          <w:sz w:val="18"/>
        </w:rPr>
        <w:t>246-7822</w:t>
      </w:r>
    </w:p>
    <w:p>
      <w:pPr>
        <w:pStyle w:val="TextBody"/>
        <w:bidi w:val="0"/>
        <w:spacing w:lineRule="auto" w:line="288" w:before="0" w:after="1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left"/>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231,500,067 shares of common stock, par value $0.0001 per share,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60"/>
        <w:ind w:left="0" w:right="0" w:firstLine="173"/>
        <w:jc w:val="center"/>
        <w:rPr>
          <w:rFonts w:ascii="Times New Roman;serif" w:hAnsi="Times New Roman;serif"/>
          <w:b/>
          <w:color w:val="231F20"/>
          <w:sz w:val="20"/>
        </w:rPr>
      </w:pPr>
      <w:r>
        <w:rPr>
          <w:rFonts w:ascii="Times New Roman;serif" w:hAnsi="Times New Roman;serif"/>
          <w:b/>
          <w:color w:val="231F20"/>
          <w:sz w:val="20"/>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3"/>
        <w:gridCol w:w="293"/>
        <w:gridCol w:w="319"/>
        <w:gridCol w:w="293"/>
        <w:gridCol w:w="293"/>
        <w:gridCol w:w="439"/>
        <w:gridCol w:w="439"/>
        <w:gridCol w:w="439"/>
        <w:gridCol w:w="2204"/>
        <w:gridCol w:w="2150"/>
        <w:gridCol w:w="2163"/>
        <w:gridCol w:w="158"/>
        <w:gridCol w:w="158"/>
        <w:gridCol w:w="232"/>
      </w:tblGrid>
      <w:tr>
        <w:trPr/>
        <w:tc>
          <w:tcPr>
            <w:tcW w:w="3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57" w:type="dxa"/>
            <w:gridSpan w:val="12"/>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10">
              <w:r>
                <w:rPr>
                  <w:rStyle w:val="InternetLink"/>
                  <w:rFonts w:ascii="Times New Roman;serif" w:hAnsi="Times New Roman;serif"/>
                  <w:b w:val="false"/>
                  <w:color w:val="3051F2"/>
                  <w:sz w:val="20"/>
                  <w:u w:val="single"/>
                </w:rPr>
                <w:t>Special Note Regarding Forward-Looking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10">
              <w:r>
                <w:rPr>
                  <w:rStyle w:val="InternetLink"/>
                  <w:rFonts w:ascii="Times New Roman;serif" w:hAnsi="Times New Roman;serif"/>
                  <w:b w:val="false"/>
                  <w:color w:val="3051F2"/>
                  <w:sz w:val="20"/>
                  <w:u w:val="single"/>
                </w:rPr>
                <w:t>3</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Part 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13">
              <w:r>
                <w:rPr>
                  <w:rStyle w:val="InternetLink"/>
                  <w:rFonts w:ascii="Times New Roman;serif" w:hAnsi="Times New Roman;serif"/>
                  <w:b/>
                  <w:color w:val="3051F2"/>
                  <w:sz w:val="20"/>
                  <w:u w:val="single"/>
                </w:rPr>
                <w:t>FINANCIAL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13">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16">
              <w:r>
                <w:rPr>
                  <w:rStyle w:val="InternetLink"/>
                  <w:rFonts w:ascii="Times New Roman;serif" w:hAnsi="Times New Roman;serif"/>
                  <w:b w:val="false"/>
                  <w:color w:val="3051F2"/>
                  <w:sz w:val="20"/>
                  <w:u w:val="single"/>
                </w:rPr>
                <w:t>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16">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19">
              <w:r>
                <w:rPr>
                  <w:rStyle w:val="InternetLink"/>
                  <w:rFonts w:ascii="Times New Roman;serif" w:hAnsi="Times New Roman;serif"/>
                  <w:b w:val="false"/>
                  <w:color w:val="3051F2"/>
                  <w:sz w:val="20"/>
                  <w:u w:val="single"/>
                </w:rPr>
                <w:t>Condensed Consolidated Balance Sheets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19">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2">
              <w:r>
                <w:rPr>
                  <w:rStyle w:val="InternetLink"/>
                  <w:rFonts w:ascii="Times New Roman;serif" w:hAnsi="Times New Roman;serif"/>
                  <w:b w:val="false"/>
                  <w:color w:val="3051F2"/>
                  <w:sz w:val="20"/>
                  <w:u w:val="single"/>
                </w:rPr>
                <w:t>Condensed Consolidated Statements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2">
              <w:r>
                <w:rPr>
                  <w:rStyle w:val="InternetLink"/>
                  <w:rFonts w:ascii="Times New Roman;serif" w:hAnsi="Times New Roman;serif"/>
                  <w:b w:val="false"/>
                  <w:color w:val="3051F2"/>
                  <w:sz w:val="20"/>
                  <w:u w:val="single"/>
                </w:rPr>
                <w:t>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5">
              <w:r>
                <w:rPr>
                  <w:rStyle w:val="InternetLink"/>
                  <w:rFonts w:ascii="Times New Roman;serif" w:hAnsi="Times New Roman;serif"/>
                  <w:b w:val="false"/>
                  <w:color w:val="3051F2"/>
                  <w:sz w:val="20"/>
                  <w:u w:val="single"/>
                </w:rPr>
                <w:t>Condensed Consolidated Statements of Comprehensive Income</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5">
              <w:r>
                <w:rPr>
                  <w:rStyle w:val="InternetLink"/>
                  <w:rFonts w:ascii="Times New Roman;serif" w:hAnsi="Times New Roman;serif"/>
                  <w:b w:val="false"/>
                  <w:color w:val="3051F2"/>
                  <w:sz w:val="20"/>
                  <w:u w:val="single"/>
                </w:rPr>
                <w:t>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75f85a64045343b89818a14deb693c19_28">
              <w:r>
                <w:rPr>
                  <w:rStyle w:val="InternetLink"/>
                  <w:rFonts w:ascii="Times New Roman;serif" w:hAnsi="Times New Roman;serif"/>
                  <w:b w:val="false"/>
                  <w:color w:val="3051F2"/>
                  <w:sz w:val="20"/>
                  <w:u w:val="single"/>
                </w:rPr>
                <w:t>Condensed Consolidated Statements of Redeemable Convertible Preferred Stock and Stockholders’ Equity</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8">
              <w:r>
                <w:rPr>
                  <w:rStyle w:val="InternetLink"/>
                  <w:rFonts w:ascii="Times New Roman;serif" w:hAnsi="Times New Roman;serif"/>
                  <w:b w:val="false"/>
                  <w:color w:val="3051F2"/>
                  <w:sz w:val="20"/>
                  <w:u w:val="single"/>
                </w:rPr>
                <w:t>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40">
              <w:r>
                <w:rPr>
                  <w:rStyle w:val="InternetLink"/>
                  <w:rFonts w:ascii="Times New Roman;serif" w:hAnsi="Times New Roman;serif"/>
                  <w:b w:val="false"/>
                  <w:color w:val="3051F2"/>
                  <w:sz w:val="20"/>
                  <w:u w:val="single"/>
                </w:rPr>
                <w:t>Condensed Consolidated Statements of Cash Flows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40">
              <w:r>
                <w:rPr>
                  <w:rStyle w:val="InternetLink"/>
                  <w:rFonts w:ascii="Times New Roman;serif" w:hAnsi="Times New Roman;serif"/>
                  <w:b w:val="false"/>
                  <w:color w:val="3051F2"/>
                  <w:sz w:val="20"/>
                  <w:u w:val="single"/>
                </w:rPr>
                <w:t>10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43">
              <w:r>
                <w:rPr>
                  <w:rStyle w:val="InternetLink"/>
                  <w:rFonts w:ascii="Times New Roman;serif" w:hAnsi="Times New Roman;serif"/>
                  <w:b w:val="false"/>
                  <w:color w:val="3051F2"/>
                  <w:sz w:val="20"/>
                  <w:u w:val="single"/>
                </w:rPr>
                <w:t>Notes to Condensed Consolidated Financial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43">
              <w:r>
                <w:rPr>
                  <w:rStyle w:val="InternetLink"/>
                  <w:rFonts w:ascii="Times New Roman;serif" w:hAnsi="Times New Roman;serif"/>
                  <w:b w:val="false"/>
                  <w:color w:val="3051F2"/>
                  <w:sz w:val="20"/>
                  <w:u w:val="single"/>
                </w:rPr>
                <w:t>12</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75f85a64045343b89818a14deb693c19_115">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115">
              <w:r>
                <w:rPr>
                  <w:rStyle w:val="InternetLink"/>
                  <w:rFonts w:ascii="Times New Roman;serif" w:hAnsi="Times New Roman;serif"/>
                  <w:b w:val="false"/>
                  <w:color w:val="3051F2"/>
                  <w:sz w:val="20"/>
                  <w:u w:val="single"/>
                </w:rPr>
                <w:t>30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75f85a64045343b89818a14deb693c19_205">
              <w:r>
                <w:rPr>
                  <w:rStyle w:val="InternetLink"/>
                  <w:rFonts w:ascii="Times New Roman;serif" w:hAnsi="Times New Roman;serif"/>
                  <w:b w:val="false"/>
                  <w:color w:val="3051F2"/>
                  <w:sz w:val="20"/>
                  <w:u w:val="single"/>
                </w:rPr>
                <w:t>Quantitative and Qualitative Disclosures About Market Risk</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05">
              <w:r>
                <w:rPr>
                  <w:rStyle w:val="InternetLink"/>
                  <w:rFonts w:ascii="Times New Roman;serif" w:hAnsi="Times New Roman;serif"/>
                  <w:b w:val="false"/>
                  <w:color w:val="3051F2"/>
                  <w:sz w:val="20"/>
                  <w:u w:val="single"/>
                </w:rPr>
                <w:t>47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75f85a64045343b89818a14deb693c19_208">
              <w:r>
                <w:rPr>
                  <w:rStyle w:val="InternetLink"/>
                  <w:rFonts w:ascii="Times New Roman;serif" w:hAnsi="Times New Roman;serif"/>
                  <w:b w:val="false"/>
                  <w:color w:val="3051F2"/>
                  <w:sz w:val="20"/>
                  <w:u w:val="single"/>
                </w:rPr>
                <w:t>Controls and Procedures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08">
              <w:r>
                <w:rPr>
                  <w:rStyle w:val="InternetLink"/>
                  <w:rFonts w:ascii="Times New Roman;serif" w:hAnsi="Times New Roman;serif"/>
                  <w:b w:val="false"/>
                  <w:color w:val="3051F2"/>
                  <w:sz w:val="20"/>
                  <w:u w:val="single"/>
                </w:rPr>
                <w:t>48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Part II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11">
              <w:r>
                <w:rPr>
                  <w:rStyle w:val="InternetLink"/>
                  <w:rFonts w:ascii="Times New Roman;serif" w:hAnsi="Times New Roman;serif"/>
                  <w:b/>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11">
              <w:r>
                <w:rPr>
                  <w:rStyle w:val="InternetLink"/>
                  <w:rFonts w:ascii="Times New Roman;serif" w:hAnsi="Times New Roman;serif"/>
                  <w:b w:val="false"/>
                  <w:color w:val="3051F2"/>
                  <w:sz w:val="20"/>
                  <w:u w:val="single"/>
                </w:rPr>
                <w:t>48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14">
              <w:r>
                <w:rPr>
                  <w:rStyle w:val="InternetLink"/>
                  <w:rFonts w:ascii="Times New Roman;serif" w:hAnsi="Times New Roman;serif"/>
                  <w:b w:val="false"/>
                  <w:color w:val="3051F2"/>
                  <w:sz w:val="20"/>
                  <w:u w:val="single"/>
                </w:rPr>
                <w:t>Legal Proceedings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14">
              <w:r>
                <w:rPr>
                  <w:rStyle w:val="InternetLink"/>
                  <w:rFonts w:ascii="Times New Roman;serif" w:hAnsi="Times New Roman;serif"/>
                  <w:b w:val="false"/>
                  <w:color w:val="3051F2"/>
                  <w:sz w:val="20"/>
                  <w:u w:val="single"/>
                </w:rPr>
                <w:t>49</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17">
              <w:r>
                <w:rPr>
                  <w:rStyle w:val="InternetLink"/>
                  <w:rFonts w:ascii="Times New Roman;serif" w:hAnsi="Times New Roman;serif"/>
                  <w:b w:val="false"/>
                  <w:color w:val="3051F2"/>
                  <w:sz w:val="20"/>
                  <w:u w:val="single"/>
                </w:rPr>
                <w:t>Risk Factors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17">
              <w:r>
                <w:rPr>
                  <w:rStyle w:val="InternetLink"/>
                  <w:rFonts w:ascii="Times New Roman;serif" w:hAnsi="Times New Roman;serif"/>
                  <w:b w:val="false"/>
                  <w:color w:val="3051F2"/>
                  <w:sz w:val="20"/>
                  <w:u w:val="single"/>
                </w:rPr>
                <w:t>49</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41">
              <w:r>
                <w:rPr>
                  <w:rStyle w:val="InternetLink"/>
                  <w:rFonts w:ascii="Times New Roman;serif" w:hAnsi="Times New Roman;serif"/>
                  <w:b w:val="false"/>
                  <w:color w:val="3051F2"/>
                  <w:sz w:val="20"/>
                  <w:u w:val="single"/>
                </w:rPr>
                <w:t>Unregistered Sales of Equity Securities and Use of Proceeds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41">
              <w:r>
                <w:rPr>
                  <w:rStyle w:val="InternetLink"/>
                  <w:rFonts w:ascii="Times New Roman;serif" w:hAnsi="Times New Roman;serif"/>
                  <w:b w:val="false"/>
                  <w:color w:val="3051F2"/>
                  <w:sz w:val="20"/>
                  <w:u w:val="single"/>
                </w:rPr>
                <w:t>97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44">
              <w:r>
                <w:rPr>
                  <w:rStyle w:val="InternetLink"/>
                  <w:rFonts w:ascii="Times New Roman;serif" w:hAnsi="Times New Roman;serif"/>
                  <w:b w:val="false"/>
                  <w:color w:val="3051F2"/>
                  <w:sz w:val="20"/>
                  <w:u w:val="single"/>
                </w:rPr>
                <w:t>Defaults Upon Senior Securities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44">
              <w:r>
                <w:rPr>
                  <w:rStyle w:val="InternetLink"/>
                  <w:rFonts w:ascii="Times New Roman;serif" w:hAnsi="Times New Roman;serif"/>
                  <w:b w:val="false"/>
                  <w:color w:val="3051F2"/>
                  <w:sz w:val="20"/>
                  <w:u w:val="single"/>
                </w:rPr>
                <w:t>98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47">
              <w:r>
                <w:rPr>
                  <w:rStyle w:val="InternetLink"/>
                  <w:rFonts w:ascii="Times New Roman;serif" w:hAnsi="Times New Roman;serif"/>
                  <w:b w:val="false"/>
                  <w:color w:val="3051F2"/>
                  <w:sz w:val="20"/>
                  <w:u w:val="single"/>
                </w:rPr>
                <w:t>Mine Safety Disclosures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47">
              <w:r>
                <w:rPr>
                  <w:rStyle w:val="InternetLink"/>
                  <w:rFonts w:ascii="Times New Roman;serif" w:hAnsi="Times New Roman;serif"/>
                  <w:b w:val="false"/>
                  <w:color w:val="3051F2"/>
                  <w:sz w:val="20"/>
                  <w:u w:val="single"/>
                </w:rPr>
                <w:t>98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50">
              <w:r>
                <w:rPr>
                  <w:rStyle w:val="InternetLink"/>
                  <w:rFonts w:ascii="Times New Roman;serif" w:hAnsi="Times New Roman;serif"/>
                  <w:b w:val="false"/>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50">
              <w:r>
                <w:rPr>
                  <w:rStyle w:val="InternetLink"/>
                  <w:rFonts w:ascii="Times New Roman;serif" w:hAnsi="Times New Roman;serif"/>
                  <w:b w:val="false"/>
                  <w:color w:val="3051F2"/>
                  <w:sz w:val="20"/>
                  <w:u w:val="single"/>
                </w:rPr>
                <w:t>98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56">
              <w:r>
                <w:rPr>
                  <w:rStyle w:val="InternetLink"/>
                  <w:rFonts w:ascii="Times New Roman;serif" w:hAnsi="Times New Roman;serif"/>
                  <w:b w:val="false"/>
                  <w:color w:val="3051F2"/>
                  <w:sz w:val="20"/>
                  <w:u w:val="single"/>
                </w:rPr>
                <w:t>Exhibits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56">
              <w:r>
                <w:rPr>
                  <w:rStyle w:val="InternetLink"/>
                  <w:rFonts w:ascii="Times New Roman;serif" w:hAnsi="Times New Roman;serif"/>
                  <w:b w:val="false"/>
                  <w:color w:val="3051F2"/>
                  <w:sz w:val="20"/>
                  <w:u w:val="single"/>
                </w:rPr>
                <w:t>99</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75f85a64045343b89818a14deb693c19_259">
              <w:r>
                <w:rPr>
                  <w:rStyle w:val="InternetLink"/>
                  <w:rFonts w:ascii="Times New Roman;serif" w:hAnsi="Times New Roman;serif"/>
                  <w:b w:val="false"/>
                  <w:color w:val="3051F2"/>
                  <w:sz w:val="20"/>
                  <w:u w:val="single"/>
                </w:rPr>
                <w:t>Signatures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75f85a64045343b89818a14deb693c19_259">
              <w:r>
                <w:rPr>
                  <w:rStyle w:val="InternetLink"/>
                  <w:rFonts w:ascii="Times New Roman;serif" w:hAnsi="Times New Roman;serif"/>
                  <w:b w:val="false"/>
                  <w:color w:val="3051F2"/>
                  <w:sz w:val="20"/>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attract new customers and shoppers and maintain and/or increase engagement of existing customers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effectively manage our growth and plan for and execute growth strategies and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anticipated trends, growth rates, and challenges in our financial performance, key metrics, and business and in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and expand our relationships with retailers and brands and the effects of retailer consolidation;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grow across our current markets and expand into new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successfully compete with companies that are currently in, or may in the future enter,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estimated market opportunity;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timely and effectively scale and adapt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the safety, security, and availability of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expand or enhance our existing offerings and develop new products, offerings, features, and use cases, bring them to market in a timely manner, and whether retailers, customers, brands, shoppers, or other partners launch or utilize such products, offerings, features, and use cases in the manner and timing that we expect;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adapt to or utilize artificial intelligence (“AI”) and machine learning technologies as well as the use of such technologies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protect, and enhance our brand and intellectual property;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identify, complete, and achieve anticipated business and financial benefits from acquisitions, strategic investments, collaborations, commercial arrangements, alliances or partnerships that complement and expand the functionality of Instacart 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prices and pricing methodologies and our expectations for the impact of pricing on our competitive position and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and industry trends, including the impact on our business of trade policies enacted or proposed by the United States, such as tariffs or other trade restrictions, uncertainty related thereto, and responses by foreign governments to such policies, inflation, elevated interest rates, the effects of supply chain challenges, cessation of, interruptions to, or changes to government aid programs, heightened recession risk, and geopolitical conflicts;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defend litigation and government proceedings brought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implications from any legislative, regulatory, judicial, administrative, or legal proceeding that changes our current relationship with shoppers, and the potential impacts on our business operations, our business model, fulfillment strategies,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comply or remain in compliance with laws and regulations that currently apply or become applicable to our business in the United States and internationally;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reliance on key personnel, our ability to attract, maintain, and retain management and skilled personnel;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concerning our relationships with third parties;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“Instacart” refer to Maplebear Inc. and its consolidated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6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205" w:type="dxa"/>
        <w:jc w:val="left"/>
        <w:tblInd w:w="0" w:type="dxa"/>
        <w:tblLayout w:type="fixed"/>
        <w:tblCellMar>
          <w:top w:w="28" w:type="dxa"/>
          <w:left w:w="28" w:type="dxa"/>
          <w:bottom w:w="28" w:type="dxa"/>
          <w:right w:w="28" w:type="dxa"/>
        </w:tblCellMar>
      </w:tblPr>
      <w:tblGrid>
        <w:gridCol w:w="3119"/>
        <w:gridCol w:w="2444"/>
        <w:gridCol w:w="2442"/>
        <w:gridCol w:w="219"/>
        <w:gridCol w:w="623"/>
        <w:gridCol w:w="122"/>
        <w:gridCol w:w="109"/>
        <w:gridCol w:w="109"/>
        <w:gridCol w:w="109"/>
        <w:gridCol w:w="196"/>
        <w:gridCol w:w="556"/>
        <w:gridCol w:w="157"/>
      </w:tblGrid>
      <w:tr>
        <w:trPr/>
        <w:tc>
          <w:tcPr>
            <w:tcW w:w="311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80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ASSETS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Short-term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$3 and $2,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Long-term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6"/>
              </w:rPr>
            </w:pPr>
            <w:r>
              <w:rPr>
                <w:rFonts w:ascii="Times New Roman;serif" w:hAnsi="Times New Roman;serif"/>
                <w:b/>
                <w:color w:val="000000"/>
                <w:sz w:val="16"/>
              </w:rPr>
              <w:t>LIABILITIES, REDEEMABLE CONVERTIBLE PREFERRED STOCK, AND STOCKHOLDERS’ EQUITY</w:t>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Series A redeemable convertible preferred stock; $0.0001 par value per share; 5,833 shares authorized, issued, and outstanding as of December 31, 2025 and June 30, 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24,167 shares authorized as of December 31, 2025 and June 30, 2026; zero shares issued and outstanding as of December 31, 2025 and June 30, 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2,000,000 shares authorized as of December 31, 2025 and June 30, 2026; 242,867 and 233,035 shares issued and outstanding as of December 31, 2025 and June 30, 2026,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(4,486)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convertible preferred stock, and stockholders’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05"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OPERATIONS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10" w:after="283"/>
        <w:jc w:val="center"/>
        <w:rPr/>
      </w:pPr>
      <w:r>
        <w:rPr/>
      </w:r>
    </w:p>
    <w:tbl>
      <w:tblPr>
        <w:tblW w:w="10205" w:type="dxa"/>
        <w:jc w:val="left"/>
        <w:tblInd w:w="0" w:type="dxa"/>
        <w:tblLayout w:type="fixed"/>
        <w:tblCellMar>
          <w:top w:w="28" w:type="dxa"/>
          <w:left w:w="28" w:type="dxa"/>
          <w:bottom w:w="28" w:type="dxa"/>
          <w:right w:w="28" w:type="dxa"/>
        </w:tblCellMar>
      </w:tblPr>
      <w:tblGrid>
        <w:gridCol w:w="2104"/>
        <w:gridCol w:w="1724"/>
        <w:gridCol w:w="1742"/>
        <w:gridCol w:w="226"/>
        <w:gridCol w:w="530"/>
        <w:gridCol w:w="121"/>
        <w:gridCol w:w="121"/>
        <w:gridCol w:w="121"/>
        <w:gridCol w:w="121"/>
        <w:gridCol w:w="217"/>
        <w:gridCol w:w="618"/>
        <w:gridCol w:w="121"/>
        <w:gridCol w:w="109"/>
        <w:gridCol w:w="109"/>
        <w:gridCol w:w="109"/>
        <w:gridCol w:w="197"/>
        <w:gridCol w:w="559"/>
        <w:gridCol w:w="109"/>
        <w:gridCol w:w="109"/>
        <w:gridCol w:w="109"/>
        <w:gridCol w:w="109"/>
        <w:gridCol w:w="197"/>
        <w:gridCol w:w="559"/>
        <w:gridCol w:w="164"/>
      </w:tblGrid>
      <w:tr>
        <w:trPr/>
        <w:tc>
          <w:tcPr>
            <w:tcW w:w="210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basic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diluted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 per share attributable to common stockholders:</w:t>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computing net income per share attributable to common stockholders:</w:t>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262,588 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234,928 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237,089 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281,293 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248,935 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282,117 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251,254 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COMPREHENSIVE INCOME</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0" w:after="0"/>
        <w:jc w:val="center"/>
        <w:rPr/>
      </w:pPr>
      <w:r>
        <w:rPr/>
      </w:r>
    </w:p>
    <w:tbl>
      <w:tblPr>
        <w:tblW w:w="8358" w:type="dxa"/>
        <w:jc w:val="left"/>
        <w:tblInd w:w="0" w:type="dxa"/>
        <w:tblLayout w:type="fixed"/>
        <w:tblCellMar>
          <w:top w:w="28" w:type="dxa"/>
          <w:left w:w="28" w:type="dxa"/>
          <w:bottom w:w="28" w:type="dxa"/>
          <w:right w:w="28" w:type="dxa"/>
        </w:tblCellMar>
      </w:tblPr>
      <w:tblGrid>
        <w:gridCol w:w="1322"/>
        <w:gridCol w:w="1166"/>
        <w:gridCol w:w="1171"/>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13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974" w:type="dxa"/>
        <w:jc w:val="center"/>
        <w:tblInd w:w="0" w:type="dxa"/>
        <w:tblLayout w:type="fixed"/>
        <w:tblCellMar>
          <w:top w:w="28" w:type="dxa"/>
          <w:left w:w="28" w:type="dxa"/>
          <w:bottom w:w="28" w:type="dxa"/>
          <w:right w:w="28" w:type="dxa"/>
        </w:tblCellMar>
      </w:tblPr>
      <w:tblGrid>
        <w:gridCol w:w="63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260,964 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262,517 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(3,573)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263,443 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6,869 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 CONTINUED</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775" w:type="dxa"/>
        <w:jc w:val="center"/>
        <w:tblInd w:w="0" w:type="dxa"/>
        <w:tblLayout w:type="fixed"/>
        <w:tblCellMar>
          <w:top w:w="28" w:type="dxa"/>
          <w:left w:w="28" w:type="dxa"/>
          <w:bottom w:w="28" w:type="dxa"/>
          <w:right w:w="28" w:type="dxa"/>
        </w:tblCellMar>
      </w:tblPr>
      <w:tblGrid>
        <w:gridCol w:w="54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242,867 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(4,486)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6"/>
              </w:rPr>
              <w:t xml:space="preserve">Repurchase and retirement of common stock </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(9,375)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236,710 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(7,825)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233,035 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7,289 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(4,959)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completion of the Company’s accelerated share repurchase agreement (the “ASR Agreement”). Refer to Note 13 — Stockholders’ Equity for further discussion.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(unaudited)</w:t>
      </w:r>
    </w:p>
    <w:tbl>
      <w:tblPr>
        <w:tblW w:w="8725" w:type="dxa"/>
        <w:jc w:val="left"/>
        <w:tblInd w:w="0" w:type="dxa"/>
        <w:tblLayout w:type="fixed"/>
        <w:tblCellMar>
          <w:top w:w="28" w:type="dxa"/>
          <w:left w:w="28" w:type="dxa"/>
          <w:bottom w:w="28" w:type="dxa"/>
          <w:right w:w="28" w:type="dxa"/>
        </w:tblCellMar>
      </w:tblPr>
      <w:tblGrid>
        <w:gridCol w:w="2397"/>
        <w:gridCol w:w="2103"/>
        <w:gridCol w:w="2115"/>
        <w:gridCol w:w="211"/>
        <w:gridCol w:w="600"/>
        <w:gridCol w:w="117"/>
        <w:gridCol w:w="117"/>
        <w:gridCol w:w="117"/>
        <w:gridCol w:w="117"/>
        <w:gridCol w:w="211"/>
        <w:gridCol w:w="454"/>
        <w:gridCol w:w="166"/>
      </w:tblGrid>
      <w:tr>
        <w:trPr/>
        <w:tc>
          <w:tcPr>
            <w:tcW w:w="239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Impairments of long-lived assets and other assets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Provision for bad debts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effects of business acquisitions:</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including capitalized internal-use software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Acquisitions of businesses, net of cash acquired</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advances from payment card issuer</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(655)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Effect of foreign exchange on cash, cash equivalents, and restricted cash and cash equivalents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 and cash equivalents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beginning of period</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Pr>
          <w:t xml:space="preserve">Table of </w:t>
        </w:r>
      </w:hyperlink>
      <w:hyperlink w:anchor="i75f85a64045343b89818a14deb693c19_7">
        <w:r>
          <w:rPr>
            <w:rStyle w:val="InternetLink"/>
          </w:rPr>
          <w:t>Contents</w:t>
        </w:r>
      </w:hyperlink>
    </w:p>
    <w:p>
      <w:pPr>
        <w:pStyle w:val="TextBody"/>
        <w:bidi w:val="0"/>
        <w:spacing w:before="0" w:after="0"/>
        <w:jc w:val="center"/>
        <w:rPr/>
      </w:pPr>
      <w:r>
        <w:rPr/>
      </w:r>
    </w:p>
    <w:p>
      <w:pPr>
        <w:pStyle w:val="TextBody"/>
        <w:bidi w:val="0"/>
        <w:spacing w:lineRule="auto" w:line="288" w:before="24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 CONTINUED</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52"/>
        <w:gridCol w:w="2600"/>
        <w:gridCol w:w="2605"/>
        <w:gridCol w:w="204"/>
        <w:gridCol w:w="581"/>
        <w:gridCol w:w="113"/>
        <w:gridCol w:w="113"/>
        <w:gridCol w:w="113"/>
        <w:gridCol w:w="113"/>
        <w:gridCol w:w="204"/>
        <w:gridCol w:w="440"/>
        <w:gridCol w:w="167"/>
      </w:tblGrid>
      <w:tr>
        <w:trPr/>
        <w:tc>
          <w:tcPr>
            <w:tcW w:w="2952"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2048" w:type="dxa"/>
            <w:gridSpan w:val="9"/>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for (received from) income taxes, net</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capitalized as internal-use software</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 RELATED TO LEASES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815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Remeasurement of operating lease right-of-use assets</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AND CASH EQUIVALENTS TO THE CONDENSED CONSOLIDATED BALANCE SHEETS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and cash equivalents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Business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Maplebear Inc., doing business as (“DBA”) Instacart (the “Company”), was incorporated in Delaware on August 3, 2012 and is headquartered in San Francisco, California. The Company is a diversified technology business that operates a technology platform that enables connections and transactions primarily among retailers, end users, advertisers, and shoppers largely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who are independent contractors, pick and deliver orders using the Company’s technology platform for fulfillment or delivery service opportunities primarily on a fee per batch basis. The Company also sells software-as-a-service offerings primarily targeted at retailers and charges fees for such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12"/>
        <w:gridCol w:w="812"/>
        <w:gridCol w:w="11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Significant Accounting Policies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Basis of Presentation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2025, which can be found in the Company’s Annual Report on Form 10-K. In management’s opinion, the unaudited interim condensed consolidated financial statements have been prepared on the same basis as the annual financial statements and reflect all adjustments, which include only normal recurring adjustments necessary for the fair statement of the condensed consolidated financial statements. The condensed consolidated balance sheet as of December 31, 2025 has been derived from the audited financial statements at that date but does not include all of the disclosures required by GAAP.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after elimination of all intercompany accounts and transactions. The condensed consolidated financial statements reflect all adjustments and reclassifications that, in the opinion of management, are necessary for the fair presentation of the Company’s results of operations and financial condition as of and for the periods presented. The results for the interim periods are not necessarily indicative of the results to be expected for the full year or any other future interim or annual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significant accounting policies described in the Company’s Annual Report on Form 10-K for the year ended December 31, 2025 that have had a material impact on the condensed consolidated financial statements and related notes.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Rounding</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presented in the condensed consolidated financial statements and accompanying footnotes have been rounded based on their actual values, including totals and subtotals. As a result, totals and subtotals may not equal the sum of individual line items shown. All underlying calculations, including percentages, are based on unrounded amounts.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Use of Estimates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judgments, estimates, and assumptions that affect the reported amounts of assets and liabilities and disclosure of contingent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legal and other loss contingencies, and (iii) income taxes. The Company determines its estimates and judgments based on historical experience and on various other assumptions that it believes are reasonable under the circumstances. However, actual results could differ from these estimates, and these differences may be material to the condensed consolidated financial statements.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the impacts of macroeconomic trends affecting the Company’s markets and industry and consumer shopping habits, such as inflation and interest rate fluctuations, the effects of supply chain challenges, the impact of trade policies enacted or proposed by the United States (“U.S.”), such as tariffs or other trade restrictions, and uncertainty related thereto, geopolitical conflicts, regulatory changes, uncertainty regarding an economic recession and its impact on consumer behavior, and the effects of severe weather patterns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the exception of those discussed below, the Company reviewed all recently issued accounting pronouncements and concluded they were either not applicable or not expected to have a material impact to the Company’s consolidated financial statements or accompanying footnotes.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disaggregated information about certain income statement expense line items on an annual and interim basis. The standard is effective for fiscal years beginning after December 15, 2026 and interim periods within fiscal years beginning after December 15, 2027, as clarified by ASU 2025-01,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Early adoption is permitted and can be applied prospectively or retrospectively. The Company is currently evaluating the impact this standard will have on the consolidated financial statements and accompanying footnotes.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which provides updated guidance on the capitalization of internal-use software costs. The standard is effective for annual reporting periods beginning after December 15, 2027, including interim periods within those annual periods. Early adoption is permitted and can be applied prospectively or retrospectively. The Company is currently evaluating the impact this standard will have on the consolidated financial statements and accompanying footnotes.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Revenue</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pStyle w:val="TextBody"/>
        <w:bidi w:val="0"/>
        <w:spacing w:before="0" w:after="2"/>
        <w:jc w:val="both"/>
        <w:rPr/>
      </w:pPr>
      <w:r>
        <w:rPr/>
      </w:r>
    </w:p>
    <w:tbl>
      <w:tblPr>
        <w:tblW w:w="6369" w:type="dxa"/>
        <w:jc w:val="left"/>
        <w:tblInd w:w="0" w:type="dxa"/>
        <w:tblLayout w:type="fixed"/>
        <w:tblCellMar>
          <w:top w:w="28" w:type="dxa"/>
          <w:left w:w="28" w:type="dxa"/>
          <w:bottom w:w="28" w:type="dxa"/>
          <w:right w:w="28" w:type="dxa"/>
        </w:tblCellMar>
      </w:tblPr>
      <w:tblGrid>
        <w:gridCol w:w="601"/>
        <w:gridCol w:w="528"/>
        <w:gridCol w:w="535"/>
        <w:gridCol w:w="232"/>
        <w:gridCol w:w="498"/>
        <w:gridCol w:w="129"/>
        <w:gridCol w:w="129"/>
        <w:gridCol w:w="129"/>
        <w:gridCol w:w="129"/>
        <w:gridCol w:w="232"/>
        <w:gridCol w:w="658"/>
        <w:gridCol w:w="129"/>
        <w:gridCol w:w="109"/>
        <w:gridCol w:w="109"/>
        <w:gridCol w:w="109"/>
        <w:gridCol w:w="198"/>
        <w:gridCol w:w="561"/>
        <w:gridCol w:w="110"/>
        <w:gridCol w:w="110"/>
        <w:gridCol w:w="110"/>
        <w:gridCol w:w="110"/>
        <w:gridCol w:w="198"/>
        <w:gridCol w:w="561"/>
        <w:gridCol w:w="155"/>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70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geographic areas based on bill-to location was as follows:</w:t>
      </w:r>
    </w:p>
    <w:tbl>
      <w:tblPr>
        <w:tblW w:w="5905" w:type="dxa"/>
        <w:jc w:val="left"/>
        <w:tblInd w:w="0" w:type="dxa"/>
        <w:tblLayout w:type="fixed"/>
        <w:tblCellMar>
          <w:top w:w="28" w:type="dxa"/>
          <w:left w:w="28" w:type="dxa"/>
          <w:bottom w:w="28" w:type="dxa"/>
          <w:right w:w="28" w:type="dxa"/>
        </w:tblCellMar>
      </w:tblPr>
      <w:tblGrid>
        <w:gridCol w:w="433"/>
        <w:gridCol w:w="381"/>
        <w:gridCol w:w="386"/>
        <w:gridCol w:w="232"/>
        <w:gridCol w:w="498"/>
        <w:gridCol w:w="129"/>
        <w:gridCol w:w="129"/>
        <w:gridCol w:w="129"/>
        <w:gridCol w:w="129"/>
        <w:gridCol w:w="232"/>
        <w:gridCol w:w="658"/>
        <w:gridCol w:w="129"/>
        <w:gridCol w:w="109"/>
        <w:gridCol w:w="109"/>
        <w:gridCol w:w="109"/>
        <w:gridCol w:w="198"/>
        <w:gridCol w:w="561"/>
        <w:gridCol w:w="110"/>
        <w:gridCol w:w="110"/>
        <w:gridCol w:w="110"/>
        <w:gridCol w:w="110"/>
        <w:gridCol w:w="198"/>
        <w:gridCol w:w="561"/>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70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International </w:t>
            </w:r>
            <w:r>
              <w:rPr>
                <w:rFonts w:ascii="Times New Roman;serif" w:hAnsi="Times New Roman;serif"/>
                <w:b w:val="false"/>
                <w:color w:val="000000"/>
                <w:sz w:val="12"/>
              </w:rPr>
              <w:t>(1)</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68" w:before="0" w:after="36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No individual international country represented 10% or more of the Company’s total revenue for the three or six months ended June 30, 2025 or 2026.</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 which is a contract liability, when the Company receives customer payments in advance of the performance obligations being satisfied on the Company’s contracts. Deferred revenue primarily consists of balances related to Instacart+ memberships. Substantially all of the Company’s deferred revenue as of December 31, 2025 and June 30, 2026 is expected to be recognized within a year. For the six months ended June 30, 2025 and 2026, the Company recognized revenue of $151 million and $157 million, respectively, from the deferred revenue balance as of December 31, 2024 and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contract assets as of December 31, 2025 or June 30, 2026.</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customers accounted for 10% or more of the Company’s accounts receivable:</w:t>
      </w:r>
    </w:p>
    <w:p>
      <w:pPr>
        <w:pStyle w:val="TextBody"/>
        <w:bidi w:val="0"/>
        <w:spacing w:before="0" w:after="0"/>
        <w:jc w:val="both"/>
        <w:rPr/>
      </w:pPr>
      <w:r>
        <w:rPr/>
      </w:r>
    </w:p>
    <w:tbl>
      <w:tblPr>
        <w:tblW w:w="3186" w:type="dxa"/>
        <w:jc w:val="left"/>
        <w:tblInd w:w="0" w:type="dxa"/>
        <w:tblLayout w:type="fixed"/>
        <w:tblCellMar>
          <w:top w:w="28" w:type="dxa"/>
          <w:left w:w="28" w:type="dxa"/>
          <w:bottom w:w="28" w:type="dxa"/>
          <w:right w:w="28" w:type="dxa"/>
        </w:tblCellMar>
      </w:tblPr>
      <w:tblGrid>
        <w:gridCol w:w="359"/>
        <w:gridCol w:w="315"/>
        <w:gridCol w:w="316"/>
        <w:gridCol w:w="250"/>
        <w:gridCol w:w="250"/>
        <w:gridCol w:w="594"/>
        <w:gridCol w:w="109"/>
        <w:gridCol w:w="109"/>
        <w:gridCol w:w="109"/>
        <w:gridCol w:w="165"/>
        <w:gridCol w:w="166"/>
        <w:gridCol w:w="44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Customer did not account for 10% or more of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3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Fair Value Measurements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tables summarize assets and liabilities that are measured at fair value on a recurring basis, by level, within the fair value hierarchy:</w:t>
      </w:r>
    </w:p>
    <w:tbl>
      <w:tblPr>
        <w:tblW w:w="8024" w:type="dxa"/>
        <w:jc w:val="left"/>
        <w:tblInd w:w="0" w:type="dxa"/>
        <w:tblLayout w:type="fixed"/>
        <w:tblCellMar>
          <w:top w:w="28" w:type="dxa"/>
          <w:left w:w="28" w:type="dxa"/>
          <w:bottom w:w="28" w:type="dxa"/>
          <w:right w:w="28" w:type="dxa"/>
        </w:tblCellMar>
      </w:tblPr>
      <w:tblGrid>
        <w:gridCol w:w="1490"/>
        <w:gridCol w:w="1306"/>
        <w:gridCol w:w="13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Long-term marketable securities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left"/>
        <w:tblInd w:w="0" w:type="dxa"/>
        <w:tblLayout w:type="fixed"/>
        <w:tblCellMar>
          <w:top w:w="28" w:type="dxa"/>
          <w:left w:w="28" w:type="dxa"/>
          <w:bottom w:w="28" w:type="dxa"/>
          <w:right w:w="28" w:type="dxa"/>
        </w:tblCellMar>
      </w:tblPr>
      <w:tblGrid>
        <w:gridCol w:w="1490"/>
        <w:gridCol w:w="1306"/>
        <w:gridCol w:w="13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Long-term marketable securities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Company’s investments in commercial paper, U.S. government and government agency debt securities, and corporate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Series A redeemable convertible preferred stock that was issued during the </w:t>
      </w:r>
      <w:r>
        <w:rPr>
          <w:rFonts w:ascii="Times New Roman;serif" w:hAnsi="Times New Roman;serif"/>
          <w:b w:val="false"/>
          <w:color w:val="000000"/>
          <w:sz w:val="20"/>
        </w:rPr>
        <w:t>year ended December 31, 2023</w:t>
      </w:r>
      <w:r>
        <w:rPr>
          <w:color w:val="231F20"/>
        </w:rPr>
        <w:t xml:space="preserve"> </w:t>
      </w:r>
      <w:r>
        <w:rPr>
          <w:rFonts w:ascii="Times New Roman;serif" w:hAnsi="Times New Roman;serif"/>
          <w:b w:val="false"/>
          <w:color w:val="231F20"/>
          <w:sz w:val="20"/>
        </w:rPr>
        <w:t>represented a non-recurring Level 3 financial measurement at issuance. Refer to Note 12 — Redeemable Convertible Preferred Stock for further information.</w:t>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There were </w:t>
      </w:r>
      <w:r>
        <w:rPr>
          <w:rFonts w:ascii="Times New Roman;serif" w:hAnsi="Times New Roman;serif"/>
          <w:b w:val="false"/>
          <w:color w:val="000000"/>
          <w:sz w:val="20"/>
        </w:rPr>
        <w:t>no transfers</w:t>
      </w:r>
      <w:r>
        <w:rPr>
          <w:color w:val="231F20"/>
        </w:rPr>
        <w:t xml:space="preserve"> </w:t>
      </w:r>
      <w:r>
        <w:rPr>
          <w:rFonts w:ascii="Times New Roman;serif" w:hAnsi="Times New Roman;serif"/>
          <w:b w:val="false"/>
          <w:color w:val="231F20"/>
          <w:sz w:val="20"/>
        </w:rPr>
        <w:t xml:space="preserve">of financial instruments between Level 1, Level 2, and Level 3 for the </w:t>
      </w:r>
      <w:r>
        <w:rPr>
          <w:rFonts w:ascii="Times New Roman;serif" w:hAnsi="Times New Roman;serif"/>
          <w:b w:val="false"/>
          <w:color w:val="000000"/>
          <w:sz w:val="20"/>
        </w:rPr>
        <w:t>three or six months ended June 30, 2025 or 2026</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8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8"/>
        <w:gridCol w:w="338"/>
        <w:gridCol w:w="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Investments</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For purposes of computing realized gains and losses, the cost of investments sold is based on the specific-identification method. The gross unrealized gains and losses related to the Company’s available-for-sale debt securities </w:t>
      </w:r>
      <w:r>
        <w:rPr>
          <w:rFonts w:ascii="Times New Roman;serif" w:hAnsi="Times New Roman;serif"/>
          <w:b w:val="false"/>
          <w:color w:val="231F20"/>
          <w:sz w:val="20"/>
        </w:rPr>
        <w:t>as of 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 xml:space="preserve">June 30, 2026 were </w:t>
      </w:r>
      <w:r>
        <w:rPr>
          <w:rFonts w:ascii="Times New Roman;serif" w:hAnsi="Times New Roman;serif"/>
          <w:b w:val="false"/>
          <w:color w:val="000000"/>
          <w:sz w:val="20"/>
        </w:rPr>
        <w:t>immaterial.</w:t>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amortized cost and fair value of the Company’s available-for-sale debt securities with a stated maturity date:</w:t>
      </w:r>
    </w:p>
    <w:tbl>
      <w:tblPr>
        <w:tblW w:w="7385" w:type="dxa"/>
        <w:jc w:val="left"/>
        <w:tblInd w:w="0" w:type="dxa"/>
        <w:tblLayout w:type="fixed"/>
        <w:tblCellMar>
          <w:top w:w="28" w:type="dxa"/>
          <w:left w:w="28" w:type="dxa"/>
          <w:bottom w:w="28" w:type="dxa"/>
          <w:right w:w="28" w:type="dxa"/>
        </w:tblCellMar>
      </w:tblPr>
      <w:tblGrid>
        <w:gridCol w:w="758"/>
        <w:gridCol w:w="667"/>
        <w:gridCol w:w="675"/>
        <w:gridCol w:w="336"/>
        <w:gridCol w:w="722"/>
        <w:gridCol w:w="187"/>
        <w:gridCol w:w="109"/>
        <w:gridCol w:w="109"/>
        <w:gridCol w:w="109"/>
        <w:gridCol w:w="239"/>
        <w:gridCol w:w="513"/>
        <w:gridCol w:w="133"/>
        <w:gridCol w:w="109"/>
        <w:gridCol w:w="109"/>
        <w:gridCol w:w="109"/>
        <w:gridCol w:w="336"/>
        <w:gridCol w:w="722"/>
        <w:gridCol w:w="187"/>
        <w:gridCol w:w="109"/>
        <w:gridCol w:w="109"/>
        <w:gridCol w:w="109"/>
        <w:gridCol w:w="236"/>
        <w:gridCol w:w="508"/>
        <w:gridCol w:w="18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 June 30,</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5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One year through five years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7"/>
        <w:gridCol w:w="767"/>
        <w:gridCol w:w="1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Property and Equipment, Net</w:t>
            </w:r>
          </w:p>
        </w:tc>
      </w:tr>
    </w:tbl>
    <w:p>
      <w:pPr>
        <w:pStyle w:val="TextBody"/>
        <w:bidi w:val="0"/>
        <w:spacing w:lineRule="auto" w:line="271" w:before="0" w:after="24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Property and equipment, net of accumulated depreciation and amortization, consisted of the following:</w:t>
      </w:r>
    </w:p>
    <w:tbl>
      <w:tblPr>
        <w:tblW w:w="7754" w:type="dxa"/>
        <w:jc w:val="left"/>
        <w:tblInd w:w="0" w:type="dxa"/>
        <w:tblLayout w:type="fixed"/>
        <w:tblCellMar>
          <w:top w:w="28" w:type="dxa"/>
          <w:left w:w="28" w:type="dxa"/>
          <w:bottom w:w="28" w:type="dxa"/>
          <w:right w:w="28" w:type="dxa"/>
        </w:tblCellMar>
      </w:tblPr>
      <w:tblGrid>
        <w:gridCol w:w="1298"/>
        <w:gridCol w:w="1139"/>
        <w:gridCol w:w="1148"/>
        <w:gridCol w:w="549"/>
        <w:gridCol w:w="549"/>
        <w:gridCol w:w="551"/>
        <w:gridCol w:w="109"/>
        <w:gridCol w:w="109"/>
        <w:gridCol w:w="109"/>
        <w:gridCol w:w="294"/>
        <w:gridCol w:w="634"/>
        <w:gridCol w:w="167"/>
        <w:gridCol w:w="109"/>
        <w:gridCol w:w="109"/>
        <w:gridCol w:w="109"/>
        <w:gridCol w:w="196"/>
        <w:gridCol w:w="4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35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231F20"/>
                <w:sz w:val="18"/>
              </w:rPr>
            </w:pPr>
            <w:r>
              <w:rPr>
                <w:rFonts w:ascii="Times New Roman;serif" w:hAnsi="Times New Roman;serif"/>
                <w:b w:val="false"/>
                <w:color w:val="231F2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the Company’s property and equipment was $2 million and $1 million for the three months ended June 30, 2025 and 2026, respectively, and $4 million and $3 million for the six months ended June 30, 2025 and 2026, respectively. Amortization expense related to the Company’s internal-use software, which is primarily recorded within cost of revenue in the condensed consolidated statements of operations, was $13 million and $25 million for the three months ended June 30, 2025 and 2026, respectively, and $24 million and $47 million for the six months ended June 30, 2025 and 2026, respectively.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2026, the Company capitalized $25 million and $22 million of internal-use software costs, respectively. For the six months ended June 30, 2025 and 2026, the Company capitalized $51 million and $45 million of internal-use software costs,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long-lived assets, consisting of property and equipment and operating lease right-of-use assets, net of accumulated depreciation and amortization, by geographic area:</w:t>
      </w:r>
    </w:p>
    <w:p>
      <w:pPr>
        <w:pStyle w:val="TextBody"/>
        <w:bidi w:val="0"/>
        <w:spacing w:before="0" w:after="0"/>
        <w:jc w:val="both"/>
        <w:rPr/>
      </w:pPr>
      <w:r>
        <w:rPr/>
      </w:r>
    </w:p>
    <w:tbl>
      <w:tblPr>
        <w:tblW w:w="4202" w:type="dxa"/>
        <w:jc w:val="left"/>
        <w:tblInd w:w="0" w:type="dxa"/>
        <w:tblLayout w:type="fixed"/>
        <w:tblCellMar>
          <w:top w:w="28" w:type="dxa"/>
          <w:left w:w="28" w:type="dxa"/>
          <w:bottom w:w="28" w:type="dxa"/>
          <w:right w:w="28" w:type="dxa"/>
        </w:tblCellMar>
      </w:tblPr>
      <w:tblGrid>
        <w:gridCol w:w="725"/>
        <w:gridCol w:w="638"/>
        <w:gridCol w:w="646"/>
        <w:gridCol w:w="294"/>
        <w:gridCol w:w="634"/>
        <w:gridCol w:w="167"/>
        <w:gridCol w:w="109"/>
        <w:gridCol w:w="109"/>
        <w:gridCol w:w="109"/>
        <w:gridCol w:w="196"/>
        <w:gridCol w:w="4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long-lived assets, net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attributed to the United States, Canada, and other international geographies are based on the country in which the asset is 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Business Combinations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 of Marlin9 Holdings, Inc.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pursuant to a Stock Purchase Agreement, the Company acquired a 100% ownership interest in Marlin9 Holdings, Inc. which operates as Wynshop (“Wynshop”), a provider of ecommerce retail solutions for grocers and retailers. The acquisition builds upon the Company’s relationships with retail partners and reinforces the Company’s continued commitment to providing retailers with cutting-edge tools and technologies that help drive their business growth.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$106 million in cash. The Company has accounted for this acquisition as a business combination. The following table summarizes the fair value of assets acquired and liabilities assumed as of the date of acquisition:</w:t>
      </w:r>
    </w:p>
    <w:p>
      <w:pPr>
        <w:pStyle w:val="TextBody"/>
        <w:bidi w:val="0"/>
        <w:spacing w:before="0" w:after="0"/>
        <w:jc w:val="left"/>
        <w:rPr/>
      </w:pPr>
      <w:r>
        <w:rPr/>
      </w:r>
    </w:p>
    <w:tbl>
      <w:tblPr>
        <w:tblW w:w="2820" w:type="dxa"/>
        <w:jc w:val="center"/>
        <w:tblInd w:w="0" w:type="dxa"/>
        <w:tblLayout w:type="fixed"/>
        <w:tblCellMar>
          <w:top w:w="28" w:type="dxa"/>
          <w:left w:w="28" w:type="dxa"/>
          <w:bottom w:w="28" w:type="dxa"/>
          <w:right w:w="28" w:type="dxa"/>
        </w:tblCellMar>
      </w:tblPr>
      <w:tblGrid>
        <w:gridCol w:w="657"/>
        <w:gridCol w:w="576"/>
        <w:gridCol w:w="582"/>
        <w:gridCol w:w="255"/>
        <w:gridCol w:w="550"/>
        <w:gridCol w:w="200"/>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 assumed</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Acquisition-related expenses were immaterial and expensed as incurred and included within general and administrative expense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identified intangible assets and their respective useful lives as of the time of acquisition were as follows:</w:t>
      </w:r>
    </w:p>
    <w:p>
      <w:pPr>
        <w:pStyle w:val="TextBody"/>
        <w:bidi w:val="0"/>
        <w:spacing w:before="0" w:after="0"/>
        <w:jc w:val="both"/>
        <w:rPr/>
      </w:pPr>
      <w:r>
        <w:rPr/>
      </w:r>
    </w:p>
    <w:tbl>
      <w:tblPr>
        <w:tblW w:w="5379" w:type="dxa"/>
        <w:jc w:val="left"/>
        <w:tblInd w:w="0" w:type="dxa"/>
        <w:tblLayout w:type="fixed"/>
        <w:tblCellMar>
          <w:top w:w="28" w:type="dxa"/>
          <w:left w:w="28" w:type="dxa"/>
          <w:bottom w:w="28" w:type="dxa"/>
          <w:right w:w="28" w:type="dxa"/>
        </w:tblCellMar>
      </w:tblPr>
      <w:tblGrid>
        <w:gridCol w:w="636"/>
        <w:gridCol w:w="558"/>
        <w:gridCol w:w="560"/>
        <w:gridCol w:w="294"/>
        <w:gridCol w:w="499"/>
        <w:gridCol w:w="166"/>
        <w:gridCol w:w="109"/>
        <w:gridCol w:w="109"/>
        <w:gridCol w:w="109"/>
        <w:gridCol w:w="685"/>
        <w:gridCol w:w="685"/>
        <w:gridCol w:w="969"/>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Weighted-Average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Trademark</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weighted-average useful life of the identified amortizable intangible assets at the time of acquisition was ten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customer relationships, developed technology, and trademark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customer attrition, customer base and growth rates, and discount rates.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concluded the purchase accounting for the acquisition during the three months ended June 30, 2026. During the measurement period, the Company recorded immaterial purchase price adjustments resulting in an increase to 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the business combination have been included in the Company’s condensed consolidated financial statements from the date of acquisition. Wynshop’s results of operations for periods prior to the acquisition were immaterial to the Company’s condensed consolidated statements of operations and, accordingly, historical and pro forma disclosures have not been presented.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Goodwill and Intangible Assets, Net</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following table summarizes the activity in the carrying amount of goodwill for the </w:t>
      </w:r>
      <w:r>
        <w:rPr>
          <w:rFonts w:ascii="Times New Roman;serif" w:hAnsi="Times New Roman;serif"/>
          <w:b w:val="false"/>
          <w:color w:val="000000"/>
          <w:sz w:val="20"/>
        </w:rPr>
        <w:t>six months ended June 30, 2026</w:t>
      </w:r>
      <w:r>
        <w:rPr>
          <w:rFonts w:ascii="Times New Roman;serif" w:hAnsi="Times New Roman;serif"/>
          <w:b w:val="false"/>
          <w:color w:val="231F20"/>
          <w:sz w:val="20"/>
        </w:rPr>
        <w:t>:</w:t>
      </w:r>
    </w:p>
    <w:tbl>
      <w:tblPr>
        <w:tblW w:w="3914" w:type="dxa"/>
        <w:jc w:val="left"/>
        <w:tblInd w:w="0" w:type="dxa"/>
        <w:tblLayout w:type="fixed"/>
        <w:tblCellMar>
          <w:top w:w="28" w:type="dxa"/>
          <w:left w:w="28" w:type="dxa"/>
          <w:bottom w:w="28" w:type="dxa"/>
          <w:right w:w="28" w:type="dxa"/>
        </w:tblCellMar>
      </w:tblPr>
      <w:tblGrid>
        <w:gridCol w:w="1052"/>
        <w:gridCol w:w="927"/>
        <w:gridCol w:w="931"/>
        <w:gridCol w:w="255"/>
        <w:gridCol w:w="549"/>
        <w:gridCol w:w="200"/>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Addition related to business acquisition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Intangible assets, net of accumulated amortization, resulting from business combinations and asset purchases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549"/>
        <w:gridCol w:w="550"/>
        <w:gridCol w:w="401"/>
        <w:gridCol w:w="863"/>
        <w:gridCol w:w="226"/>
        <w:gridCol w:w="109"/>
        <w:gridCol w:w="109"/>
        <w:gridCol w:w="109"/>
        <w:gridCol w:w="484"/>
        <w:gridCol w:w="1080"/>
        <w:gridCol w:w="271"/>
        <w:gridCol w:w="109"/>
        <w:gridCol w:w="109"/>
        <w:gridCol w:w="109"/>
        <w:gridCol w:w="419"/>
        <w:gridCol w:w="709"/>
        <w:gridCol w:w="235"/>
        <w:gridCol w:w="109"/>
        <w:gridCol w:w="109"/>
        <w:gridCol w:w="109"/>
        <w:gridCol w:w="813"/>
        <w:gridCol w:w="813"/>
        <w:gridCol w:w="1158"/>
      </w:tblGrid>
      <w:tr>
        <w:trPr/>
        <w:tc>
          <w:tcPr>
            <w:tcW w:w="65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8.7</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5.9</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tbl>
      <w:tblPr>
        <w:tblW w:w="10205" w:type="dxa"/>
        <w:jc w:val="left"/>
        <w:tblInd w:w="0" w:type="dxa"/>
        <w:tblLayout w:type="fixed"/>
        <w:tblCellMar>
          <w:top w:w="28" w:type="dxa"/>
          <w:left w:w="28" w:type="dxa"/>
          <w:bottom w:w="28" w:type="dxa"/>
          <w:right w:w="28" w:type="dxa"/>
        </w:tblCellMar>
      </w:tblPr>
      <w:tblGrid>
        <w:gridCol w:w="653"/>
        <w:gridCol w:w="549"/>
        <w:gridCol w:w="550"/>
        <w:gridCol w:w="401"/>
        <w:gridCol w:w="863"/>
        <w:gridCol w:w="226"/>
        <w:gridCol w:w="109"/>
        <w:gridCol w:w="109"/>
        <w:gridCol w:w="109"/>
        <w:gridCol w:w="484"/>
        <w:gridCol w:w="1080"/>
        <w:gridCol w:w="271"/>
        <w:gridCol w:w="109"/>
        <w:gridCol w:w="109"/>
        <w:gridCol w:w="109"/>
        <w:gridCol w:w="419"/>
        <w:gridCol w:w="709"/>
        <w:gridCol w:w="235"/>
        <w:gridCol w:w="109"/>
        <w:gridCol w:w="109"/>
        <w:gridCol w:w="109"/>
        <w:gridCol w:w="813"/>
        <w:gridCol w:w="813"/>
        <w:gridCol w:w="1158"/>
      </w:tblGrid>
      <w:tr>
        <w:trPr/>
        <w:tc>
          <w:tcPr>
            <w:tcW w:w="65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Amortization expense was </w:t>
      </w:r>
      <w:r>
        <w:rPr>
          <w:rFonts w:ascii="Times New Roman;serif" w:hAnsi="Times New Roman;serif"/>
          <w:b w:val="false"/>
          <w:color w:val="000000"/>
          <w:sz w:val="20"/>
        </w:rPr>
        <w:t>$6 million</w:t>
      </w:r>
      <w:r>
        <w:rPr>
          <w:color w:val="231F20"/>
        </w:rPr>
        <w:t xml:space="preserve"> </w:t>
      </w:r>
      <w:r>
        <w:rPr>
          <w:rFonts w:ascii="Times New Roman;serif" w:hAnsi="Times New Roman;serif"/>
          <w:b w:val="false"/>
          <w:color w:val="231F20"/>
          <w:sz w:val="20"/>
        </w:rPr>
        <w:t xml:space="preserve">for each of the </w:t>
      </w:r>
      <w:r>
        <w:rPr>
          <w:rFonts w:ascii="Times New Roman;serif" w:hAnsi="Times New Roman;serif"/>
          <w:b w:val="false"/>
          <w:color w:val="000000"/>
          <w:sz w:val="20"/>
        </w:rPr>
        <w:t>three months ended June 30, 2025 and 2026 and $12 million</w:t>
      </w:r>
      <w:r>
        <w:rPr>
          <w:color w:val="000000"/>
        </w:rPr>
        <w:t xml:space="preserve"> </w:t>
      </w:r>
      <w:r>
        <w:rPr>
          <w:rFonts w:ascii="Times New Roman;serif" w:hAnsi="Times New Roman;serif"/>
          <w:b w:val="false"/>
          <w:color w:val="231F20"/>
          <w:sz w:val="20"/>
        </w:rPr>
        <w:t xml:space="preserve">for each of the </w:t>
      </w:r>
      <w:r>
        <w:rPr>
          <w:rFonts w:ascii="Times New Roman;serif" w:hAnsi="Times New Roman;serif"/>
          <w:b w:val="false"/>
          <w:color w:val="000000"/>
          <w:sz w:val="20"/>
        </w:rPr>
        <w:t>six months ended June 30, 2025 and 2026.</w:t>
      </w:r>
    </w:p>
    <w:p>
      <w:pPr>
        <w:pStyle w:val="TextBody"/>
        <w:bidi w:val="0"/>
        <w:spacing w:before="0" w:after="0"/>
        <w:ind w:left="0" w:right="0" w:firstLine="360"/>
        <w:jc w:val="both"/>
        <w:rPr/>
      </w:pPr>
      <w:r>
        <w:rPr/>
      </w:r>
    </w:p>
    <w:p>
      <w:pPr>
        <w:pStyle w:val="TextBody"/>
        <w:bidi w:val="0"/>
        <w:spacing w:lineRule="auto" w:line="271"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June 30, 2026, the remaining intangible asset amortization was as follows:</w:t>
      </w:r>
    </w:p>
    <w:p>
      <w:pPr>
        <w:pStyle w:val="TextBody"/>
        <w:bidi w:val="0"/>
        <w:spacing w:before="0" w:after="0"/>
        <w:jc w:val="both"/>
        <w:rPr/>
      </w:pPr>
      <w:r>
        <w:rPr/>
      </w:r>
    </w:p>
    <w:tbl>
      <w:tblPr>
        <w:tblW w:w="3149" w:type="dxa"/>
        <w:jc w:val="left"/>
        <w:tblInd w:w="0" w:type="dxa"/>
        <w:tblLayout w:type="fixed"/>
        <w:tblCellMar>
          <w:top w:w="28" w:type="dxa"/>
          <w:left w:w="28" w:type="dxa"/>
          <w:bottom w:w="28" w:type="dxa"/>
          <w:right w:w="28" w:type="dxa"/>
        </w:tblCellMar>
      </w:tblPr>
      <w:tblGrid>
        <w:gridCol w:w="777"/>
        <w:gridCol w:w="683"/>
        <w:gridCol w:w="685"/>
        <w:gridCol w:w="288"/>
        <w:gridCol w:w="487"/>
        <w:gridCol w:w="22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4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93"/>
        <w:gridCol w:w="993"/>
        <w:gridCol w:w="1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Accrued and other current liabilities were as follows:</w:t>
      </w:r>
    </w:p>
    <w:tbl>
      <w:tblPr>
        <w:tblW w:w="5958" w:type="dxa"/>
        <w:jc w:val="left"/>
        <w:tblInd w:w="0" w:type="dxa"/>
        <w:tblLayout w:type="fixed"/>
        <w:tblCellMar>
          <w:top w:w="28" w:type="dxa"/>
          <w:left w:w="28" w:type="dxa"/>
          <w:bottom w:w="28" w:type="dxa"/>
          <w:right w:w="28" w:type="dxa"/>
        </w:tblCellMar>
      </w:tblPr>
      <w:tblGrid>
        <w:gridCol w:w="1361"/>
        <w:gridCol w:w="1200"/>
        <w:gridCol w:w="1204"/>
        <w:gridCol w:w="294"/>
        <w:gridCol w:w="634"/>
        <w:gridCol w:w="167"/>
        <w:gridCol w:w="109"/>
        <w:gridCol w:w="109"/>
        <w:gridCol w:w="109"/>
        <w:gridCol w:w="196"/>
        <w:gridCol w:w="42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2026</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legal and regulatory matters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Accrued shopper and merchant liability </w:t>
            </w:r>
            <w:r>
              <w:rPr>
                <w:rFonts w:ascii="Times New Roman;serif" w:hAnsi="Times New Roman;serif"/>
                <w:b w:val="false"/>
                <w:color w:val="000000"/>
                <w:sz w:val="12"/>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advertising</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professional, legal, and contractor services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indirect tax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Insurance reserves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Advances from payment card issuer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Gift cards and rewards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634 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Accrued merchant liability primarily includes liabilities to certain retailers for payment of goods.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2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856"/>
        <w:gridCol w:w="856"/>
        <w:gridCol w:w="12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Commitments and Contingencies</w:t>
            </w:r>
          </w:p>
        </w:tc>
      </w:tr>
    </w:tbl>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Leases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primarily include corporate offices and warehouse space. The lease terms of operating leases vary from one year to nine years, with expirations through June 2034. The Company has leases that include one or more options to extend the lease term for up to seven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and hence are not recognized as part of the Company’s operating lease liabilities and operating lease right-of-use assets.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Company did not modify, enter into, or acquire any material leasing arrangements for the </w:t>
      </w:r>
      <w:r>
        <w:rPr>
          <w:rFonts w:ascii="Times New Roman;serif" w:hAnsi="Times New Roman;serif"/>
          <w:b w:val="false"/>
          <w:color w:val="000000"/>
          <w:sz w:val="20"/>
        </w:rPr>
        <w:t>three or six months ended June 30, 2025 or 2026.</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Sales and Indirect Taxes</w:t>
      </w:r>
    </w:p>
    <w:p>
      <w:pPr>
        <w:pStyle w:val="TextBody"/>
        <w:bidi w:val="0"/>
        <w:spacing w:lineRule="auto" w:line="288" w:before="0" w:after="0"/>
        <w:ind w:left="0" w:right="0" w:firstLine="360"/>
        <w:jc w:val="both"/>
        <w:rPr/>
      </w:pPr>
      <w:r>
        <w:rPr>
          <w:rFonts w:ascii="Times New Roman;serif" w:hAnsi="Times New Roman;serif"/>
          <w:b w:val="false"/>
          <w:color w:val="231F20"/>
          <w:sz w:val="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the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Significant judgments are made by the Company in estimating these reserves which includes assessing the taxability of goods or services transacted using the Company’s technology platform. The Company maintains such reserves until the respective statute of limitations has passed or upon conclusion of an audit examination with the relevant tax authorities, at which point the tax exposure and related interest and penalties are released. The reserve balance was </w:t>
      </w:r>
      <w:r>
        <w:rPr>
          <w:rFonts w:ascii="Times New Roman;serif" w:hAnsi="Times New Roman;serif"/>
          <w:b w:val="false"/>
          <w:color w:val="000000"/>
          <w:sz w:val="20"/>
        </w:rPr>
        <w:t>$13 million and</w:t>
      </w:r>
      <w:r>
        <w:rPr>
          <w:color w:val="231F20"/>
        </w:rPr>
        <w:t xml:space="preserve"> </w:t>
      </w:r>
      <w:r>
        <w:rPr>
          <w:rFonts w:ascii="Times New Roman;serif" w:hAnsi="Times New Roman;serif"/>
          <w:b w:val="false"/>
          <w:color w:val="000000"/>
          <w:sz w:val="20"/>
        </w:rPr>
        <w:t>$14 million</w:t>
      </w:r>
      <w:r>
        <w:rPr>
          <w:color w:val="000000"/>
        </w:rPr>
        <w:t xml:space="preserve"> </w:t>
      </w:r>
      <w:r>
        <w:rPr>
          <w:rFonts w:ascii="Times New Roman;serif" w:hAnsi="Times New Roman;serif"/>
          <w:b w:val="false"/>
          <w:color w:val="231F20"/>
          <w:sz w:val="20"/>
        </w:rPr>
        <w:t xml:space="preserve">as of December 31, 2025 and June 30, 2026, respectively, and was included within other long-term liabilities on the condensed consolidated balance sheets. The releases and losses recognized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231F20"/>
          <w:sz w:val="20"/>
        </w:rPr>
        <w:t xml:space="preserve">to these reserves, net of audit payments, for the </w:t>
      </w:r>
      <w:r>
        <w:rPr>
          <w:rFonts w:ascii="Times New Roman;serif" w:hAnsi="Times New Roman;serif"/>
          <w:b w:val="false"/>
          <w:color w:val="000000"/>
          <w:sz w:val="20"/>
        </w:rPr>
        <w:t>three and six months ended June 30, 2025 and 2026 were immaterial and were recorded within general and administrative expense in the condensed consolidated statements of operations.</w:t>
      </w:r>
    </w:p>
    <w:p>
      <w:pPr>
        <w:pStyle w:val="TextBody"/>
        <w:bidi w:val="0"/>
        <w:spacing w:lineRule="auto" w:line="288" w:before="240" w:after="240"/>
        <w:jc w:val="both"/>
        <w:rPr>
          <w:rFonts w:ascii="Times New Roman;serif" w:hAnsi="Times New Roman;serif"/>
          <w:b/>
          <w:i/>
          <w:color w:val="231F20"/>
          <w:sz w:val="20"/>
        </w:rPr>
      </w:pPr>
      <w:r>
        <w:rPr>
          <w:rFonts w:ascii="Times New Roman;serif" w:hAnsi="Times New Roman;serif"/>
          <w:b/>
          <w:i/>
          <w:color w:val="231F20"/>
          <w:sz w:val="20"/>
        </w:rPr>
        <w:t>Legal Matters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Independent Contractor Classification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on December 16, 2020, the California state ballot initiative, Proposition 22, which provides a framework that offers legal certainty regarding the status of independent workers offering delivery services in California and protects worker flexibility, the quality of on-demand work, and access to benefits for those who qualify, among other things, became effective. The Company provides appropriate worker benefits and other protections in accordance with Proposition 22, including guaranteed minimum earnings, healthcare subsidies, insurance, and safety trainings.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Further, any future judgments, settlements, or orders issued by a court or governmental body or otherwise in connection with any judicial, administrative, or legal proceeding that results in the Company being prohibited from continuing to engage with independent-contractor shoppers in the manner it currently does would likely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and in others, there is active litigation or proceedings.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been, is currently, and may in the future be involved in administrative audits with various state and local enforcement agencies, including audits related to shopper classification, state and local ordinance requirements, and unemployment insurance and workers’ compensation contributions. The Company is currently involved in such audits in several states. The Company believes that it complies with applicable legal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however, the Company records a liability within accrued and other current liabilities when it believes that it is both probable that a loss has been incurred and the amount can be estimated. The results of these audits, assessments, or any negotiated agreements with these agencies, may result in additional payments, including settlement payments, penalties, and interest, and such additional amounts could have a material impact on the Company’s business, financial conditions, results of operations, and cash flows.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currently involved in several putative class and collective actions, thousands of alleged individual claims, including those brought or threatened to be brought in arbitration or compelled to arbitrate pursuant to its independent contractor agreements,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FTC Investigation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staff of the Federal Trade Commission (“FTC”) asserted they had authority to enter into consent negotiations with the Company relating to certain of its marketing and Instacart+ membership program practices. Following extensive discussions with staff of the FTC, the Company agreed to enter into a consent order to conclude the FTC’s investigation, which became final on January 13, 2026. The consent order does not include any admission of liability. Pursuant to the consent order, the Company is required to pay $60 million to the FTC, which was included in accrued and other current liabilities on the consolidated balance sheet as of December 31, 2025, and subsequently paid in January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Besides the matters described above, the Company and its subsidiaries are regularly subject to claims, lawsuits, arbitration proceedings, administrative actions, government investigations, and other legal and regulatory proceedings involving unpaid wages, missed breaks, premium or overtime pay, hazard pay, inadequate notice under the Worker Adjustment and Retraining Notification Act or its state equivalent, retaliation, denial of or interference with leave of absence, improper application of the Company’s paid time off or other policies, discrimination or harassment based on a protected characteristic, wrongful termination, failure to accommodate a disability, unfair labor practices, personal injury, intellectual property, including patent infringement, property damage, securities and stockholder claims, commercial and contract disputes, unfair competition, marketing claims, consumer protection claims, including auto-renewal practices, pricing, and fees, data protection and privacy, environmental claims, health and safety, appropriate disclosures of worker and customer rights and entitlements, weights and measures, compliance with regulatory requirements, and other matters.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To the extent the Company has agreed to settle outstanding claims or where the Company has concluded it is probable that a resolution may be reached at an amount of loss that is estimable, the</w:t>
      </w:r>
      <w:r>
        <w:rPr>
          <w:color w:val="000000"/>
        </w:rPr>
        <w:t xml:space="preserve"> </w:t>
      </w:r>
      <w:r>
        <w:rPr>
          <w:rFonts w:ascii="Times New Roman;serif" w:hAnsi="Times New Roman;serif"/>
          <w:b w:val="false"/>
          <w:color w:val="000000"/>
          <w:sz w:val="20"/>
        </w:rPr>
        <w:t xml:space="preserve">loss has been recognized within general and administrative expense in the condensed consolidated statements of operations. During periods where the settled amount is less than the loss reserved or if the Company estimates that an outstanding claim is less than that previously recorded, the Company will recognize a reserve release related to the claims within general and administrative expense in the condensed consolidated statements of operations. For the three months ended June 30, 2025 and 2026, the Company recognized a loss of an immaterial amount and a net reserve release of $14 million related to these claims, respectively. For the six months ended June 30, 2025 and 2026, the Company recognized a loss of $45 million and a net reserve release of $10 million related to these claims, respectively. </w:t>
      </w:r>
      <w:r>
        <w:rPr>
          <w:rFonts w:ascii="Times New Roman;serif" w:hAnsi="Times New Roman;serif"/>
          <w:b w:val="false"/>
          <w:color w:val="231F20"/>
          <w:sz w:val="20"/>
        </w:rPr>
        <w:t>The actual losses incurred on claims that have not been resolved may differ from the initial estimates of loss, and such differences could be material.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condensed consolidated statements of operations. The results of these audits may result in additional payments, penalties, and interest, and such additional amounts could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231F20"/>
          <w:sz w:val="20"/>
        </w:rPr>
      </w:pPr>
      <w:r>
        <w:rPr>
          <w:rFonts w:ascii="Times New Roman;serif" w:hAnsi="Times New Roman;serif"/>
          <w:b w:val="false"/>
          <w:i/>
          <w:color w:val="231F2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42"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58"/>
        <w:gridCol w:w="158"/>
        <w:gridCol w:w="22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Debt</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On May 1, 2026, the Company entered into a revolving credit agreement with certain lenders (the “Credit Agreement”), providing for a $500 million unsecured revolving credit facility maturing on April 30, 2031, with a sublimit for the issuance of letters of credit in an aggregate face amount of up to $150 million, which reduce the amount the Company can borrow. Proceeds from any borrowings under the Credit Agreement may be used for working capital and general corporate purposes. </w:t>
      </w:r>
      <w:r>
        <w:rPr>
          <w:rFonts w:ascii="Times New Roman;serif" w:hAnsi="Times New Roman;serif"/>
          <w:b w:val="false"/>
          <w:color w:val="000000"/>
          <w:sz w:val="20"/>
          <w:shd w:fill="FFFFFF" w:val="clear"/>
        </w:rPr>
        <w:t>The Company is required to pay a commitment fee of 0.10% per annum on the average daily unused amount of the revolving commitments.</w:t>
      </w:r>
    </w:p>
    <w:p>
      <w:pPr>
        <w:pStyle w:val="TextBody"/>
        <w:bidi w:val="0"/>
        <w:spacing w:before="0" w:after="0"/>
        <w:ind w:left="0" w:right="0" w:firstLine="720"/>
        <w:jc w:val="both"/>
        <w:rPr/>
      </w:pPr>
      <w:r>
        <w:rPr/>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 xml:space="preserve">The Credit Agreement contains customary events of default, certain financial covenants, and other affirmative and negative covenants that restrict the Company’s ability and certain of its subsidiaries’ ability to, among others, incur indebtedness, create liens, make fundamental changes, make restricted payments, make certain investments, and enter into certain transactions with affiliates.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w:t>
      </w:r>
      <w:r>
        <w:rPr>
          <w:color w:val="000000"/>
        </w:rPr>
        <w:t xml:space="preserve"> </w:t>
      </w:r>
      <w:r>
        <w:rPr>
          <w:rFonts w:ascii="Times New Roman;serif" w:hAnsi="Times New Roman;serif"/>
          <w:b w:val="false"/>
          <w:color w:val="000000"/>
          <w:sz w:val="20"/>
        </w:rPr>
        <w:t xml:space="preserve">was in compliance </w:t>
      </w:r>
      <w:r>
        <w:rPr>
          <w:rFonts w:ascii="Times New Roman;serif" w:hAnsi="Times New Roman;serif"/>
          <w:b w:val="false"/>
          <w:color w:val="000000"/>
          <w:sz w:val="20"/>
          <w:shd w:fill="FFFFFF" w:val="clear"/>
        </w:rPr>
        <w:t>with all covenants under the Credit Agreement.</w:t>
      </w:r>
    </w:p>
    <w:p>
      <w:pPr>
        <w:pStyle w:val="TextBody"/>
        <w:bidi w:val="0"/>
        <w:spacing w:lineRule="auto" w:line="288" w:before="0" w:after="240"/>
        <w:ind w:left="0" w:right="0" w:firstLine="360"/>
        <w:jc w:val="both"/>
        <w:rPr/>
      </w:pPr>
      <w:r>
        <w:rPr>
          <w:rFonts w:ascii="Times New Roman;serif" w:hAnsi="Times New Roman;serif"/>
          <w:b w:val="false"/>
          <w:color w:val="000000"/>
          <w:sz w:val="20"/>
        </w:rPr>
        <w:t>As of June 30, 2026</w:t>
      </w:r>
      <w:r>
        <w:rPr>
          <w:rFonts w:ascii="Times New Roman;serif" w:hAnsi="Times New Roman;serif"/>
          <w:b w:val="false"/>
          <w:color w:val="000000"/>
          <w:sz w:val="20"/>
          <w:shd w:fill="FFFFFF" w:val="clear"/>
        </w:rPr>
        <w:t>, there were no revolving loans outstanding under the Credit Agreement. Debt issuance costs incurred in securing the Credit Agreement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57"/>
        <w:gridCol w:w="1057"/>
        <w:gridCol w:w="150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Series A Redeemable Convertible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subsequent to the closing of the initial public offering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$30.65, an expected term of approximately seven years, an expected volatility of 54%, and a discount for lack of marketability of 35%.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the Series A redeemable convertible preferred stock are as follows: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Seniority; Liquidation Preference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 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Stated Value for the Series A redeemable convertible preferred stock on a given date is defined as the sum of (i) the original issue price of the Series A redeemable convertible preferred stock, automatically increased at an annual rate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5.0%, compounding on each anniversary of the issue date, through such date, and (ii) on an as-converted to common stock basis, the pro rata portion of any cash dividends or distributions that the Company pays on its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10-Day VWAP is defined as the average of the volume-weighted average price (“VWAP”) per share of common stock for each of the 10 consecutive trading days ending on, and including, the trading day immediately before the date of determination.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and after the seventh anniversary of the issue date of the Series A redeemable convertible preferred stock, at any time when the 10-Day VWAP exceeds the conversion price of the Series A redeemable convertible preferred stock, all outstanding shares of Series A redeemable convertible preferred stock will automatically convert into a number of shares of the Company’s common stock equal to the Conversion Ratio on such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at the conversion price on such date. If there is a Conversion Shortfall (as defined below), the holder will receive an additional number of shares of common stock equal to the Conversion Shortfall divided by the 10-Day VWAP immediately prior to such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price for the Series A redeemable convertible preferred stock is not subject to adjustment, except for customary adjustments for stock splits, stock dividends, recapitalizations, reorganizations and similar corporate 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Redemption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regulatory events or strategic actions by the Company or the holder, the Company or the holder, as applicable, has the right to elect to redeem all outstanding shares of Series A redeemable convertible preferred stock at the Stated Value, if the 10-Day VWAP immediately prior to the date of such event does not exceed the conversion price, or convert all outstanding shares of Series A redeemable convertible preferred stock into a number of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Company’s common stock equal to the then-applicable conversion ratio, in case the 10-Day VWAP immediately prior to the date of such event exceeds the conversion price.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its Series A redeemable convertible preferred stock outside of stockholders’ equity as mezzanine equity because the shares contain redemption features that are not solely within the Company’s control. The Company is required to accrete the carrying value of the Series A redeemable convertible preferred stock to its redemption value over the period from issuance through redemption date. The accretion was $2 million for each of the three months ended June 30, 2025 and 2026 and $5 million for each of the six months ended June 30, 2025 and 2026.</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Voting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rank senior to or pari passu with the Series A redeemable convertible preferred stock (other than, in certain cases, new shares of Series A redeemable convertible preferred stock or new series of preferred stock with substantially similar terms as the Series A redeemable convertible preferred stock) and the declaration or payment of cash dividends on shares other than the Series A redeemable convertible preferred stock in excess of a 5.0% annual dividend yield.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or paid for the three or six months ended June 30, 2025 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61"/>
        <w:gridCol w:w="561"/>
        <w:gridCol w:w="79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Company’s board of directors authorized a $500 million share repurchase program, which was subsequently increased to $750 million, $1 billion, $2.5 billion, and $3.5 billion in November 2024, May 2025, November 2025, and April 2026,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repurchased and immediately retired a total of 7,825,070 and 17,199,917 shares of its common stock, respectively, for an aggregate amount, including broker commissions, fees, and excise taxes, of $327 million and $728 million, respectively, under this share repurchase program, which, for the six months ended June 30, 2026, included shares received and immediately retired upon the completion of the ASR Agreement (as described below). As of June 30, 2026, the Company had $998 million remaining available to repurchase shares pursuant to the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10, 2025, the Company entered into the ASR Agreement with a third-party financial institution to repurchase $250 million of the Company’s common stock. Pursuant to the terms of the ASR Agreement, the Company paid $250 million to the financial institution and received and immediately retired an initial delivery of 5,357,621 shares of common stock on November 12, 2025, representing 80% of the value of the $250 million payment. As of December 31, 2025, $50 million of the ASR Agreement was reflected as a forward contract within stockholders’ equity on the consolidated balance sheet. In January 2026, repurchases under the ASR Agreement were completed. The final number of shares of common stock repurchased was based on the VWAP of the Company’s common stock during the repurchase period, less a negotiated discount. The Company received and immediately retired an additional 553,349 shares in January 2026.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share repurchases in excess of issuances are subject to a 1% excise tax enacted by the Inflation Reduction Act. For the three and six months ended June 30, 2026, the excise tax recognized as part of the cost basis of shares acquired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reserved for future issuance on an as-converted basis:</w:t>
      </w:r>
    </w:p>
    <w:p>
      <w:pPr>
        <w:pStyle w:val="TextBody"/>
        <w:bidi w:val="0"/>
        <w:spacing w:before="0" w:after="0"/>
        <w:jc w:val="both"/>
        <w:rPr/>
      </w:pPr>
      <w:r>
        <w:rPr/>
      </w:r>
    </w:p>
    <w:tbl>
      <w:tblPr>
        <w:tblW w:w="7994" w:type="dxa"/>
        <w:jc w:val="left"/>
        <w:tblInd w:w="0" w:type="dxa"/>
        <w:tblLayout w:type="fixed"/>
        <w:tblCellMar>
          <w:top w:w="28" w:type="dxa"/>
          <w:left w:w="28" w:type="dxa"/>
          <w:bottom w:w="28" w:type="dxa"/>
          <w:right w:w="28" w:type="dxa"/>
        </w:tblCellMar>
      </w:tblPr>
      <w:tblGrid>
        <w:gridCol w:w="2000"/>
        <w:gridCol w:w="1753"/>
        <w:gridCol w:w="1766"/>
        <w:gridCol w:w="364"/>
        <w:gridCol w:w="364"/>
        <w:gridCol w:w="366"/>
        <w:gridCol w:w="109"/>
        <w:gridCol w:w="109"/>
        <w:gridCol w:w="109"/>
        <w:gridCol w:w="385"/>
        <w:gridCol w:w="351"/>
        <w:gridCol w:w="318"/>
      </w:tblGrid>
      <w:tr>
        <w:trPr/>
        <w:tc>
          <w:tcPr>
            <w:tcW w:w="20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As of</w:t>
            </w:r>
          </w:p>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June 30,</w:t>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15,959 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19,229 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6,489 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6,018 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2023 Equity Incentive Plan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54,419 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56,396 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2023 Employee Stock Purchase Plan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12,400 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14,829 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95,100 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102,305 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common stock are entitled to receive dividends out of funds that are legally available, when and if declared by the board of directors and subject to the approval from the holders of the Series A redeemable convertible preferred stock. No dividends were declared or paid for the three or six months ended June 30, 2025 or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automatic increase feature of the 2023 Equity Incentive Plan, during the three months ended March 31, 2026, an additional 12,143,367 shares were reserved for issuance effective January 1,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stock options during the six months ended June 30, 2026:</w:t>
      </w:r>
    </w:p>
    <w:tbl>
      <w:tblPr>
        <w:tblW w:w="10205" w:type="dxa"/>
        <w:jc w:val="left"/>
        <w:tblInd w:w="0" w:type="dxa"/>
        <w:tblLayout w:type="fixed"/>
        <w:tblCellMar>
          <w:top w:w="28" w:type="dxa"/>
          <w:left w:w="28" w:type="dxa"/>
          <w:bottom w:w="28" w:type="dxa"/>
          <w:right w:w="28" w:type="dxa"/>
        </w:tblCellMar>
      </w:tblPr>
      <w:tblGrid>
        <w:gridCol w:w="612"/>
        <w:gridCol w:w="469"/>
        <w:gridCol w:w="471"/>
        <w:gridCol w:w="109"/>
        <w:gridCol w:w="278"/>
        <w:gridCol w:w="278"/>
        <w:gridCol w:w="109"/>
        <w:gridCol w:w="399"/>
        <w:gridCol w:w="300"/>
        <w:gridCol w:w="301"/>
        <w:gridCol w:w="196"/>
        <w:gridCol w:w="556"/>
        <w:gridCol w:w="109"/>
        <w:gridCol w:w="372"/>
        <w:gridCol w:w="1057"/>
        <w:gridCol w:w="209"/>
        <w:gridCol w:w="140"/>
        <w:gridCol w:w="140"/>
        <w:gridCol w:w="141"/>
        <w:gridCol w:w="674"/>
        <w:gridCol w:w="674"/>
        <w:gridCol w:w="675"/>
        <w:gridCol w:w="196"/>
        <w:gridCol w:w="421"/>
        <w:gridCol w:w="109"/>
        <w:gridCol w:w="305"/>
        <w:gridCol w:w="657"/>
        <w:gridCol w:w="248"/>
      </w:tblGrid>
      <w:tr>
        <w:trPr/>
        <w:tc>
          <w:tcPr>
            <w:tcW w:w="6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Weighted-Average Exercise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Price</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years)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Options vested and exercisable as of June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restricted stock units (“RSUs”) during the six months ended June 30, 2026:</w:t>
      </w:r>
    </w:p>
    <w:p>
      <w:pPr>
        <w:pStyle w:val="TextBody"/>
        <w:bidi w:val="0"/>
        <w:spacing w:before="0" w:after="0"/>
        <w:jc w:val="both"/>
        <w:rPr/>
      </w:pPr>
      <w:r>
        <w:rPr/>
      </w:r>
    </w:p>
    <w:tbl>
      <w:tblPr>
        <w:tblW w:w="7855" w:type="dxa"/>
        <w:jc w:val="left"/>
        <w:tblInd w:w="0" w:type="dxa"/>
        <w:tblLayout w:type="fixed"/>
        <w:tblCellMar>
          <w:top w:w="28" w:type="dxa"/>
          <w:left w:w="28" w:type="dxa"/>
          <w:bottom w:w="28" w:type="dxa"/>
          <w:right w:w="28" w:type="dxa"/>
        </w:tblCellMar>
      </w:tblPr>
      <w:tblGrid>
        <w:gridCol w:w="1280"/>
        <w:gridCol w:w="1126"/>
        <w:gridCol w:w="1134"/>
        <w:gridCol w:w="469"/>
        <w:gridCol w:w="469"/>
        <w:gridCol w:w="471"/>
        <w:gridCol w:w="109"/>
        <w:gridCol w:w="109"/>
        <w:gridCol w:w="109"/>
        <w:gridCol w:w="556"/>
        <w:gridCol w:w="1583"/>
        <w:gridCol w:w="44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Weighted-Average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Grant-Date Fair Value per Share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January 1, 2026</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15,959 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(7,099)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42.13 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Vested and not settled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46.77 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June 30, 2026</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19,181 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 Expense Summary</w:t>
      </w:r>
    </w:p>
    <w:p>
      <w:pPr>
        <w:pStyle w:val="TextBody"/>
        <w:bidi w:val="0"/>
        <w:spacing w:before="0" w:after="0"/>
        <w:jc w:val="both"/>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by line item in the condensed consolidated statements of operations:</w:t>
      </w:r>
    </w:p>
    <w:p>
      <w:pPr>
        <w:pStyle w:val="TextBody"/>
        <w:bidi w:val="0"/>
        <w:spacing w:before="0" w:after="0"/>
        <w:jc w:val="left"/>
        <w:rPr/>
      </w:pPr>
      <w:r>
        <w:rPr/>
      </w:r>
    </w:p>
    <w:tbl>
      <w:tblPr>
        <w:tblW w:w="7698" w:type="dxa"/>
        <w:jc w:val="left"/>
        <w:tblInd w:w="0" w:type="dxa"/>
        <w:tblLayout w:type="fixed"/>
        <w:tblCellMar>
          <w:top w:w="28" w:type="dxa"/>
          <w:left w:w="28" w:type="dxa"/>
          <w:bottom w:w="28" w:type="dxa"/>
          <w:right w:w="28" w:type="dxa"/>
        </w:tblCellMar>
      </w:tblPr>
      <w:tblGrid>
        <w:gridCol w:w="1086"/>
        <w:gridCol w:w="955"/>
        <w:gridCol w:w="958"/>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221 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$659 million of unrecognized stock-based compensation expense related to unvested awards which are expected to vest and to be recognized over a weighted-average period of 1.50 years.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The amount of stock-based compensation expense capitalized related to the development of internal-use software was $12 million and</w:t>
      </w:r>
      <w:r>
        <w:rPr>
          <w:color w:val="000000"/>
        </w:rPr>
        <w:t xml:space="preserve"> </w:t>
      </w:r>
      <w:r>
        <w:rPr>
          <w:rFonts w:ascii="Times New Roman;serif" w:hAnsi="Times New Roman;serif"/>
          <w:b w:val="false"/>
          <w:color w:val="000000"/>
          <w:sz w:val="20"/>
        </w:rPr>
        <w:t>$9 million for the three months ended June 30, 2025 and 2026, respectively. The amount of stock-based compensation expense capitalized related to the development of internal-use software was $23 million and $21 million for the six months ended June 30, 2025 and 2026, respectively.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Employee Stock Purchase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had been no offering period or purchase period under the ESPP, and no such period will begin unless and until determined by the Company’s board of directors, or its compensation committee under its delegation, as the administrator of the ESPP. Pursuant to the automatic increase feature of the ESPP, during the three months ended March 31, 2026, an additional 2,428,673 shares were reserved for issuance under the ESPP effective January 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203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390"/>
        <w:gridCol w:w="390"/>
        <w:gridCol w:w="55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Taxes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is determined using an estimated annual effective tax rate, adjusted for discrete items arising in that quarter.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each period presented are the result of the mix of income earned in various tax jurisdictions that apply a broad range of income tax rates. The Company’s effective tax rate was 18.2% and 24.5% for the three months ended June 30, 2025 and 2026, respectively. The Company’s effective tax rate was 16.3% and 23.8% for the six months ended June 30, 2025 and 2026, respectively. The Company’s provision for income taxes varied from the tax computed at the U.S. federal statutory income tax rate primarily due to tax effects of stock-based compensation recognized, U.S. research and development credits generated, and the income taxes generated in U.S. states and foreign jurisdictions.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533"/>
        <w:gridCol w:w="1533"/>
        <w:gridCol w:w="216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income per share attributable to common stockholders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33"/>
        <w:gridCol w:w="1424"/>
        <w:gridCol w:w="1428"/>
        <w:gridCol w:w="306"/>
        <w:gridCol w:w="643"/>
        <w:gridCol w:w="150"/>
        <w:gridCol w:w="150"/>
        <w:gridCol w:w="150"/>
        <w:gridCol w:w="150"/>
        <w:gridCol w:w="306"/>
        <w:gridCol w:w="643"/>
        <w:gridCol w:w="150"/>
        <w:gridCol w:w="133"/>
        <w:gridCol w:w="133"/>
        <w:gridCol w:w="133"/>
        <w:gridCol w:w="291"/>
        <w:gridCol w:w="607"/>
        <w:gridCol w:w="141"/>
        <w:gridCol w:w="141"/>
        <w:gridCol w:w="141"/>
        <w:gridCol w:w="141"/>
        <w:gridCol w:w="291"/>
        <w:gridCol w:w="607"/>
        <w:gridCol w:w="213"/>
      </w:tblGrid>
      <w:tr>
        <w:trPr/>
        <w:tc>
          <w:tcPr>
            <w:tcW w:w="173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8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 except share amounts, which are reflected in thousands, and per share amounts)</w:t>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Numerator:</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Accretion related to Series A redeemable convertible preferred stock</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basic</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 Accretion related to Series A redeemable convertible preferred stock</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diluted</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Denominator:</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basic net income per share attributable to common stockholders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262,588 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234,928 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262,511 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237,089 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Unvested restricted non-voting common stock</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diluted net income per share attributable to common stockholders</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281,293 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248,935 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282,117 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251,254 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color w:val="000000"/>
                <w:sz w:val="18"/>
              </w:rPr>
            </w:pPr>
            <w:r>
              <w:rPr>
                <w:rFonts w:ascii="Times New Roman;serif" w:hAnsi="Times New Roman;serif"/>
                <w:b/>
                <w:color w:val="000000"/>
                <w:sz w:val="18"/>
              </w:rPr>
              <w:t>Net income per share attributable to common stockholders:</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computation of diluted income per share attributable to common stockholders because their effect was not dilutive:</w:t>
      </w:r>
    </w:p>
    <w:tbl>
      <w:tblPr>
        <w:tblW w:w="6330" w:type="dxa"/>
        <w:jc w:val="left"/>
        <w:tblInd w:w="0" w:type="dxa"/>
        <w:tblLayout w:type="fixed"/>
        <w:tblCellMar>
          <w:top w:w="28" w:type="dxa"/>
          <w:left w:w="28" w:type="dxa"/>
          <w:bottom w:w="28" w:type="dxa"/>
          <w:right w:w="28" w:type="dxa"/>
        </w:tblCellMar>
      </w:tblPr>
      <w:tblGrid>
        <w:gridCol w:w="593"/>
        <w:gridCol w:w="518"/>
        <w:gridCol w:w="524"/>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3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thousands)</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384</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373</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373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4,235</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4,619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table above because they are subject to performance-based and / or market-based vesting conditions that were not achieved as of those dates:</w:t>
      </w:r>
    </w:p>
    <w:tbl>
      <w:tblPr>
        <w:tblW w:w="6330" w:type="dxa"/>
        <w:jc w:val="left"/>
        <w:tblInd w:w="0" w:type="dxa"/>
        <w:tblLayout w:type="fixed"/>
        <w:tblCellMar>
          <w:top w:w="28" w:type="dxa"/>
          <w:left w:w="28" w:type="dxa"/>
          <w:bottom w:w="28" w:type="dxa"/>
          <w:right w:w="28" w:type="dxa"/>
        </w:tblCellMar>
      </w:tblPr>
      <w:tblGrid>
        <w:gridCol w:w="592"/>
        <w:gridCol w:w="519"/>
        <w:gridCol w:w="524"/>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3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231F20"/>
                <w:sz w:val="16"/>
              </w:rPr>
            </w:pPr>
            <w:r>
              <w:rPr>
                <w:rFonts w:ascii="Times New Roman;serif" w:hAnsi="Times New Roman;serif"/>
                <w:b/>
                <w:color w:val="231F20"/>
                <w:sz w:val="16"/>
              </w:rPr>
              <w:t>(in thousands)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168</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70"/>
        <w:gridCol w:w="570"/>
        <w:gridCol w:w="8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Segment Information</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A description of how the Company derives revenues can be found in Note 2 — Significant Accounting Policies of the audited consolidated financial statements for the year ended December 31, 2025, which can be found in the Company’s Annual Report on Form 10-K. The Company’s chief executive officer is the Company’s Chief Operating Decision Maker (“CODM”), who reviews financial information on a consolidated basis for purposes of making operating decisions, allocating resources, and evaluating financial performance. The CODM uses consolidated net income as the sole measure of segment profit or loss to make key operating decisions such as the allocation of the budget and monitoring budget versus actual results. The CODM does not evaluate operating segments using asset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net income include cost of revenue, operations and support, research and development, sales and marketing, general and administrative, which are each separately presented on the Company’s condensed consolidated statements of operations. Stock-based compensation expense is also a significant expense within net income. Refer to Note 13 — Stockholders’ Equity for additional information about the Company’s stock-based compensation expense. Other segment items include interest income, other income (expense), net, and income before provision for income taxes on the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 information is included in Note 3 — Revenue and Note 6 —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disclosed in our Annual Report on Form 10-K for the year ended December 31, 2025. The following discussion contains forward-looking statements that are based on current plans, expectations and beliefs that involve risks and uncertainties. Our actual results may differ materially from those anticipated in these forward-looking statements as a result of various factors, including, but not limited to, those identified below and those discussed in the section titled “Risk Factors” and other sections, including the “Special Note Regarding Forward-Looking Statements” of this Quarterly Report on Form 10-Q. Our historical results are not necessarily indicative of the results that may be expected for any period in the future.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purposes of clarity and ease of presentation, numbers presented within this section may not sum precisely to the totals provided. The underlying data used in the calculations, including percentages, is not rounded.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Instacart is the leading technology and enablement partner for the grocery industry — helping consumers save time, retailers run their businesses online and in-store, and connect brands with customers.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enable retail banners to grow by providing technology that can accelerate digital transformation of their business both online and in-store.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shopping for groceries, consumers want selection, quality, affordability, and convenience, and they shop in many different ways. Customers can place orders for delivery or pickup across a variety of use cases including the weekly shop, bulk stock-up, convenience, special occasions, from restaurants, and using our in-store technologies. We help our customers shop at their favorite retailers, order from their favorite restaurants, and enjoy selection, quality, affordability, and convenience. Our membership program, Instacart+, offers expanded customer benefits including unlimited $0 delivery fees on orders over a certain size, and other exclusive benefits.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Instacart Ads offers brands a highly measurable ads offering that leverages first-party transaction data to move products off store shelves more efficiently. We provide discovery and attractive return on investment through our industry-leading advertising tools and insights purpose-built for the online grocery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shoppers an immediate, flexible earnings opportunity that allows them to choose when and how much to work. Shoppers are deeply valued members of the Instacart community, and we strive to make the shopping experience as seamless as possible so they can continue to deliver superior customer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Impacts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customer acquisition and retention, and key business metrics, including GTV and orders, may be impacted by macroeconomic trends affecting our markets and industry and consumer shopping habits, such as inflation and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its impact on consumer behavior, and the effects of severe weather patterns.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Shopper Classification Developments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state of the law regarding independent contractor status of Instacart shoppers varies from jurisdiction to jurisdiction and among governmental agencies and is subject to change based on court decisions, administrative or agency determinations, new or changing regulations, and other legal and regulatory proceedings.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jurisdictions have adopted, and may adopt in the future, regulations that impact whether we can or should classify shoppers as independent contractors. For example, Proposition 22 in California provides a framework that offers more legal certainty regarding the status of independent workers offering delivery services and entitles shoppers in California to certain pay standards and benefits, which increases costs for us to operate in California. However, there may continue to be legal challenges, or legislative or other attempts to amend or otherwise invalidate the benefits, protections, or independent worker status provided by Proposition 22. To date, no such challenges have been successful. Additionally, we may face allegations that certain of our business practices do not satisfy all the elements of Proposition 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experience and expect to continue experiencing challenges to the independent contractor classification of shoppers who use Instacart in other jurisdictions in which we operate, as well as the imposition of additional requirements on the use of contractors. Any successful challenges, changes in law, or other legal uncertainty with respect to independent contractor classification, or requirements related to the use of contractors, may adversely impact our financial condition, business, and results of operations. For additional information about the risks to our business related to independent contractor classification, see the section titled “Risk Factors—Risks Related to Our Legal and Regulatory Environment—Our business is subject to various laws and regulations, which may change or increase over time and subject us to increased compliance costs and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Financial and Operational Highlights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following financial and key business metrics to help us evaluate the health of our business, identify trends affecting our performance, formulate business plans, and make strategic decisions: </w:t>
      </w:r>
    </w:p>
    <w:p>
      <w:pPr>
        <w:pStyle w:val="TextBody"/>
        <w:bidi w:val="0"/>
        <w:spacing w:before="0" w:after="0"/>
        <w:jc w:val="left"/>
        <w:rPr/>
      </w:pPr>
      <w:r>
        <w:rPr/>
      </w:r>
    </w:p>
    <w:tbl>
      <w:tblPr>
        <w:tblW w:w="6766" w:type="dxa"/>
        <w:jc w:val="left"/>
        <w:tblInd w:w="0" w:type="dxa"/>
        <w:tblLayout w:type="fixed"/>
        <w:tblCellMar>
          <w:top w:w="28" w:type="dxa"/>
          <w:left w:w="28" w:type="dxa"/>
          <w:bottom w:w="28" w:type="dxa"/>
          <w:right w:w="28" w:type="dxa"/>
        </w:tblCellMar>
      </w:tblPr>
      <w:tblGrid>
        <w:gridCol w:w="1106"/>
        <w:gridCol w:w="977"/>
        <w:gridCol w:w="992"/>
        <w:gridCol w:w="326"/>
        <w:gridCol w:w="181"/>
        <w:gridCol w:w="427"/>
        <w:gridCol w:w="181"/>
        <w:gridCol w:w="181"/>
        <w:gridCol w:w="181"/>
        <w:gridCol w:w="326"/>
        <w:gridCol w:w="181"/>
        <w:gridCol w:w="427"/>
        <w:gridCol w:w="109"/>
        <w:gridCol w:w="109"/>
        <w:gridCol w:w="109"/>
        <w:gridCol w:w="210"/>
        <w:gridCol w:w="211"/>
        <w:gridCol w:w="532"/>
      </w:tblGrid>
      <w:tr>
        <w:trPr/>
        <w:tc>
          <w:tcPr>
            <w:tcW w:w="110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9,081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Orders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82.7</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914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678</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74 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72 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Gross profit as a percent of GTV</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7.5 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7.3 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income as a percent of revenue</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13 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11 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income as a percent of GTV</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1.3 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1.1 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262</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i/>
                <w:color w:val="000000"/>
                <w:sz w:val="18"/>
              </w:rPr>
              <w:t xml:space="preserve">Adjusted EBITDA margin </w:t>
            </w:r>
            <w:r>
              <w:rPr>
                <w:rFonts w:ascii="Times New Roman;serif" w:hAnsi="Times New Roman;serif"/>
                <w:b w:val="false"/>
                <w:i/>
                <w:color w:val="000000"/>
                <w:sz w:val="12"/>
              </w:rPr>
              <w:t>(1)</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29 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30 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i/>
                <w:color w:val="000000"/>
                <w:sz w:val="18"/>
              </w:rPr>
              <w:t xml:space="preserve">Adjusted EBITDA as a percent of GTV </w:t>
            </w:r>
            <w:r>
              <w:rPr>
                <w:rFonts w:ascii="Times New Roman;serif" w:hAnsi="Times New Roman;serif"/>
                <w:b w:val="false"/>
                <w:i/>
                <w:color w:val="000000"/>
                <w:sz w:val="12"/>
              </w:rPr>
              <w:t>(1)</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2.9 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3.0 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231F20"/>
                <w:sz w:val="18"/>
              </w:rPr>
            </w:pPr>
            <w:r>
              <w:rPr>
                <w:rFonts w:ascii="Times New Roman;serif" w:hAnsi="Times New Roman;serif"/>
                <w:b w:val="false"/>
                <w:i/>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203</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Free cash flow </w:t>
            </w:r>
            <w:r>
              <w:rPr>
                <w:rFonts w:ascii="Times New Roman;serif" w:hAnsi="Times New Roman;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187</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EBITDA, Adjusted EBITDA as a percent of GTV, Adjusted EBITDA margin, and free cash flow are non-GAAP financial measures. For more information regarding our use of these measures and reconciliation to the most directly comparable financial measures calculated in accordance with GAAP, see the section titled “—Non-GAAP Financial Measures.”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Transaction Value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We have experienced and expect to continue to experience fluctuations in GTV growth, including due to the macroeconomic conditions described above, changes in customer and retailer engagement, and the effects of our strategic initiatives.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GTV increased to $10,351 million, or 14% growth, compared to the same period of 2025, primarily driven by the increase in orders and higher average order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orders increased to 90.3 million, or 9% growth, compared to the same period of 2025, driven primarily by new customers and increased engagement of existing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Gross Margin, and Gross Profit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Gross profit is defined as revenue less cost of revenue, and gross margin is defined as gross profit as a percent of revenue. We believe that gross profit, gross margin, and gross profit as a percent of GTV are important indicators of the growth and efficiencies of our business.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second quarter of 2026, </w:t>
      </w:r>
      <w:r>
        <w:rPr>
          <w:rFonts w:ascii="Times New Roman;serif" w:hAnsi="Times New Roman;serif"/>
          <w:b w:val="false"/>
          <w:color w:val="231F20"/>
          <w:sz w:val="20"/>
        </w:rPr>
        <w:t xml:space="preserve">gross profit </w:t>
      </w:r>
      <w:r>
        <w:rPr>
          <w:rFonts w:ascii="Times New Roman;serif" w:hAnsi="Times New Roman;serif"/>
          <w:b w:val="false"/>
          <w:color w:val="000000"/>
          <w:sz w:val="20"/>
        </w:rPr>
        <w:t>increase</w:t>
      </w:r>
      <w:r>
        <w:rPr>
          <w:rFonts w:ascii="Times New Roman;serif" w:hAnsi="Times New Roman;serif"/>
          <w:b w:val="false"/>
          <w:color w:val="231F20"/>
          <w:sz w:val="20"/>
        </w:rPr>
        <w:t xml:space="preserve">d to </w:t>
      </w:r>
      <w:r>
        <w:rPr>
          <w:rFonts w:ascii="Times New Roman;serif" w:hAnsi="Times New Roman;serif"/>
          <w:b w:val="false"/>
          <w:color w:val="000000"/>
          <w:sz w:val="20"/>
        </w:rPr>
        <w:t>$751 million</w:t>
      </w:r>
      <w:r>
        <w:rPr>
          <w:rFonts w:ascii="Times New Roman;serif" w:hAnsi="Times New Roman;serif"/>
          <w:b w:val="false"/>
          <w:color w:val="231F20"/>
          <w:sz w:val="20"/>
        </w:rPr>
        <w:t xml:space="preserve">, or 11% growth, compared to the same period of </w:t>
      </w:r>
      <w:r>
        <w:rPr>
          <w:rFonts w:ascii="Times New Roman;serif" w:hAnsi="Times New Roman;serif"/>
          <w:b w:val="false"/>
          <w:color w:val="000000"/>
          <w:sz w:val="20"/>
        </w:rPr>
        <w:t>2025, primarily driven by the increase in</w:t>
      </w:r>
      <w:r>
        <w:rPr>
          <w:color w:val="231F20"/>
        </w:rPr>
        <w:t xml:space="preserve"> </w:t>
      </w:r>
      <w:r>
        <w:rPr>
          <w:rFonts w:ascii="Times New Roman;serif" w:hAnsi="Times New Roman;serif"/>
          <w:b w:val="false"/>
          <w:color w:val="231F20"/>
          <w:sz w:val="20"/>
        </w:rPr>
        <w:t xml:space="preserve">total revenue. </w:t>
      </w:r>
      <w:r>
        <w:rPr>
          <w:rFonts w:ascii="Times New Roman;serif" w:hAnsi="Times New Roman;serif"/>
          <w:b w:val="false"/>
          <w:color w:val="000000"/>
          <w:sz w:val="20"/>
        </w:rPr>
        <w:t xml:space="preserve">Gross margin decreased by 2% to 72% in the second quarter of 2026, compared to the same period of 2025, primarily due to cost of revenue growing faster than revenue.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 Adjusted EBITDA as a Percent of GTV, and 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second quarter of 2026, Adjusted EBITDA increased to $313 million, or </w:t>
      </w:r>
      <w:r>
        <w:rPr>
          <w:rFonts w:ascii="Times New Roman;serif" w:hAnsi="Times New Roman;serif"/>
          <w:b w:val="false"/>
          <w:color w:val="231F20"/>
          <w:sz w:val="20"/>
        </w:rPr>
        <w:t>19%</w:t>
      </w:r>
      <w:r>
        <w:rPr>
          <w:color w:val="000000"/>
        </w:rPr>
        <w:t xml:space="preserve"> </w:t>
      </w:r>
      <w:r>
        <w:rPr>
          <w:rFonts w:ascii="Times New Roman;serif" w:hAnsi="Times New Roman;serif"/>
          <w:b w:val="false"/>
          <w:color w:val="000000"/>
          <w:sz w:val="20"/>
        </w:rPr>
        <w:t>growth, compared to the same period of 2025, primarily driven by a combination of strong GTV growth, higher advertising and other revenue, and operating leverage. Adjusted EBITDA, Adjusted EBITDA as a percent of GTV, and Adjusted EBITDA margin can vary significantly as we continue to make substantial investments to fuel our growth and scale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Free Cash Flow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purchases of property and equipment, including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second quarter of 2026, free cash flow increased to $480 million, or </w:t>
      </w:r>
      <w:r>
        <w:rPr>
          <w:rFonts w:ascii="Times New Roman;serif" w:hAnsi="Times New Roman;serif"/>
          <w:b w:val="false"/>
          <w:color w:val="231F20"/>
          <w:sz w:val="20"/>
        </w:rPr>
        <w:t>156%</w:t>
      </w:r>
      <w:r>
        <w:rPr>
          <w:rFonts w:ascii="Times New Roman;serif" w:hAnsi="Times New Roman;serif"/>
          <w:b w:val="false"/>
          <w:color w:val="000000"/>
          <w:sz w:val="20"/>
        </w:rPr>
        <w:t>, compared to the same period of 2025, primarily due to a large accounts receivable balance collected in the second quarter of 2026 compared to higher accounts receivable balances outstanding in the second quarter of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 transaction revenue and advertising and other revenue.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transaction revenue primarily from: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end users, whom we refer to as customers, (i) through service and delivery fees paid for arranging fulfillment services from shoppers and (ii) for monthly or annual Instacart+ memberships, our membership program, which offers unlimited $0 delivery fees on orders over a certain size, and other exclusive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retailers (i) through service fees in exchange for connecting retailers with customers to facilitate transactions on Instacart Marketplace and (ii) fees related to fulfillment for orders placed through retailers’ owned and operated online storefronts powered by Instacart Enterprise platform;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share agreements with third parties that supply payment cards to Instacart shoppers for in-store use.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We also expect the amounts of payments to shoppers, coupons, consumer and shopper incentives, and refunds to fluctuate over time depending on a number of factors. For example, implementation of additional fulfillment options, shifts in our ability to use shoppers, or regulatory changes related to our engagement of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activities that are recorded as reductions of revenue, such as promotions and consumer incentives, and activities that are recorded as sales and marketing expense, such as paid marketing and referrer credits. In certain cases, reductions of revenue can be more than fees received from retailers and customers. As a result of these factors, transaction revenue as a percent of GTV may fluctuate over time.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Advertising and Other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generate advertising and other revenue from:</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the sale of advertising services to brands that are interested in reaching customers;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certain partners for use of our software-as-a-service solution through Instacart Enterprise platform that enhances the omnichannel shopping experience, with revenue recognized over the subscription period as services are provided.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 is recognized upon delivery of clicks, upon delivery of impressions, over the contract term on a fixed fee basis, or upon redemptions of coupons. For advertising arrangements that involve third parties, we record advertising revenue on a gross or net basis based on 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Advertising and other revenue has historically been, and is expected to continue to be, seasonally high in the fourth quarter and seasonally low in the first quarter in a given year as a result of how advertisers deploy their budgets. In addition, we expect our advertising and other revenue growth rate and advertising and other investment rate </w:t>
      </w:r>
      <w:r>
        <w:rPr>
          <w:rFonts w:ascii="Times New Roman;serif" w:hAnsi="Times New Roman;serif"/>
          <w:b w:val="false"/>
          <w:color w:val="231F20"/>
          <w:sz w:val="20"/>
        </w:rPr>
        <w:t>(which we define as advertising and other revenue in a given period divided by GTV in such period) to continue to</w:t>
      </w:r>
      <w:r>
        <w:rPr>
          <w:color w:val="000000"/>
        </w:rPr>
        <w:t xml:space="preserve"> </w:t>
      </w:r>
      <w:r>
        <w:rPr>
          <w:rFonts w:ascii="Times New Roman;serif" w:hAnsi="Times New Roman;serif"/>
          <w:b w:val="false"/>
          <w:color w:val="000000"/>
          <w:sz w:val="20"/>
        </w:rPr>
        <w:t xml:space="preserve">fluctuate, particularly during periods of acceleration or decreases in our GTV growth. We also expect advertising and other investment rate to fluctuate during periods in which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 We also expect our advertising and other revenue growth to fluctuate in the near term due to changes in brand partner spend, including as a result of the macroeconomic factors described above and in response to our GTV growth trends, which may occur on a delayed basis, as well as changes in the mix of revenue contribution from advertising contracts in effect in a particular period and related recognition of advertising revenue on a gross or net basis.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primarily consists of third-party payment processing fees, depreciation expense and amortization expense of capitalized internal-use software and technology-related intangible assets, hosting fees, insurance costs attributed to fulfillment, payments to publishers, and expenses related to cancellations. Compensation costs include salaries, taxes, benefits, bonuses, and stock-based compensation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cost of revenue, exclusive of stock-based compensation expense, will increase on an absolute dollar basis and vary from period to period as a percent of revenue as we continue to grow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average order values, customer fee optimization, and levels of consumer incentives, (2) operational efficiencies, (3) negotiations with our retail partners, third-party payment processors, publishers, and hosting providers, and (4) macroeconomic factors as discussed above. As we continue to expand across fulfillment options and consumer use cases, we also expect to incur additional types of costs, such as certain labor costs, that can impact both our cost of revenue and profitability trends in the future. Additionally, we expect fluctuations in transaction revenue and advertising and other revenue as described above.</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Operations and Support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and support expense primarily consists of compensation costs for employees who support our operations, costs of customer and shopper support, costs to attract and onboard new shoppers, expenses related to software and subscriptions,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Operations and support expense, exclusive of stock-based compensation expense, may increase on an absolute dollar basis and vary from period to period as a percent of revenue and as a percent of GTV as we continue to invest in our operations and may hire additional employees, third-party consultants, and contractors to support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primarily consists of compensation costs for our engineering employees, costs related to subscriptions and software, hosting fees attributed to research and development, third-party consulting fees,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exclusive of stock-based compensation expense, may increase on an absolute dollar basis and vary from period to period as a percent of revenue and as a percent of GTV as we continue to invest in research and development activities relating to ongoing improvements to, and maintenance of, our offerings, including the hiring of engineering, product development, and design employees to support these efforts.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Sales and Marketing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primarily consists of advertising expenses, such as paid marketing, compensation costs for sales and marketing employees, third-party consulting fees, amortization expense of customer relationship intangible assets, and depreciation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exclusive of stock-based compensation expense, may increase on an absolute dollar basis and vary as a percent of revenue, and as a percent of GTV as we continue to invest in sales and marketing to attract and increase the engagement of customers on Instacart and increase our brand awareness. While we expect sales and marketing expense to be one of our largest operating expenses for the foreseeable future, the trend and timing of our sales and marketing expense will depend in large part on the timing and magnitude of our marketing campaigns.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primarily consists of compensation costs for administrative employees, including finance and accounting, human resources, policy, and legal; legal, regulatory, and policy expenses; third-party consulting fees; depreciation expense; amortization expense of patents and trademarks; and taxes.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exclusive of stock-based compensation expense, may increase on an absolute dollar basis and vary from period to period as a percent of revenue and as a percent of GTV as we continue to invest in processes, systems, and controls to enable our internal support functions to scale with the growth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gains and losses from transactions denominated in a currency other than the functional currency.</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our cash and cash equivalents, restricted cash and cash equivalents, and marketable securities.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Provision for (Benefit from) Income Taxes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consists primarily of income taxes in certain federal, state, local, and foreign jurisdictions in which we conduct business. Our provision for (benefit from) income taxes differs from the United States (“U.S.”) federal statutory income tax rate primarily due to the tax effects of stock-based compensation recognized, federal and California research and development credits generated, and the income taxes generated in U.S. states and foreign jurisdictions. Our future effective income tax rate depends on various factors, such as changes in tax laws, regulations, accounting principles, or interpretations thereof, and the geographic composition of our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results of operations for the periods indicated:</w:t>
      </w:r>
    </w:p>
    <w:tbl>
      <w:tblPr>
        <w:tblW w:w="7780" w:type="dxa"/>
        <w:jc w:val="left"/>
        <w:tblInd w:w="0" w:type="dxa"/>
        <w:tblLayout w:type="fixed"/>
        <w:tblCellMar>
          <w:top w:w="28" w:type="dxa"/>
          <w:left w:w="28" w:type="dxa"/>
          <w:bottom w:w="28" w:type="dxa"/>
          <w:right w:w="28" w:type="dxa"/>
        </w:tblCellMar>
      </w:tblPr>
      <w:tblGrid>
        <w:gridCol w:w="1112"/>
        <w:gridCol w:w="977"/>
        <w:gridCol w:w="986"/>
        <w:gridCol w:w="232"/>
        <w:gridCol w:w="498"/>
        <w:gridCol w:w="129"/>
        <w:gridCol w:w="129"/>
        <w:gridCol w:w="129"/>
        <w:gridCol w:w="129"/>
        <w:gridCol w:w="232"/>
        <w:gridCol w:w="658"/>
        <w:gridCol w:w="129"/>
        <w:gridCol w:w="109"/>
        <w:gridCol w:w="109"/>
        <w:gridCol w:w="109"/>
        <w:gridCol w:w="198"/>
        <w:gridCol w:w="561"/>
        <w:gridCol w:w="110"/>
        <w:gridCol w:w="110"/>
        <w:gridCol w:w="110"/>
        <w:gridCol w:w="110"/>
        <w:gridCol w:w="198"/>
        <w:gridCol w:w="561"/>
        <w:gridCol w:w="155"/>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Operations and support </w:t>
            </w:r>
            <w:r>
              <w:rPr>
                <w:rFonts w:ascii="Times New Roman;serif" w:hAnsi="Times New Roman;serif"/>
                <w:b w:val="false"/>
                <w:color w:val="000000"/>
                <w:sz w:val="12"/>
              </w:rPr>
              <w:t>(1)(2)</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(1)(2)</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Amounts include depreciation and amortization expense as follows:</w:t>
      </w:r>
    </w:p>
    <w:tbl>
      <w:tblPr>
        <w:tblW w:w="7129" w:type="dxa"/>
        <w:jc w:val="left"/>
        <w:tblInd w:w="0" w:type="dxa"/>
        <w:tblLayout w:type="fixed"/>
        <w:tblCellMar>
          <w:top w:w="28" w:type="dxa"/>
          <w:left w:w="28" w:type="dxa"/>
          <w:bottom w:w="28" w:type="dxa"/>
          <w:right w:w="28" w:type="dxa"/>
        </w:tblCellMar>
      </w:tblPr>
      <w:tblGrid>
        <w:gridCol w:w="1158"/>
        <w:gridCol w:w="1015"/>
        <w:gridCol w:w="1021"/>
        <w:gridCol w:w="228"/>
        <w:gridCol w:w="385"/>
        <w:gridCol w:w="126"/>
        <w:gridCol w:w="126"/>
        <w:gridCol w:w="126"/>
        <w:gridCol w:w="126"/>
        <w:gridCol w:w="228"/>
        <w:gridCol w:w="385"/>
        <w:gridCol w:w="126"/>
        <w:gridCol w:w="109"/>
        <w:gridCol w:w="109"/>
        <w:gridCol w:w="109"/>
        <w:gridCol w:w="209"/>
        <w:gridCol w:w="353"/>
        <w:gridCol w:w="116"/>
        <w:gridCol w:w="116"/>
        <w:gridCol w:w="116"/>
        <w:gridCol w:w="116"/>
        <w:gridCol w:w="209"/>
        <w:gridCol w:w="353"/>
        <w:gridCol w:w="16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4"/>
              </w:rPr>
            </w:pPr>
            <w:r>
              <w:rPr>
                <w:rFonts w:ascii="Times New Roman;serif" w:hAnsi="Times New Roman;serif"/>
                <w:b/>
                <w:color w:val="231F20"/>
                <w:sz w:val="14"/>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 expense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Amounts include stock-based compensation expense as follows:</w:t>
      </w:r>
    </w:p>
    <w:p>
      <w:pPr>
        <w:pStyle w:val="TextBody"/>
        <w:bidi w:val="0"/>
        <w:spacing w:before="0" w:after="0"/>
        <w:jc w:val="both"/>
        <w:rPr/>
      </w:pPr>
      <w:r>
        <w:rPr/>
      </w:r>
    </w:p>
    <w:tbl>
      <w:tblPr>
        <w:tblW w:w="6951" w:type="dxa"/>
        <w:jc w:val="left"/>
        <w:tblInd w:w="0" w:type="dxa"/>
        <w:tblLayout w:type="fixed"/>
        <w:tblCellMar>
          <w:top w:w="28" w:type="dxa"/>
          <w:left w:w="28" w:type="dxa"/>
          <w:bottom w:w="28" w:type="dxa"/>
          <w:right w:w="28" w:type="dxa"/>
        </w:tblCellMar>
      </w:tblPr>
      <w:tblGrid>
        <w:gridCol w:w="1066"/>
        <w:gridCol w:w="934"/>
        <w:gridCol w:w="940"/>
        <w:gridCol w:w="205"/>
        <w:gridCol w:w="440"/>
        <w:gridCol w:w="114"/>
        <w:gridCol w:w="114"/>
        <w:gridCol w:w="114"/>
        <w:gridCol w:w="114"/>
        <w:gridCol w:w="205"/>
        <w:gridCol w:w="440"/>
        <w:gridCol w:w="114"/>
        <w:gridCol w:w="109"/>
        <w:gridCol w:w="109"/>
        <w:gridCol w:w="109"/>
        <w:gridCol w:w="196"/>
        <w:gridCol w:w="421"/>
        <w:gridCol w:w="109"/>
        <w:gridCol w:w="109"/>
        <w:gridCol w:w="109"/>
        <w:gridCol w:w="109"/>
        <w:gridCol w:w="196"/>
        <w:gridCol w:w="42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2026</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142 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6"/>
              </w:rPr>
            </w:pPr>
            <w:r>
              <w:rPr>
                <w:rFonts w:ascii="Times New Roman;serif" w:hAnsi="Times New Roman;serif"/>
                <w:b w:val="false"/>
                <w:color w:val="231F20"/>
                <w:sz w:val="16"/>
              </w:rPr>
              <w:t>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condensed consolidated statements of operations data, for each of the periods presented, as a percent of revenue.</w:t>
      </w:r>
    </w:p>
    <w:p>
      <w:pPr>
        <w:pStyle w:val="TextBody"/>
        <w:bidi w:val="0"/>
        <w:spacing w:before="0" w:after="0"/>
        <w:jc w:val="left"/>
        <w:rPr/>
      </w:pPr>
      <w:r>
        <w:rPr/>
      </w:r>
    </w:p>
    <w:tbl>
      <w:tblPr>
        <w:tblW w:w="7987" w:type="dxa"/>
        <w:jc w:val="left"/>
        <w:tblInd w:w="0" w:type="dxa"/>
        <w:tblLayout w:type="fixed"/>
        <w:tblCellMar>
          <w:top w:w="28" w:type="dxa"/>
          <w:left w:w="28" w:type="dxa"/>
          <w:bottom w:w="28" w:type="dxa"/>
          <w:right w:w="28" w:type="dxa"/>
        </w:tblCellMar>
      </w:tblPr>
      <w:tblGrid>
        <w:gridCol w:w="1113"/>
        <w:gridCol w:w="977"/>
        <w:gridCol w:w="985"/>
        <w:gridCol w:w="210"/>
        <w:gridCol w:w="211"/>
        <w:gridCol w:w="454"/>
        <w:gridCol w:w="193"/>
        <w:gridCol w:w="193"/>
        <w:gridCol w:w="193"/>
        <w:gridCol w:w="210"/>
        <w:gridCol w:w="211"/>
        <w:gridCol w:w="454"/>
        <w:gridCol w:w="109"/>
        <w:gridCol w:w="109"/>
        <w:gridCol w:w="109"/>
        <w:gridCol w:w="210"/>
        <w:gridCol w:w="211"/>
        <w:gridCol w:w="410"/>
        <w:gridCol w:w="174"/>
        <w:gridCol w:w="174"/>
        <w:gridCol w:w="174"/>
        <w:gridCol w:w="210"/>
        <w:gridCol w:w="211"/>
        <w:gridCol w:w="482"/>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(as a percent of revenue)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2025 and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1"/>
        <w:gridCol w:w="361"/>
        <w:gridCol w:w="366"/>
        <w:gridCol w:w="205"/>
        <w:gridCol w:w="440"/>
        <w:gridCol w:w="114"/>
        <w:gridCol w:w="114"/>
        <w:gridCol w:w="114"/>
        <w:gridCol w:w="114"/>
        <w:gridCol w:w="205"/>
        <w:gridCol w:w="581"/>
        <w:gridCol w:w="114"/>
        <w:gridCol w:w="109"/>
        <w:gridCol w:w="109"/>
        <w:gridCol w:w="109"/>
        <w:gridCol w:w="214"/>
        <w:gridCol w:w="461"/>
        <w:gridCol w:w="121"/>
        <w:gridCol w:w="109"/>
        <w:gridCol w:w="109"/>
        <w:gridCol w:w="109"/>
        <w:gridCol w:w="200"/>
        <w:gridCol w:w="200"/>
        <w:gridCol w:w="471"/>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192"/>
        <w:gridCol w:w="192"/>
        <w:gridCol w:w="535"/>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5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16 </w:t>
            </w:r>
          </w:p>
        </w:tc>
        <w:tc>
          <w:tcPr>
            <w:tcW w:w="5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5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TextBody"/>
        <w:bidi w:val="0"/>
        <w:spacing w:before="0" w:after="0"/>
        <w:jc w:val="left"/>
        <w:rPr/>
      </w:pPr>
      <w:r>
        <w:rPr/>
      </w:r>
    </w:p>
    <w:p>
      <w:pPr>
        <w:pStyle w:val="TextBody"/>
        <w:bidi w:val="0"/>
        <w:spacing w:lineRule="auto" w:line="288" w:before="0" w:after="200"/>
        <w:ind w:left="0" w:right="0" w:firstLine="360"/>
        <w:jc w:val="both"/>
        <w:rPr/>
      </w:pPr>
      <w:r>
        <w:rPr>
          <w:rFonts w:ascii="Times New Roman;serif" w:hAnsi="Times New Roman;serif"/>
          <w:b w:val="false"/>
          <w:color w:val="000000"/>
          <w:sz w:val="20"/>
        </w:rPr>
        <w:t>The increase in transaction revenue during the second quarter of 2026, compared to the same period of 2025, was primarily driven by growth in GTV, which grew 14%,</w:t>
      </w:r>
      <w:r>
        <w:rPr>
          <w:color w:val="231F20"/>
        </w:rPr>
        <w:t xml:space="preserve"> </w:t>
      </w:r>
      <w:r>
        <w:rPr>
          <w:rFonts w:ascii="Times New Roman;serif" w:hAnsi="Times New Roman;serif"/>
          <w:b w:val="false"/>
          <w:color w:val="000000"/>
          <w:sz w:val="20"/>
        </w:rPr>
        <w:t>increased fulfillment efficiencies</w:t>
      </w:r>
      <w:r>
        <w:rPr>
          <w:rFonts w:ascii="Times New Roman;serif" w:hAnsi="Times New Roman;serif"/>
          <w:b w:val="false"/>
          <w:color w:val="231F20"/>
          <w:sz w:val="20"/>
        </w:rPr>
        <w:t xml:space="preserve">, and lower consumer incentives, </w:t>
      </w:r>
      <w:r>
        <w:rPr>
          <w:rFonts w:ascii="Times New Roman;serif" w:hAnsi="Times New Roman;serif"/>
          <w:b w:val="false"/>
          <w:color w:val="000000"/>
          <w:sz w:val="20"/>
        </w:rPr>
        <w:t>partially offset by lower payment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transaction revenue during the first six months of 2026, compared to the same period of 2025, was primarily driven by growth in GTV, which grew 13%, and increased fulfillment efficiencies, partially offset by lower payment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advertising and other revenue during the second quarter of 2026, compared to the same period of 2025, was primarily driven by interrelated factors including an increase in advertising volume, activity on our platform, and strength from emerging and mid-size brand partners. Advertising and other investment rate increased by 6 basis points to 2.9% during the second quarter of 2026, compared to the same period of 2025, as advertising and other revenue grew faster than GTV.</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advertising and other revenue during the first six months of 2026, compared to the same period of 2025, was primarily driven by an increase in advertising volume, activity on our platform, and strength from emerging and mid-size brand partners. Advertising and other investment rate increased by 7 basis points to 2.8% during the first six months of 2026, compared to the same period of 2025, as advertising and other revenue grew faster than GTV.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98"/>
        <w:gridCol w:w="426"/>
        <w:gridCol w:w="259"/>
        <w:gridCol w:w="110"/>
        <w:gridCol w:w="110"/>
        <w:gridCol w:w="110"/>
        <w:gridCol w:w="198"/>
        <w:gridCol w:w="426"/>
        <w:gridCol w:w="259"/>
        <w:gridCol w:w="109"/>
        <w:gridCol w:w="109"/>
        <w:gridCol w:w="109"/>
        <w:gridCol w:w="245"/>
        <w:gridCol w:w="414"/>
        <w:gridCol w:w="137"/>
        <w:gridCol w:w="109"/>
        <w:gridCol w:w="109"/>
        <w:gridCol w:w="109"/>
        <w:gridCol w:w="200"/>
        <w:gridCol w:w="200"/>
        <w:gridCol w:w="471"/>
        <w:gridCol w:w="109"/>
        <w:gridCol w:w="109"/>
        <w:gridCol w:w="109"/>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192"/>
        <w:gridCol w:w="192"/>
        <w:gridCol w:w="53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7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10 </w:t>
            </w:r>
          </w:p>
        </w:tc>
        <w:tc>
          <w:tcPr>
            <w:tcW w:w="5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74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74 </w:t>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72 </w:t>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 during the second quarter of 2026, compared to the same period of 2025, was primarily due to an increase of $21 million in credit card processing fees, an increase of $11 million in depreciation and amortization expense, primarily related to capitalized internal-use software, and an increase of $10 million in payments to publishers.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 during the first six months of 2026, compared to the same period of 2025, was primarily due to an increase of $37 million in credit card processing fees, an increase of $23 million in payments to publishers, and an increase of $21 million in depreciation and amortization expense, primarily related to capitalized internal-use software.</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color w:val="000000"/>
          <w:sz w:val="20"/>
        </w:rPr>
        <w:t>The increase in gross profit during the three and six months ended June 30, 2026, compared to the same period of 2025, was primarily driven by the increase in total revenue due to the factors described above. The decrease in gross margin during the three and six months ended June 30, 2026, compared to the same period of 2025, was primarily due to cost of revenue growing faster than revenue</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Operations and Support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8"/>
        <w:gridCol w:w="359"/>
        <w:gridCol w:w="360"/>
        <w:gridCol w:w="205"/>
        <w:gridCol w:w="347"/>
        <w:gridCol w:w="268"/>
        <w:gridCol w:w="114"/>
        <w:gridCol w:w="114"/>
        <w:gridCol w:w="114"/>
        <w:gridCol w:w="205"/>
        <w:gridCol w:w="347"/>
        <w:gridCol w:w="268"/>
        <w:gridCol w:w="109"/>
        <w:gridCol w:w="109"/>
        <w:gridCol w:w="109"/>
        <w:gridCol w:w="285"/>
        <w:gridCol w:w="351"/>
        <w:gridCol w:w="160"/>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85"/>
        <w:gridCol w:w="351"/>
        <w:gridCol w:w="160"/>
        <w:gridCol w:w="109"/>
        <w:gridCol w:w="109"/>
        <w:gridCol w:w="109"/>
        <w:gridCol w:w="192"/>
        <w:gridCol w:w="192"/>
        <w:gridCol w:w="541"/>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6 </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operations and support expense during the three and six months ended June 30, 2026, compared to the same period of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7"/>
        <w:gridCol w:w="331"/>
        <w:gridCol w:w="332"/>
        <w:gridCol w:w="196"/>
        <w:gridCol w:w="421"/>
        <w:gridCol w:w="256"/>
        <w:gridCol w:w="109"/>
        <w:gridCol w:w="109"/>
        <w:gridCol w:w="109"/>
        <w:gridCol w:w="196"/>
        <w:gridCol w:w="421"/>
        <w:gridCol w:w="256"/>
        <w:gridCol w:w="109"/>
        <w:gridCol w:w="109"/>
        <w:gridCol w:w="109"/>
        <w:gridCol w:w="245"/>
        <w:gridCol w:w="414"/>
        <w:gridCol w:w="137"/>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45"/>
        <w:gridCol w:w="414"/>
        <w:gridCol w:w="137"/>
        <w:gridCol w:w="109"/>
        <w:gridCol w:w="109"/>
        <w:gridCol w:w="109"/>
        <w:gridCol w:w="192"/>
        <w:gridCol w:w="192"/>
        <w:gridCol w:w="537"/>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5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0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during the second quarter of 2026, compared to the same period in 2025, was primarily due to an increase of $29 million in total compensation costs driven by a net increase in stock-based compensation expense, reflecting the year-over-year impact of shifting our first quarterly vesting date for our annual equity refresh grants from August to May.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during the first six months of 2026, compared to the same period of 2025, was primarily due to an increase of $42 million in total compensation costs driven by a net increase in stock-based compensation expense, reflecting the year-over-year impact of shifting our first quarterly vesting date for our annual equity refresh grants from August to May.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1"/>
        <w:gridCol w:w="318"/>
        <w:gridCol w:w="319"/>
        <w:gridCol w:w="200"/>
        <w:gridCol w:w="430"/>
        <w:gridCol w:w="261"/>
        <w:gridCol w:w="111"/>
        <w:gridCol w:w="111"/>
        <w:gridCol w:w="111"/>
        <w:gridCol w:w="200"/>
        <w:gridCol w:w="430"/>
        <w:gridCol w:w="261"/>
        <w:gridCol w:w="109"/>
        <w:gridCol w:w="109"/>
        <w:gridCol w:w="109"/>
        <w:gridCol w:w="245"/>
        <w:gridCol w:w="414"/>
        <w:gridCol w:w="137"/>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45"/>
        <w:gridCol w:w="414"/>
        <w:gridCol w:w="137"/>
        <w:gridCol w:w="109"/>
        <w:gridCol w:w="109"/>
        <w:gridCol w:w="109"/>
        <w:gridCol w:w="192"/>
        <w:gridCol w:w="192"/>
        <w:gridCol w:w="53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5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during the three and six months ended June 30, 2026, compared to the same period of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0"/>
        <w:gridCol w:w="431"/>
        <w:gridCol w:w="432"/>
        <w:gridCol w:w="203"/>
        <w:gridCol w:w="437"/>
        <w:gridCol w:w="265"/>
        <w:gridCol w:w="113"/>
        <w:gridCol w:w="113"/>
        <w:gridCol w:w="113"/>
        <w:gridCol w:w="203"/>
        <w:gridCol w:w="343"/>
        <w:gridCol w:w="265"/>
        <w:gridCol w:w="109"/>
        <w:gridCol w:w="109"/>
        <w:gridCol w:w="109"/>
        <w:gridCol w:w="278"/>
        <w:gridCol w:w="363"/>
        <w:gridCol w:w="155"/>
        <w:gridCol w:w="109"/>
        <w:gridCol w:w="109"/>
        <w:gridCol w:w="109"/>
        <w:gridCol w:w="200"/>
        <w:gridCol w:w="200"/>
        <w:gridCol w:w="471"/>
        <w:gridCol w:w="109"/>
        <w:gridCol w:w="109"/>
        <w:gridCol w:w="109"/>
        <w:gridCol w:w="196"/>
        <w:gridCol w:w="421"/>
        <w:gridCol w:w="256"/>
        <w:gridCol w:w="109"/>
        <w:gridCol w:w="109"/>
        <w:gridCol w:w="109"/>
        <w:gridCol w:w="196"/>
        <w:gridCol w:w="112"/>
        <w:gridCol w:w="264"/>
        <w:gridCol w:w="109"/>
        <w:gridCol w:w="109"/>
        <w:gridCol w:w="109"/>
        <w:gridCol w:w="239"/>
        <w:gridCol w:w="423"/>
        <w:gridCol w:w="134"/>
        <w:gridCol w:w="109"/>
        <w:gridCol w:w="109"/>
        <w:gridCol w:w="109"/>
        <w:gridCol w:w="194"/>
        <w:gridCol w:w="194"/>
        <w:gridCol w:w="539"/>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0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(7)</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(20)</w:t>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2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2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during the second quarter of 2026, compared to the same period of 2025, was primarily due to a decrease of $18 million in accruals for legal matters and sales and indirect taxes, partially offset by a net increase of $5 million in total compensation costs driven by an increase in stock-based compensation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during the first six months of 2026, compared to the same period of 2025, was primarily due to a net decrease of $64 million in accruals for legal matters and sales and indirect taxes, partially offset by a net increase of $10 million in total compensation costs driven by an increase in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tbl>
      <w:tblPr>
        <w:tblW w:w="10102" w:type="dxa"/>
        <w:jc w:val="left"/>
        <w:tblInd w:w="0" w:type="dxa"/>
        <w:tblLayout w:type="fixed"/>
        <w:tblCellMar>
          <w:top w:w="28" w:type="dxa"/>
          <w:left w:w="28" w:type="dxa"/>
          <w:bottom w:w="28" w:type="dxa"/>
          <w:right w:w="28" w:type="dxa"/>
        </w:tblCellMar>
      </w:tblPr>
      <w:tblGrid>
        <w:gridCol w:w="435"/>
        <w:gridCol w:w="381"/>
        <w:gridCol w:w="384"/>
        <w:gridCol w:w="294"/>
        <w:gridCol w:w="497"/>
        <w:gridCol w:w="163"/>
        <w:gridCol w:w="163"/>
        <w:gridCol w:w="163"/>
        <w:gridCol w:w="163"/>
        <w:gridCol w:w="294"/>
        <w:gridCol w:w="361"/>
        <w:gridCol w:w="163"/>
        <w:gridCol w:w="109"/>
        <w:gridCol w:w="109"/>
        <w:gridCol w:w="109"/>
        <w:gridCol w:w="278"/>
        <w:gridCol w:w="363"/>
        <w:gridCol w:w="155"/>
        <w:gridCol w:w="109"/>
        <w:gridCol w:w="109"/>
        <w:gridCol w:w="109"/>
        <w:gridCol w:w="203"/>
        <w:gridCol w:w="203"/>
        <w:gridCol w:w="471"/>
        <w:gridCol w:w="109"/>
        <w:gridCol w:w="109"/>
        <w:gridCol w:w="109"/>
        <w:gridCol w:w="196"/>
        <w:gridCol w:w="331"/>
        <w:gridCol w:w="109"/>
        <w:gridCol w:w="109"/>
        <w:gridCol w:w="109"/>
        <w:gridCol w:w="109"/>
        <w:gridCol w:w="196"/>
        <w:gridCol w:w="331"/>
        <w:gridCol w:w="109"/>
        <w:gridCol w:w="109"/>
        <w:gridCol w:w="109"/>
        <w:gridCol w:w="109"/>
        <w:gridCol w:w="239"/>
        <w:gridCol w:w="423"/>
        <w:gridCol w:w="134"/>
        <w:gridCol w:w="109"/>
        <w:gridCol w:w="109"/>
        <w:gridCol w:w="109"/>
        <w:gridCol w:w="203"/>
        <w:gridCol w:w="203"/>
        <w:gridCol w:w="53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(64)</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(61)</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during the second quarter of 2026, compared to the same period of 2025, was immaterial.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during the first six months of 2026, compared to the same period of 2025, was primarily due to lower interest rates and a reduction in the average balance of our cash,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1"/>
        <w:gridCol w:w="501"/>
        <w:gridCol w:w="503"/>
        <w:gridCol w:w="247"/>
        <w:gridCol w:w="417"/>
        <w:gridCol w:w="137"/>
        <w:gridCol w:w="137"/>
        <w:gridCol w:w="137"/>
        <w:gridCol w:w="137"/>
        <w:gridCol w:w="247"/>
        <w:gridCol w:w="417"/>
        <w:gridCol w:w="137"/>
        <w:gridCol w:w="109"/>
        <w:gridCol w:w="109"/>
        <w:gridCol w:w="109"/>
        <w:gridCol w:w="245"/>
        <w:gridCol w:w="414"/>
        <w:gridCol w:w="137"/>
        <w:gridCol w:w="109"/>
        <w:gridCol w:w="109"/>
        <w:gridCol w:w="109"/>
        <w:gridCol w:w="200"/>
        <w:gridCol w:w="200"/>
        <w:gridCol w:w="471"/>
        <w:gridCol w:w="109"/>
        <w:gridCol w:w="109"/>
        <w:gridCol w:w="109"/>
        <w:gridCol w:w="196"/>
        <w:gridCol w:w="331"/>
        <w:gridCol w:w="109"/>
        <w:gridCol w:w="109"/>
        <w:gridCol w:w="109"/>
        <w:gridCol w:w="109"/>
        <w:gridCol w:w="196"/>
        <w:gridCol w:w="331"/>
        <w:gridCol w:w="109"/>
        <w:gridCol w:w="109"/>
        <w:gridCol w:w="109"/>
        <w:gridCol w:w="109"/>
        <w:gridCol w:w="245"/>
        <w:gridCol w:w="414"/>
        <w:gridCol w:w="137"/>
        <w:gridCol w:w="109"/>
        <w:gridCol w:w="109"/>
        <w:gridCol w:w="109"/>
        <w:gridCol w:w="192"/>
        <w:gridCol w:w="192"/>
        <w:gridCol w:w="536"/>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40 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84 </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three and six months ended June 30, 2026, compared to the same period of 2025, was due to an increase in pre-tax book income, fewer U.S. research and development credits generated, and lower tax deductible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adjusted total operating expenses as a percent of GTV, and free cash flow (collectively “Non-GAAP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Measures to assist investors in seeing our business and financial performance through the eyes of management, and because we believe that these Non-GAAP Measures provide an additional tool for investors to use in comparing results of operations of our business over multiple periods with other companies in our industry.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Non-GAAP financial measures are not meant to be considered in isolation or as a substitute for comparable GAAP financial measures and should be read only in conjunction with our condensed consolidated statements of operations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condensed consolidated statements of operations.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Adjusted EBITDA as a Percent of GTV, and 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revenue.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include Adjusted EBITDA, Adjusted EBITDA as a percent of GTV, and Adjusted EBITDA margin in this Quarterly Report on Form 10-Q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are the most directly comparable GAAP measures. Some of these limitations are that each of Adjusted EBITDA, Adjusted EBITDA as a percent of GTV, and Adjusted EBITDA margin: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provision for or benefit from income taxes that reduces or increases cash available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interest income which increases cash available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other income or expense that includes unrealized and realized gains and losses on foreign currency exchange;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depreciation and amortization expense, and although these are non-cash expenses, the assets being depreciated may have to be replaced in the future, increasing our cash requirements;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stock-based compensation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payroll taxes related to stock-based compensation;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the positive or adverse adjustments related to the reserve for sales and other indirect taxes or certain legal and regulatory accruals and settlements, net;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acquisition-related expenses;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restructuring charges.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net income (loss), the most directly comparable financial measure calculated in accordance with GAAP:</w:t>
      </w:r>
    </w:p>
    <w:p>
      <w:pPr>
        <w:pStyle w:val="TextBody"/>
        <w:bidi w:val="0"/>
        <w:spacing w:before="0" w:after="0"/>
        <w:ind w:left="0" w:right="0" w:firstLine="360"/>
        <w:jc w:val="both"/>
        <w:rPr/>
      </w:pPr>
      <w:r>
        <w:rPr/>
      </w:r>
    </w:p>
    <w:tbl>
      <w:tblPr>
        <w:tblW w:w="9187" w:type="dxa"/>
        <w:jc w:val="left"/>
        <w:tblInd w:w="0" w:type="dxa"/>
        <w:tblLayout w:type="fixed"/>
        <w:tblCellMar>
          <w:top w:w="28" w:type="dxa"/>
          <w:left w:w="28" w:type="dxa"/>
          <w:bottom w:w="28" w:type="dxa"/>
          <w:right w:w="28" w:type="dxa"/>
        </w:tblCellMar>
      </w:tblPr>
      <w:tblGrid>
        <w:gridCol w:w="1556"/>
        <w:gridCol w:w="1368"/>
        <w:gridCol w:w="1380"/>
        <w:gridCol w:w="306"/>
        <w:gridCol w:w="170"/>
        <w:gridCol w:w="400"/>
        <w:gridCol w:w="170"/>
        <w:gridCol w:w="170"/>
        <w:gridCol w:w="170"/>
        <w:gridCol w:w="306"/>
        <w:gridCol w:w="191"/>
        <w:gridCol w:w="410"/>
        <w:gridCol w:w="109"/>
        <w:gridCol w:w="109"/>
        <w:gridCol w:w="109"/>
        <w:gridCol w:w="277"/>
        <w:gridCol w:w="191"/>
        <w:gridCol w:w="410"/>
        <w:gridCol w:w="154"/>
        <w:gridCol w:w="154"/>
        <w:gridCol w:w="154"/>
        <w:gridCol w:w="277"/>
        <w:gridCol w:w="184"/>
        <w:gridCol w:w="462"/>
      </w:tblGrid>
      <w:tr>
        <w:trPr/>
        <w:tc>
          <w:tcPr>
            <w:tcW w:w="15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256</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221</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18,202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20,639</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as a percent of GTV</w:t>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as a percent of GTV</w:t>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4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2.8 </w:t>
            </w:r>
          </w:p>
        </w:tc>
        <w:tc>
          <w:tcPr>
            <w:tcW w:w="4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as a percent of revenue</w:t>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4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28 </w:t>
            </w:r>
          </w:p>
        </w:tc>
        <w:tc>
          <w:tcPr>
            <w:tcW w:w="4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4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Cost of Revenue and Adjusted Cost of Revenue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cost of revenue as cost of revenue excluding depreciation and amortization expense and stock-based compensation expense. We exclude depreciation and amortization expense and stock-based compensation expense as they are non-cash in nature.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cost of revenue to adjusted cost of revenue:</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1222"/>
        <w:gridCol w:w="1073"/>
        <w:gridCol w:w="1079"/>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cost of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 as a percent of GTV</w:t>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cost of revenue as a percent of GTV</w:t>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Operations and Support Expense and Adjusted Operations and Support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operations and support expense as operations and support expense excluding depreciation and amortization expense, stock-based compensation expense, payroll taxes related to stock-based compensation, and restructuring charges. We exclude depreciation and amortization expense and stock-based compensation expense as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are non-cash in nature.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operations and support expense to adjusted operations and support expense:</w:t>
      </w:r>
    </w:p>
    <w:p>
      <w:pPr>
        <w:pStyle w:val="TextBody"/>
        <w:bidi w:val="0"/>
        <w:spacing w:before="0" w:after="0"/>
        <w:jc w:val="left"/>
        <w:rPr/>
      </w:pPr>
      <w:r>
        <w:rPr/>
      </w:r>
    </w:p>
    <w:tbl>
      <w:tblPr>
        <w:tblW w:w="9237" w:type="dxa"/>
        <w:jc w:val="left"/>
        <w:tblInd w:w="0" w:type="dxa"/>
        <w:tblLayout w:type="fixed"/>
        <w:tblCellMar>
          <w:top w:w="28" w:type="dxa"/>
          <w:left w:w="28" w:type="dxa"/>
          <w:bottom w:w="28" w:type="dxa"/>
          <w:right w:w="28" w:type="dxa"/>
        </w:tblCellMar>
      </w:tblPr>
      <w:tblGrid>
        <w:gridCol w:w="1640"/>
        <w:gridCol w:w="1443"/>
        <w:gridCol w:w="1447"/>
        <w:gridCol w:w="234"/>
        <w:gridCol w:w="396"/>
        <w:gridCol w:w="306"/>
        <w:gridCol w:w="130"/>
        <w:gridCol w:w="130"/>
        <w:gridCol w:w="130"/>
        <w:gridCol w:w="234"/>
        <w:gridCol w:w="396"/>
        <w:gridCol w:w="306"/>
        <w:gridCol w:w="109"/>
        <w:gridCol w:w="109"/>
        <w:gridCol w:w="109"/>
        <w:gridCol w:w="196"/>
        <w:gridCol w:w="421"/>
        <w:gridCol w:w="256"/>
        <w:gridCol w:w="109"/>
        <w:gridCol w:w="109"/>
        <w:gridCol w:w="109"/>
        <w:gridCol w:w="196"/>
        <w:gridCol w:w="421"/>
        <w:gridCol w:w="301"/>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 as a percent of GTV</w:t>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 as a percent of GTV</w:t>
            </w:r>
          </w:p>
        </w:tc>
        <w:tc>
          <w:tcPr>
            <w:tcW w:w="6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Research and Development Expense and Adjusted Research and Development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research and development expense as research and development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and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research and development expense to adjusted research and development expense:</w:t>
      </w:r>
    </w:p>
    <w:p>
      <w:pPr>
        <w:pStyle w:val="TextBody"/>
        <w:bidi w:val="0"/>
        <w:spacing w:before="0" w:after="0"/>
        <w:jc w:val="left"/>
        <w:rPr/>
      </w:pPr>
      <w:r>
        <w:rPr/>
      </w:r>
    </w:p>
    <w:tbl>
      <w:tblPr>
        <w:tblW w:w="9447" w:type="dxa"/>
        <w:jc w:val="left"/>
        <w:tblInd w:w="0" w:type="dxa"/>
        <w:tblLayout w:type="fixed"/>
        <w:tblCellMar>
          <w:top w:w="28" w:type="dxa"/>
          <w:left w:w="28" w:type="dxa"/>
          <w:bottom w:w="28" w:type="dxa"/>
          <w:right w:w="28" w:type="dxa"/>
        </w:tblCellMar>
      </w:tblPr>
      <w:tblGrid>
        <w:gridCol w:w="1718"/>
        <w:gridCol w:w="1508"/>
        <w:gridCol w:w="1513"/>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 as a percent of GTV</w:t>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as a percent of GTV</w:t>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Sales and Marketing Expense and Adjusted Sales and Marketing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sales and marketing expense as sales and marketing expense excluding depreciation and amortization expense, stock-based compensation expense, payroll taxes related to stock-based compensation, acquisition-related expenses, and restructuring charges. We exclude depreciation and amortization expense and stock-based compensation expense as they are non-cash in nature and we exclude payroll taxes related to the vesting and settlement of certain equity awards, acquisition-related expenses, and restructuring charges as they are not indicative of our operating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sales and marketing expense to adjusted sales and marketing expense:</w:t>
      </w:r>
    </w:p>
    <w:p>
      <w:pPr>
        <w:pStyle w:val="TextBody"/>
        <w:bidi w:val="0"/>
        <w:spacing w:before="0" w:after="0"/>
        <w:jc w:val="left"/>
        <w:rPr/>
      </w:pPr>
      <w:r>
        <w:rPr/>
      </w:r>
    </w:p>
    <w:tbl>
      <w:tblPr>
        <w:tblW w:w="9013" w:type="dxa"/>
        <w:jc w:val="left"/>
        <w:tblInd w:w="0" w:type="dxa"/>
        <w:tblLayout w:type="fixed"/>
        <w:tblCellMar>
          <w:top w:w="28" w:type="dxa"/>
          <w:left w:w="28" w:type="dxa"/>
          <w:bottom w:w="28" w:type="dxa"/>
          <w:right w:w="28" w:type="dxa"/>
        </w:tblCellMar>
      </w:tblPr>
      <w:tblGrid>
        <w:gridCol w:w="1558"/>
        <w:gridCol w:w="1372"/>
        <w:gridCol w:w="1375"/>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 expense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 expense as a percent of GTV</w:t>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 as a percent of GTV</w:t>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General and Administrative Expense and Adjusted General and Administrative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acquisition-related expenses; and restructuring charges.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general and administrative expense to adjusted general and administrative expense:</w:t>
      </w:r>
    </w:p>
    <w:p>
      <w:pPr>
        <w:pStyle w:val="TextBody"/>
        <w:bidi w:val="0"/>
        <w:spacing w:before="0" w:after="0"/>
        <w:jc w:val="left"/>
        <w:rPr/>
      </w:pPr>
      <w:r>
        <w:rPr/>
      </w:r>
    </w:p>
    <w:tbl>
      <w:tblPr>
        <w:tblW w:w="9461" w:type="dxa"/>
        <w:jc w:val="left"/>
        <w:tblInd w:w="0" w:type="dxa"/>
        <w:tblLayout w:type="fixed"/>
        <w:tblCellMar>
          <w:top w:w="28" w:type="dxa"/>
          <w:left w:w="28" w:type="dxa"/>
          <w:bottom w:w="28" w:type="dxa"/>
          <w:right w:w="28" w:type="dxa"/>
        </w:tblCellMar>
      </w:tblPr>
      <w:tblGrid>
        <w:gridCol w:w="1721"/>
        <w:gridCol w:w="1514"/>
        <w:gridCol w:w="1520"/>
        <w:gridCol w:w="223"/>
        <w:gridCol w:w="481"/>
        <w:gridCol w:w="292"/>
        <w:gridCol w:w="124"/>
        <w:gridCol w:w="124"/>
        <w:gridCol w:w="124"/>
        <w:gridCol w:w="223"/>
        <w:gridCol w:w="378"/>
        <w:gridCol w:w="292"/>
        <w:gridCol w:w="109"/>
        <w:gridCol w:w="109"/>
        <w:gridCol w:w="109"/>
        <w:gridCol w:w="196"/>
        <w:gridCol w:w="421"/>
        <w:gridCol w:w="256"/>
        <w:gridCol w:w="109"/>
        <w:gridCol w:w="109"/>
        <w:gridCol w:w="109"/>
        <w:gridCol w:w="196"/>
        <w:gridCol w:w="421"/>
        <w:gridCol w:w="301"/>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 as a percent of GTV</w:t>
            </w:r>
          </w:p>
        </w:tc>
        <w:tc>
          <w:tcPr>
            <w:tcW w:w="7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as a percent of GTV</w:t>
            </w:r>
          </w:p>
        </w:tc>
        <w:tc>
          <w:tcPr>
            <w:tcW w:w="7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Total Operating Expenses and Adjusted Total Operating Expenses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settlements, net; reserves for sales and other indirect taxes, net; acquisition-related expenses; and restructuring charges as these are not indicative of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operating expenses to adjusted total operating expenses:</w:t>
      </w:r>
    </w:p>
    <w:p>
      <w:pPr>
        <w:pStyle w:val="TextBody"/>
        <w:bidi w:val="0"/>
        <w:spacing w:before="0" w:after="0"/>
        <w:jc w:val="both"/>
        <w:rPr/>
      </w:pPr>
      <w:r>
        <w:rPr/>
      </w:r>
    </w:p>
    <w:tbl>
      <w:tblPr>
        <w:tblW w:w="9283" w:type="dxa"/>
        <w:jc w:val="left"/>
        <w:tblInd w:w="0" w:type="dxa"/>
        <w:tblLayout w:type="fixed"/>
        <w:tblCellMar>
          <w:top w:w="28" w:type="dxa"/>
          <w:left w:w="28" w:type="dxa"/>
          <w:bottom w:w="28" w:type="dxa"/>
          <w:right w:w="28" w:type="dxa"/>
        </w:tblCellMar>
      </w:tblPr>
      <w:tblGrid>
        <w:gridCol w:w="1559"/>
        <w:gridCol w:w="1368"/>
        <w:gridCol w:w="1378"/>
        <w:gridCol w:w="214"/>
        <w:gridCol w:w="460"/>
        <w:gridCol w:w="279"/>
        <w:gridCol w:w="119"/>
        <w:gridCol w:w="119"/>
        <w:gridCol w:w="119"/>
        <w:gridCol w:w="214"/>
        <w:gridCol w:w="460"/>
        <w:gridCol w:w="279"/>
        <w:gridCol w:w="109"/>
        <w:gridCol w:w="109"/>
        <w:gridCol w:w="109"/>
        <w:gridCol w:w="196"/>
        <w:gridCol w:w="556"/>
        <w:gridCol w:w="256"/>
        <w:gridCol w:w="109"/>
        <w:gridCol w:w="109"/>
        <w:gridCol w:w="109"/>
        <w:gridCol w:w="196"/>
        <w:gridCol w:w="556"/>
        <w:gridCol w:w="301"/>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(1)</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(2)</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(3)</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 as a percent of GTV</w:t>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 as a percent of GTV</w:t>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purchases of property and equipment, including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to free cash flow:</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010"/>
        <w:gridCol w:w="1760"/>
        <w:gridCol w:w="1776"/>
        <w:gridCol w:w="246"/>
        <w:gridCol w:w="529"/>
        <w:gridCol w:w="136"/>
        <w:gridCol w:w="136"/>
        <w:gridCol w:w="136"/>
        <w:gridCol w:w="136"/>
        <w:gridCol w:w="246"/>
        <w:gridCol w:w="529"/>
        <w:gridCol w:w="136"/>
        <w:gridCol w:w="109"/>
        <w:gridCol w:w="109"/>
        <w:gridCol w:w="109"/>
        <w:gridCol w:w="225"/>
        <w:gridCol w:w="484"/>
        <w:gridCol w:w="125"/>
        <w:gridCol w:w="125"/>
        <w:gridCol w:w="125"/>
        <w:gridCol w:w="125"/>
        <w:gridCol w:w="225"/>
        <w:gridCol w:w="484"/>
        <w:gridCol w:w="184"/>
      </w:tblGrid>
      <w:tr>
        <w:trPr/>
        <w:tc>
          <w:tcPr>
            <w:tcW w:w="201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5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including capitalized internal-use software</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finance our operations primarily through fees received from retailers, customers, and brands. As of June 30, 2026, we had cash and cash equivalents of $757 million and marketable securities of $128 million, which were primarily held for working capital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$256 million for the six months ended June 30, 2026, we have historically experienced significant net losses as reflected in our accumulated deficit of $5.0 billion as of June 30, 2026. While we generated positive cash flows from operating activities for the years ended December 31, 2024 and 2025 and for the six months ended June 30, 2026, our future cash flows from operating activities may fluctuate as a result of investments we continue to make across our organization. As a result, we may require additional capital resources to execute strategic initiatives to grow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working capital and operating cash flows fluctuated and continue to fluctuate significantly from period to period as a result of new initiatives, the timing of payments made to and/or received from retailers, shoppers, and vendors, and certain transaction types, such as those involving EBT SNAP and alcohol sales, which have a more significant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the last day of each reporting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retailer, customer,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the impact of tariffs or other trade restrictions, elevated interest rates and other macroeconomic conditions, geopolitical conflicts, and potential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 2026, we entered into a revolving credit agreement with certain lenders (the “Credit Agreement”), which provides for a $500 million unsecured revolving credit facility maturing on April 30, 2031. We are also required to pay a commitment fee of 0.10% per annum on the average daily unused amount of the revolving commitments. As of June 30, 2026, we were in compliance with all covenants under the Credit Agreement and there were no revolving loans outstanding. Refer to Note 11 — Debt for additional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our board of directors authorized a $500 million share repurchase program, which was subsequently increased to $750 million, $1 billion, $2.5 billion, and $3.5 billion in November 2024, May 2025, November 2025, and April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repurchased and immediately retired 17 million shares of our common stock for an aggregate amount of $728 million, including broker commissions, fees, and excise taxes, under this share repurchase program, which included shares repurchased under the ASR Agreement as described below.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10, 2025, we entered into the ASR Agreement with a third-party financial institution to repurchase $250 million of our common stock. Pursuant to the terms of the ASR Agreement, we paid $250 million to the financial institution and received and immediately retired an initial delivery of 5.4 million shares of common stock on November 12, 2025, representing 80% of the value of the $250 million payment. Repurchases under the ASR Agreement were completed in January 2026, and we received and immediately retired an additional 0.6 million shares. Refer to Note 13 — Stockholders’ Equity for further discussion.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196" w:type="dxa"/>
        <w:jc w:val="left"/>
        <w:tblInd w:w="0" w:type="dxa"/>
        <w:tblLayout w:type="fixed"/>
        <w:tblCellMar>
          <w:top w:w="28" w:type="dxa"/>
          <w:left w:w="28" w:type="dxa"/>
          <w:bottom w:w="28" w:type="dxa"/>
          <w:right w:w="28" w:type="dxa"/>
        </w:tblCellMar>
      </w:tblPr>
      <w:tblGrid>
        <w:gridCol w:w="1087"/>
        <w:gridCol w:w="952"/>
        <w:gridCol w:w="960"/>
        <w:gridCol w:w="109"/>
        <w:gridCol w:w="109"/>
        <w:gridCol w:w="689"/>
        <w:gridCol w:w="689"/>
        <w:gridCol w:w="692"/>
        <w:gridCol w:w="109"/>
        <w:gridCol w:w="220"/>
        <w:gridCol w:w="244"/>
        <w:gridCol w:w="251"/>
        <w:gridCol w:w="109"/>
        <w:gridCol w:w="109"/>
        <w:gridCol w:w="109"/>
        <w:gridCol w:w="218"/>
        <w:gridCol w:w="221"/>
        <w:gridCol w:w="319"/>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909" w:type="dxa"/>
            <w:gridSpan w:val="10"/>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(655)</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six months ended June 30, 2026, net cash provided by operating activities was $762 million, which consisted of </w:t>
      </w:r>
      <w:r>
        <w:rPr>
          <w:rFonts w:ascii="Times New Roman;serif" w:hAnsi="Times New Roman;serif"/>
          <w:b w:val="false"/>
          <w:color w:val="231F20"/>
          <w:sz w:val="20"/>
        </w:rPr>
        <w:t xml:space="preserve">net income of $256 million, adjustments for certain non-cash items of $367 million and net cash inflows from changes in operating assets and liabilities of $139 million. Adjustments for certain non-cash items were primarily driven by stock-based compensation expense of </w:t>
      </w:r>
      <w:r>
        <w:rPr>
          <w:rFonts w:ascii="Times New Roman;serif" w:hAnsi="Times New Roman;serif"/>
          <w:b w:val="false"/>
          <w:color w:val="000000"/>
          <w:sz w:val="20"/>
        </w:rPr>
        <w:t>$221 million</w:t>
      </w:r>
      <w:r>
        <w:rPr>
          <w:color w:val="231F20"/>
        </w:rPr>
        <w:t xml:space="preserve"> </w:t>
      </w:r>
      <w:r>
        <w:rPr>
          <w:rFonts w:ascii="Times New Roman;serif" w:hAnsi="Times New Roman;serif"/>
          <w:b w:val="false"/>
          <w:color w:val="231F20"/>
          <w:sz w:val="20"/>
        </w:rPr>
        <w:t xml:space="preserve">and a decrease in deferred income taxes of </w:t>
      </w:r>
      <w:r>
        <w:rPr>
          <w:rFonts w:ascii="Times New Roman;serif" w:hAnsi="Times New Roman;serif"/>
          <w:b w:val="false"/>
          <w:color w:val="000000"/>
          <w:sz w:val="20"/>
        </w:rPr>
        <w:t>$67 million</w:t>
      </w:r>
      <w:r>
        <w:rPr>
          <w:rFonts w:ascii="Times New Roman;serif" w:hAnsi="Times New Roman;serif"/>
          <w:b w:val="false"/>
          <w:color w:val="231F20"/>
          <w:sz w:val="20"/>
        </w:rPr>
        <w:t>. The year-over-year increase in cash provided by operating activities was primarily driven by fluctuations in working capital from general business impacts including</w:t>
      </w:r>
      <w:r>
        <w:rPr>
          <w:color w:val="000000"/>
        </w:rPr>
        <w:t xml:space="preserve"> </w:t>
      </w:r>
      <w:r>
        <w:rPr>
          <w:rFonts w:ascii="Times New Roman;serif" w:hAnsi="Times New Roman;serif"/>
          <w:b w:val="false"/>
          <w:color w:val="000000"/>
          <w:sz w:val="20"/>
        </w:rPr>
        <w:t>(i) the timing of customer collections, including the settlement of large accounts receivable balances, and the impact of offering mix on invoiced amounts; (ii) the timing of customer, vendor, and other third-party payments and accruals including legal and regulatory matters, sales and indirect taxes, and insurance; (iii) the timing of spend and usage of software subscriptions for hosting arrangements; and (iv) the overall growth of our business. Regulatory settlements of $60 million, previously accrued as of December 31, 2025, were paid with cash on hand in January 2026 and is reflected in the operating asset and liability changes noted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operating activities was $501 million, which consisted of net income of $222 million, adjusted for certain non-cash items of $232 million, primarily driven by stock-based compensation expense of $172 million and by net cash inflows from changes in operating assets and liabilities of $47 million. The year-over-year increase in net changes in operating assets and liabilities, which impacted cash provided by operating activities, from a net cash inflow of $349 million to $501 million, was primarily driven by fluctuations in working capital from general business impacts such as (i) the timing of customer collections due to the collection of a large accounts receivable balance from a retailer and the mix of transaction types, such as those involving EBT SNAP and alcohol sales, which result in longer and uneven collection cycles; (ii) the timing of customer, vendor, and other third party payments and accruals; (iii) the timing of spend and usage of software subscriptions for hosting arrangements, and (iv) the overall growth of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Investing Activities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was $56 million, comprised primarily of acquisitions of businesses, net of cash acquired, of $29 million and purchases of property and equipment, including capitalized internal-use software, of $29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was $156 million, comprised primarily of purchases of marketable securities of $144 million; acquisition of business, net of cash acquired, of $105 million; and purchases of property and equipment, including capitalized internal-use software, of $34 million, partially offset by maturities of marketable securities of $127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Financing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six months ended June 30, 2026, net cash </w:t>
      </w:r>
      <w:r>
        <w:rPr>
          <w:rFonts w:ascii="Times New Roman;serif" w:hAnsi="Times New Roman;serif"/>
          <w:b w:val="false"/>
          <w:color w:val="231F20"/>
          <w:sz w:val="20"/>
        </w:rPr>
        <w:t xml:space="preserve">used in financing activities was $655 million, comprised primarily of repurchases of common stock of $683 million, partially offset by changes in advances from a payment card issuer of $34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financing activities was $175 million, comprised primarily of repurchases of common stock of $210 million and taxes paid related to net share settlement of equity awards of $14 million, partially offset by changes in advances from a payment card issuer of $43 million and proceeds from the exercise of stock options of $6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from the contractual obligations and commitments as described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described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 Significant Accounting Policies in the notes to the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include foreign currency and exchange risk, interest rate risk, and inflation risk as follows: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Foreign Currency and Exchange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transact business globally in multiple currencies, with the vast majority of our cash generated from revenue denominated in the U.S. dollar and a small amount denominated in other foreign currencies. Our international revenue, as well as costs and expenses denominated in foreign currencies, expose us to the risk of fluctuations in foreign currency exchange rates against the U.S. dollar.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our net income as a result of transaction gains or losses related to remeasurement of certain asset and liability balances that are denominated in currencies other than the functional currency of the entities in which they are recorded. The effect of a hypothetical 10% change in foreign currency exchange rates applicable to our business would not have a material impact on our condensed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June 30, 2026, we had cash and cash equivalents of $757 million and marketable securities of $128 million invested in a variety of securities, including money market funds, </w:t>
      </w:r>
      <w:r>
        <w:rPr>
          <w:rFonts w:ascii="Times New Roman;serif" w:hAnsi="Times New Roman;serif"/>
          <w:b w:val="false"/>
          <w:color w:val="231F20"/>
          <w:sz w:val="20"/>
        </w:rPr>
        <w:t>commercial paper, U.S. government and government agency debt securities, and corporate debt securities</w:t>
      </w:r>
      <w:r>
        <w:rPr>
          <w:rFonts w:ascii="Times New Roman;serif" w:hAnsi="Times New Roman;serif"/>
          <w:b w:val="false"/>
          <w:color w:val="000000"/>
          <w:sz w:val="20"/>
        </w:rPr>
        <w:t xml:space="preserve">. In addition, we had $117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condensed consolidated financial statements as of June 30, 2026.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revolving loans outstanding under the Credit Agreement. We will be exposed to increased interest rate risk if we draw down on the facility. Refer to Note 11 — Debt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tariffs and trade restrictions, shipping and freight costs, elevated fuel prices that are borne by our partners, and customers purchasing fewer items on average per order. Higher retailer prices, resulting in increased grocery costs and reduced consumer spending have negatively impacted consumer demand for online grocery as consumers return to in-store shopping to save on service and delivery fees and also have reduced order frequency, driven lower order volumes, and impacted average order values. Customers have and may continue to reduce spending on more premium products, and our brand partners have and may continue to reduce their overall advertising budgets, either of which could harm our revenue and margin.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reduced our revenue and profitability. As a result of these factors, we may experience fluctuations in GTV and orders, which could negatively impact our revenue and margin.</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offerings focused on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spending by customers. Our inability or failure to address challenges relating to inflation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and provided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our principal executive officer and principal financial officer, to allow timely decisions regarding required disclosure.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second quarter of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Limitations on Effectiveness of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discussion under the caption “Legal Matters” in Note 10 — Commitments and Contingencies to our condensed consolidated financial statements included elsewhere in this Quarterly Report on Form 10-Q for information regarding legal proceedings that constitute material contingencies for financial reporting purposes that could have a material adverse effect on our consolidated financial position, liquidity, or results of operations if they were resolved in a manner that is adverse to us.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Quarterly Report on Form 10-Q, including the section titled “Management’s Discussion and Analysis of Financial Condition and Results of Operations” and our condensed consolidated financial statements and related notes appearing elsewhere in this Quarterly Report on Form 10-Q,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outside of our control, that could cause our actual results to be harmed. These risks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Historical trends relating to our growth and financial performance may not be indicative of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history of losses, and we may be unable to sustain or increase profitability or generate profitable growth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various laws and regulations, including those related to the contractor status of shoppers and requirements to engage shoppers, which may change or increase over time and subject us to increased compliance costs and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Artificial intelligence and machine learning technologies, including our use of such technologies and use of such technologies by our competitors, could result in reputational harm, competitive harm, or legal liability, and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engage, attract, or retain shoppers on Instacart, our business could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failure to achieve increased market acceptance of online grocery shopping and our offerings could seriously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Mergers or other strategic transactions by competitors or retailers could weaken our competitive position and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trading price of our common stock may be volatile and could decline significantly and rapidly. You may be unable to sell your shares of common stock at or above the price at which you purchased them.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Historical trends relating to our growth and financial performance may not be indicative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in prior periods, which was driven substantially by the COVID-19 pandemic, which led to significant demand for our offerings, and the rapid evolution of the online grocery shopping industry, as well as the other retail categories in which we operate. However, our growth rates have decreased from what we historically experienced and may continue to decrease or fluctuate as a result of macroeconomic and geopolitical conflicts, including as a result of trade policies enacted or proposed by the United States, such as tariffs or other trade restrictions, uncertainty related thereto, and responses by foreign governments to such policies, inflation risk, actual or perceived risk of an economic recession, cessation of, interruptions to, or changes to government aid programs, the effects of severe weather patterns, increasing competition, strategic initiatives, and the maturation of our business, among others. We also cannot be certain whether we will drive greater engagement from new or existing retailers, customers, or brands or maintain or increase the level of demand for our offerings over the long term. As a result of the foregoing, our prior growth rates and financial performance should not necessarily be considered indicative of our future performance and results of operations.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Overall growth of our GTV, revenue, margin, and profitability depends on a number of factors, including our ability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attract new retailers, customers, brands, and shoppers, including through effective pricing of our offerings, and sustain and expand our relationships with existing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accurately forecast our revenue and plan our operating expenses and investments for future growth;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compete with other companies that are currently in, or may in the future enter, the markets in which we compete, and respond to developments from these competitors such as pricing changes and the introduction of new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sales, customer service, engineering, and other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in existing markets and enter new markets, including new geographies, retail categories, and fulfillment methods;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adoption of our Instacart+ membership program to drive increased customer engagement;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launch new offerings and enhance Instacart and its features and use cases, including in response to new trends or competitive dynamics or the needs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revenue generated by our Instacart Ads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identify, acquire and integrate, or invest in businesses, products, or technologies that we believe could complement or expand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avoid interruptions or disruptions in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retailers, customers, brands, and shoppers with high-quality support that meets their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growth of our infrastructure, personnel, and operations, particularly due to our Flex First workforce model that permits employees to elect to work remotely;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costs related to our fulfillment methods;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our reputation and the value of our brand.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you should not rely on our GTV, revenue growth rate, or other key business metrics for any prior quarterly or annual period as an indication of our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forecast, and to provide guidance to investors regarding future operating results and key financial metrics is inherently uncertain. Our business is complex, relatively young and subject to significant impacts from events or evolving regulations beyond our control. All forecasts should be viewed as our good faith expectation at the time originally made, but not accorded undue weight.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continue to expend substantial financial and other resources to grow our business, which may not result in sufficient growth or increased profitability to offset the cost of such investments. We may also fail to allocate our resources in a manner that results in increased GTV or revenue growth or improved margin. If our GTV or revenue growth rates decline or our margin is negatively impacted, investors’ perceptions of our business and the trading price of our common stock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dissatisfaction with the operation of, or pricing on, Instacart, including our customer support services, or the quality and performance of the offerings, services, and technology of our partners;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quality of service provided by shoppers, such as picking the wrong item, making a poor substitution for out of stock items, failing to deliver items on a timely basis or at all, failing to complete requested tasks or otherwise follow customer instructions, or customers having negative experiences in their interactions with shoppers, particularly during demand surges;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 of using Instacart compared to in-store shopping or other alternatives, including as a result of customer fees and differences between online and in-store prices and promotions;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our membership offering and membership benefits;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service, or the quality, pricing, and availability of products provided by retailers, including as a result of disruptions in the global supply chain;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breadth and variety of retailers that are available to customers on Instacart, including retailers with whom we have a limited or informal arrangement for availability on Instacart;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public health outbreaks, or a future outbreak of disease or similar public health concern;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acceptance of online grocery shopping and our in-store technology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negative publicity related to our brand, including as a result of safety incidents, dissatisfaction with our offerings, and other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perceived public policy positions;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maintain good relationships with shoppers resulting in fewer shoppers available for customers, particularly during peak demand;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dissatisfaction with the user experience on our platform, new and current offerings, or changes we make to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in the past experienced and may continue to experience decreases in new customer acquisition rates and customer retention, which have negatively impacted and may continue to negatively impact GTV and orders.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or reduce, our marketing investments, we may not be able to retain our existing customers or convert first-time customers, including those using consumer incentives such as discount promotions, into customers who regularly use and engage with our offerings. Further, we may not be able to accurately assess the effectiveness of our marketing campaigns and strategies in acquiring new customers or increasing existing customer engagement for several periods. The effectiveness of our marketing campaigns and strategies may also be obfuscated due to temporary or periodic external factors, such as future public health outbreaks, macroeconomic factors, and changes in the regulatory landscape. Failure to effectively design and conduct such campaigns and strategies may negatively impact our ability to acquire new customers and increase engagement with existing customers, which would harm our revenue growth and business.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affordability over convenience or selection. If we do not successfully address the current and future needs of 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or other customers we acquire inorganically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or a shift toward convenience or priority, may result in a decrease in average order value. Such shifts may also negatively impact certain retailers’ and brands’ actual or perceived benefit from engaging with Instacart.</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regularly provide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 and brand partners. Past and future changes to the fees that we charge our customers may also reduce overall engagement by our customers or negatively impact new customer acquisition. If we are not able to continue to expand our customer base or</w:t>
      </w:r>
      <w:r>
        <w:rPr>
          <w:color w:val="0000FF"/>
        </w:rPr>
        <w:t xml:space="preserve"> </w:t>
      </w:r>
      <w:r>
        <w:rPr>
          <w:rFonts w:ascii="Times New Roman;serif" w:hAnsi="Times New Roman;serif"/>
          <w:b w:val="false"/>
          <w:color w:val="000000"/>
          <w:sz w:val="20"/>
        </w:rPr>
        <w:t>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significantly scaled and expanded our business and operations, which has led to increased usage of our offerings from new and existing customers. Accordingly, we have limited experience in, and data and results from, operating our business at its current scale, scope, and complexity and in a rapidly evolving market and economic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or regulatory environments and industries. In particular, we face risks and challenges relating to our ability to,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accurately forecast our orders, GTV, and revenue and budget for and manage our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attract new retailers, customers, brands, and shoppers and retain or increase the engagement of existing retailers, customers, brands, and shoppers in a cost-effective manner;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plan for and manage capital expenditures;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 and respond to macroeconomic changes and changes in the markets in which we operate,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growth as the market for online grocery shopping continues to evolve;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deploy our capital toward strategic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our geographic reach;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people at all levels of our organization;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maintain and enhance our offerings and our technology infrastructure for retailers, customers, brands, and shoppers.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future growth will depend heavily on our ability to successfully execute on our strategic initiatives. For example, as we continue to expand our business, we have introduced and scaled new features, use cases (such as convenience and restaurants), fulfillment options (such as pickup and priority), and functionalities in our offerings (such as flyers and loyalty programs), and made strategic investments in new technologies and initiatives (such as our enterprise offerings, including AI Solutions). We have also invested heavily in Instacart Ads capabilities and in growing the number of brands that use our services. In addition, we continue to invest in international expansion and strategic initiatives such as Instacart Business and Instacart Health to expand the</w:t>
      </w:r>
      <w:r>
        <w:rPr>
          <w:color w:val="0000FF"/>
        </w:rPr>
        <w:t xml:space="preserve"> </w:t>
      </w:r>
      <w:r>
        <w:rPr>
          <w:rFonts w:ascii="Times New Roman;serif" w:hAnsi="Times New Roman;serif"/>
          <w:b w:val="false"/>
          <w:color w:val="000000"/>
          <w:sz w:val="20"/>
        </w:rPr>
        <w:t>scope of our business. Our future growth depends on the perceived value of our expanded offerings as a whole to retailers, customers, brands, shoppers, and strategic partners, as well as our ability to balance the effects of various strategic initiatives, including our focus on further scaling our operations to improve our margin and profitability. For example, we may experience fluctuations in our growth due to changes in average order value as a result of restaurant orders and lowered basket minimums for Instacart+ members to receive $0 delivery fees, new or updated pricing strategies, or other strategic initiatives.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limited history and experience operating our current business may also negatively impact our ability to plan strategic investments and initiatives to further expand our business and offerings, including to support our retail partners, customers, brand partners, and shoppers,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new marketing, merchandising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consumer awareness strategies, Connected Stores, AI Solutions, and international expansion.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retain, manage, and train employees in information technology infrastructure, financial and accounting systems and controls, sales and marketing and engineering capabilities, operations and support infrastructure, as well as employees in geographically dispersed locations to service new and existing customers. We may not successfully accomplish any of these objectives in a timely manner or at all.</w:t>
      </w:r>
    </w:p>
    <w:p>
      <w:pPr>
        <w:pStyle w:val="TextBody"/>
        <w:bidi w:val="0"/>
        <w:spacing w:lineRule="auto" w:line="288" w:before="240" w:after="240"/>
        <w:ind w:left="0" w:right="0" w:firstLine="360"/>
        <w:jc w:val="both"/>
        <w:rPr/>
      </w:pPr>
      <w:r>
        <w:rPr>
          <w:rFonts w:ascii="Times New Roman;serif" w:hAnsi="Times New Roman;serif"/>
          <w:b w:val="false"/>
          <w:color w:val="000000"/>
          <w:sz w:val="20"/>
        </w:rPr>
        <w:t>You should consider and evaluate our prospects in light of the risks and uncertainties frequently encountered by growing companies in rapidly evolving markets, in particular, markets such as the online grocery industry that are or could be materially impacted by significant regulatory changes, tariffs or other trade restrictions, global pandemics, and economic recessions. If our assumptions regarding the risks and uncertainties that we consider in planning and operating our business are incorrect or</w:t>
      </w:r>
      <w:r>
        <w:rPr>
          <w:color w:val="0000FF"/>
        </w:rPr>
        <w:t xml:space="preserve"> </w:t>
      </w:r>
      <w:r>
        <w:rPr>
          <w:rFonts w:ascii="Times New Roman;serif" w:hAnsi="Times New Roman;serif"/>
          <w:b w:val="false"/>
          <w:color w:val="000000"/>
          <w:sz w:val="20"/>
        </w:rPr>
        <w:t>change, or if we do not address these risks and uncertainties successfully, including due to the lack of historical data from and experience in operating our business at its current scale, scope, and complexity, the continued evolution of our business and the online grocery industry, or other factors, our results of operations could differ materially from our expectations, and our business,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history of losses, and we may be unable to sustain or increase profitability or generate profitable growth in the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$457 million and $447 million for the years ended December 31, 2024 and 2025, respectively, we have historically experienced significant net losses, including a net loss of $1.6 billion for the year ended December 31, 2023, primarily as a result of stock-based compensation expense we recognized in connection with the vesting of certain restricted stock units (“RSUs”) and vesting of restricted stock in connection with our initial public offering (“IPO”). As of December 31, 2025, we had an accumulated deficit of $4.5 billion. We will need to sustain or increase revenue while managing our costs to sustain or increase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generate and expand profitability is highly impacted by growth in our diversified revenue streams and our ability to drive operational efficiencies in our business. Our efforts to maintain and increase our profitability may not succeed due to factors such as evolving consumer behavior trends in grocery shopping, including the impacts of future public health outbreaks, impacts on prices of goods due to trade policies enacted or proposed by the United States, such as tariffs or other trade restrictions, uncertainty related thereto, and responses by foreign governments to such policies, inflationary pressures or other factors, actual or perceived risk of an economic recession, unfavorable macroeconomic conditions, customer engagement and retention, changes in our revenue mix and retailer, customer, and brand partner fees, the costs associated with complying with evolving regulatory regimes, including costs associated with order fulfillment, collection and credit risks, our ability to hire and retain highly skilled personnel, our ability to effectively scale our operations, and the continuing evolution of the online grocery industry, many of which are beyond our control.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generate and expand profitability also depends on our ability to manage our costs. We have expended and expect to continue to expend substantial financial and other resources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increase the engagement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drive adoption of our offerings through marketing and incentives and increase awareness through brand campaigns;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enhance Instacart with new offerings, including through partnerships, use cases, features, including flyers and loyalty programs, fulfillment options, member benefits, such as unlimited $0 delivery fees on orders over a certain size, and other exclusive benefits for Instacart+ members, and functionality, including through strategic investments and expanded technologies, such as AI Solutions;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invest in our operations to continue scaling our business and expanding internationally to achieve and sustain long-term efficiencies.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such as to include new use cases, technologies, fulfillment options, geographic markets, or retail categories, may initially harm our profitability. We have also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the pace of such expansion has normalized and may decelerate further in the future. We may encounter unforeseen operating expenses, difficulties, complications, delays, and other factors, including as we expand our business, execute on strategic initiatives, continue to expand internationally, and navigate macroeconomic uncertainty and any future public health concerns or outbreaks, which may result in losses or a failure to generate or expand profitable growth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granted RSUs to our employees and directors, which primarily vest upon the satisfaction of a service-based vesting condition. Stock-based compensation expense related to these RSUs and other outstanding equity awards will result in fluctuations in our expenses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such, due to these factors and others described in this “Risk Factors” section, we may not be able to sustain or increase profitability or generate profitable growth in the future. If we are unable to sustain or increase profitability, the value of our business and the trading price of our common stock may be negatively impacted.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attract and expand our relationships with consumers, brands, and shoppers, we must attract new retailers and maintain our relationships with existing retailers. Consumers have strong preferences for their favorite retailers due to the trust these retailers have created over generations, and our ability to increase consumer and brand adoption of Instacart depends on our ability to attract and maintain our retail partners and maintain or increase their adoption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that may not be within our control or whose impacts are difficult to predict. For example, macroeconomic effects from supply shortages and inflation have previously resulted in fluctuations in consumer shopping behaviors and preferences. An increase in retailer operating costs, or other deterioration in the financial condition of retailers, whether due to macroeconomic conditions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services agreements with our retail partners that provide for service fees in exchange for providing access to our technology platform.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have in the past decided and may in the future decide to not renew their agreements while others have in the past modified and may in the future modify their agreement terms in a cost-prohibitive or strategically detrimental manner when their agreements are up for renewal due to factors such as macroeconomic uncertainty, dissatisfaction with existing or proposed terms in their service agreements, changes in consumer shopping behavior and preferences on Instacart and among our use cases, fulfillment options, and competitive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and other factors. Some retailers have in the past shifted and may in the future shift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Retailers could also experience downturns or fail, including due to macroeconomic pressures, experience labor shortages or disputes,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generate significant GTV and revenue from a small number of retailers. Our top three retailers accounted for approximately 43% of our GTV for the years ended December 31, 2023 and 2025, and 42% for the year ended December 31, 2024.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 any of these retailers were to suspend, limit, or cease their operations or otherwise terminate their relationships with us, the attractiveness of Instacart to consumers and brands could be materially and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primarily recognize revenue in the amount that we have the right to invoice as advertising services are rendered, which occurs upon delivery of clicks, upon delivery of impressions, over the contract term on a fixed fee basis, or upon redemption of coupons. Payment for our advertising offerings is generally due 30 to 90 days after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and surfaces where we offer advertising, attract new retailers, marketplaces, and platforms and expand our relationships with existing retailers, marketplaces, and platforms, acquire new customers and increase the engagement of existing customers, and increase the breadth and functionality of our advertising products to create more value for our brand partners,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expand our relationships with more retailers, marketplaces, and platforms, acquire new customers or increase the engagement of existing customers, or acquire new brand partners or increase the engagement of existing brand partners, we may not be able to successfully grow our advertising and other revenue. In addition, our advertising and other revenue growth rate and our advertising and other investment rate have fluctuated and may continue to fluctuate, particularly during periods of acceleration or deceleration in our GTV growth. Our advertising and other investment rate may also fluctuate if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also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Additionally, many state legislatures have enacted laws and regulations granting consumers the right to opt-out of a company’s sharing of personal data for advertising purposes in exchange for money or other valuable consideration and imposing certain obligations on covered businesses with respect to consumers’ personal data. Partially as a result of these developments, individuals are becoming increasingly resistant to the collection, use, and sharing of personal data to deliver targeted advertising. Individuals are now more aware of options related to consent, privacy preference mechanisms (such as browser signals from the Global Privacy Control), and “ad-blocking” software to prevent the collection of their personal data for targeted advertising purposes. The long-term impact of these and other privacy and regulatory changes remains uncertain and may harm our growth, business, and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as a result of trade policies enacted or proposed by the United States, such as tariffs or other trade restrictions, uncertainty related thereto, and responses by foreign governments to such policies, global supply chain disruptions, labor shortages or disputes, changing consumer preferences, geopolitical conflicts, and reduced consumer confidence. These factors have had a negative impact on our advertising revenue, and such impact is expected to continue in future periods. These factors may also negatively impact 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brand partners have in the past reduced, and may in the future reduce, their spend on Instacart as a result of decreases in our GTV growth, the timing of adoption of new advertising formats and offerings, or for any other reason, which has in the past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markets in which we compete are evolving rapidly and are highly competitive with increasing competitive pressure. Our business is complex and encompasses a range of technologies, offering types, and fulfillment methods that serve the diverse needs of our constituents.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and (vi) companies that offer direct to consumer ingredient or meal offerings, such as Blue Apron (owned by Wonder Group)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platform.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retail media network solutions, and AI-powered grocery tools.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FoodStorm, Carrot Tags, and other in-store applications, which face competition from other retailer technology solution providers, such as Amazon and Hanshow.</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With respect to Instacart Ads, our current and potential competitors include, but are not limited to: (i) third-party platforms that assist retailers with monetization of their digital offerings for consumers, such as CitrusAd (acquired by</w:t>
      </w:r>
      <w:r>
        <w:rPr>
          <w:color w:val="0000FF"/>
        </w:rPr>
        <w:t xml:space="preserve"> </w:t>
      </w:r>
      <w:r>
        <w:rPr>
          <w:rFonts w:ascii="Times New Roman;serif" w:hAnsi="Times New Roman;serif"/>
          <w:b w:val="false"/>
          <w:color w:val="000000"/>
          <w:sz w:val="20"/>
        </w:rPr>
        <w:t>Publicis Groupe), Criteo, Moloco,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restaurants offered on Instacart’s Marketplace via our partnership with Uber, there are a number of competitors to such offering available through Instacart including, but not limited to: (i) local on-demand delivery companies such as DoorDash, Uber Eats via Uber’s native applications, and Grubhub (acquired by Wonder), (ii) restaurants that have their own online ordering platform or online ordering systems, and (iii) other businesses that offer online ordering of prepared meals. Many consumers also rely on offline ordering channels, such as take-out offerings, telephone, and paper menus advertised by restaurants to consumers. The cost to switch between providers of online restaurant delivery is low for consumers, and consumers within various demographics have a propensity to shift to the lowest-cost or highest-quality provider and may use more than one delivery platform. In addition, competitors may offer different restaurant selection or restaurant delivery focused memberships that discourage consumers from switching to our offering.</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while we work to expand further in the United States and Canada and scale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sales or capture increasing share of the online grocery market or advertising budgets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engage, attract, or retain shoppers on Instacart, our business could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Shoppers perform certain tasks for customers, including picking and delivering goods, on Instacart. We enter into agreements with shoppers for them to provide fulfillment and other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there are not enough shoppers on Instacart, customer orders may be late, go unfulfilled, or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and actual or perceived economic advantages of providing services with other companies that engage independent contractors, including our competitors, our growth objectives and our business and prospects could be seriously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experienced, and expect to continue to experience, shopper shortages, often due to factors that are not within our control and which may be difficult to predict. Shoppers have significant flexibility regarding the in-store tasks they want to perform, including when, where, and how they wish to shop and may also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that can arise due to factors outside of our control, such as inclement weather.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other online grocery platforms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in the past imposed and may in the future impose requirements forcing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or interpretations by agencies of the applicability of a retailer or brand collective bargaining agreement to certain tasks shoppers perform, may also negatively affect our ability to attract and retain retailers, customers, or shoppers. Even if some or all of such changes are ultimately not costly or time-consuming, they could reduce the number of shoppers in those markets or extend the time required to recruit new shoppers to Instacart, which could adversely impact our growth, business,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Often, we are forced to balance tradeoffs between the satisfaction of various constituents on Instacart, as a change that one category views as positive may be viewed as negative to another category. For example, we take certain measures that</w:t>
      </w:r>
      <w:r>
        <w:rPr>
          <w:color w:val="000000"/>
        </w:rPr>
        <w:t xml:space="preserve"> </w:t>
      </w:r>
      <w:r>
        <w:rPr>
          <w:rFonts w:ascii="Times New Roman;serif" w:hAnsi="Times New Roman;serif"/>
          <w:b w:val="false"/>
          <w:color w:val="000000"/>
          <w:sz w:val="20"/>
        </w:rPr>
        <w:t>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failure to achieve increased market acceptance of online grocery shopping and our offerings could seriously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traditional consumer in-store experience through an online platform or with connected shopping experiences is difficult due to broad consumer demands on selection, quality, affordability, and convenience. Grocery shopping habits and related consumer preferences are complex and diverse across and within geographies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shopping habits and preferences, and the methods at our disposal to exercise such influence (including marketing and incentives), may be limited, and we are dependent on external influences over shopping habits and macroeconomic factors.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changing consumer preferences, technological change, brand recognition, and growth or contraction in our markets. If we fail to achieve increased market acceptance of our offerings, our business could be seriously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Mergers or other strategic transactions by competitors or retailers could weaken our competitive position and adversely affect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one or more competitors or retailers were to merge, acquire, or partner with another competitor or retailer, the change in the competitive landscape could adversely affect our ability to compete effectively. Consolidation amongst major retail partners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or strategic partnerships,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results of operations could vary significantly from quarter to quarter and year to year because of a variety of factors, many of which are outside of our control. As a result, comparing our results of operations on a period-to-period</w:t>
      </w:r>
      <w:r>
        <w:rPr>
          <w:color w:val="0000FF"/>
        </w:rPr>
        <w:t xml:space="preserve"> </w:t>
      </w:r>
      <w:r>
        <w:rPr>
          <w:rFonts w:ascii="Times New Roman;serif" w:hAnsi="Times New Roman;serif"/>
          <w:b w:val="false"/>
          <w:color w:val="000000"/>
          <w:sz w:val="20"/>
        </w:rPr>
        <w:t>basis may not be meaningful. In addition to other risk factors discussed in this section, factors that may contribute to the variability of our quarterly and annual results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our ability to accurately forecast revenue and appropriately plan our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prior or future public health threats on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and fulfillment option mix shifts as we enhance Instacart with new offerings, use cases, and functionality, as well as changes in mix of revenue contribution from advertising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the recognition of our deferred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strategic investments and expenditures, including international expansion;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operating expenses, including cost of revenue, as we seek to improve efficiencies, comply with changing regulatory requirements, and expand our business, offerings, and technologies;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seasonality of our business, including as a result of inclement weather;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collect payments from retailers and brands on a timely basis.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results of operations to vary significantly. In particular, we experienced substantial growth in prior periods and made significant changes to our business, including through scaling our operations to meet the increased demand and implementing new business and product initiatives, which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or macroeconomic conditions. As such, for these and other factors stated above, quarter-to-quarter and year-over-year comparisons of our results of operations may not be meaningful and should not be unduly relied upon as an indication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flows have fluctuated and may continue to fluctuate significantly from period to period as a result of new initiatives, the timing of payments made to and/or received from retailers, shoppers, and vendors, and certain transaction types, such as those involving EBT SNAP benefits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the last day of each reporting period. Due to this timing, our cash flows from operating activities may not be directly comparable from period to period.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Seasonality may cause fluctuations in our sales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growth in offerings, such as restaurants, acquisitions, and disruptive events, such as future public health outbreaks, may obscure future seasonality trends. Moreover, other seasonal trends may develop, including from new offerings, or these existing seasonal trends may become more extreme, and the existing seasonality and</w:t>
      </w:r>
      <w:r>
        <w:rPr>
          <w:color w:val="0000FF"/>
        </w:rPr>
        <w:t xml:space="preserve"> </w:t>
      </w:r>
      <w:r>
        <w:rPr>
          <w:rFonts w:ascii="Times New Roman;serif" w:hAnsi="Times New Roman;serif"/>
          <w:b w:val="false"/>
          <w:color w:val="000000"/>
          <w:sz w:val="20"/>
        </w:rPr>
        <w:t>customer and shopper behavior that we experience may change or become more significant, which would contribute to fluctuations in our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or the third parties we rely on experience a compromise to the confidentiality, integrity, or availability of our or their systems, or to data of our customers, shoppers, partners, employees,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IT systems or data (or those of third parties upon which we rely or otherwise engage with), or disrupting our ability (or that of third parties with whom we work) to provide our offerings, products, and/or services, could materially impact our business and results of operations. We face evolving cybersecurity threats and threat actors including but not limited to state-sponsored and advanced persistent threat actors, malicious code and malware (such as viruses, worms and ransomware), social engineering (including deep fakes, which may be increasingly difficult to identify as fake, phishing, and vishing), denial-of-service attacks, credential harvesting, credential stuffing, supply-chain attacks, server malfunctions, software or hardware failures, security bugs, vulnerabilities or misconfigurations in the software or systems on which we rely, loss of data or other information technology assets, adware, telecommunications failures, attacks enhanced or facilitated by AI, earthquakes, fires, floods, and other similar threats. In addition, malfeasance, error, theft, or misuse by our own personnel or the personnel of our strategic partners, our collaborators, or the third-party service providers with which we engage,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our intellectual property, financial data, or employee, retailer, customer, brand, or shopper data, could adversely affect our business and results of operations, particularly if such information is provided to or accessed by a competitor.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third parties. Third-party and supply chain attacks have increased in frequency and severity and we cannot guarantee that the security of our service providers or any of their partners has not been materially compromised. We also cannot be certain that our contracts with these third parties will allow us to obtain indemnification or recovery from them for data security-related liability that they cause us to incur.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maintain, sell, and distribute our offerings and services. In particular, severe ransomware and extortion attacks are becoming increasingly prevalent and can lead to significant interruptions in our operations, loss of sensitive data and income, reputational harm, and diversion of funds.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remote work poses risks to our information technology systems and data, as our employees utilize network connections, computers, and devices outside our premises or network, including working at home, while in transit, and in public locations. For example, technologies in our employees’ and service providers’ homes are often not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and past business transactions with other parties (such as acquisitions, strategic partnerships, collaborations, or integrations) have exposed us to additional cybersecurity risks and vulnerabilities associated with those parties, such as security issues that were not identified during due diligence, and difficulty or incomplete integration of their systems into our information technology environment and security program.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third-party providers regularly experience cyberattacks and other security incidents, and we expect such attacks and incidents to continue. For example, we regularly experience credential stuffing attacks in which malicious third parties use credentials compromised in data breaches suffered by other companies or otherwise improperly obtain credentials to access shopper or customer accounts on Instacart, as well as sophisticated social engineering attacks, which, if successful, could lead to the installation of malware on our network and unauthorized access to and acquisition of information. It is increasingly difficult and costly to detect, investigate, mitigate, contain, and remediate a security incident. Actions taken by us or the third parties with whom we work to detect, investigate, mitigate, contain, and remediate a security incident could result in outages, data losses, and disruptions of our business, which presents additional opportunities for threat actors to gain access to other networks and systems.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take steps designed to detect, mitigate, and remediate vulnerabilities in our information systems (such as our hardware and/or software, including that of third parties with whom we work). We are unable to comprehensively apply patches or confirm that measures are in place to mitigate all such vulnerabilities, or that patches will be applied before vulnerabilities are exploited, resulting in a security incident.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and our third-party providers cannot anticipate, or implement adequate preventative measures to address all cybercrime and hacking techniques (including the use of AI) used by threat actors, including those that are designed to circumvent controls, avoid detection, and remove or obfuscate forensic artifacts. Any or all of the following could independently or in the aggregate cause a material adverse impact to our business, financial condition, and results of operations: loss of customer confidence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security of Instacart and damage to our brand, reduced demand for our offerings,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require us to notify relevant stakeholders of certain security incidents, including affected individuals, customers, regulators, and investors, or to take other actions, such as providing credit monitoring and identity theft protection services. Such disclosures are costly, and the disclosure or the failure to comply with such requirements could lead to adverse consequences, including potential statutory damages. We have expended and may in the future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These risks are expected to increase as we continue to grow and process, store, and transmit increasingly large amounts of data, including across different jurisdictions.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Interruptions or performance problems, including failure to ensure accessibility, associated with our offerings and technology capabilities may adversely affect our business, financial condition,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prices or discounts available to consumers, cause incorrect calculations relating to the payments we make to or fees we receive from or charge to retailers, customers, brands, or shoppers, or create vulnerabilities in our systems which bad actors may exploit to perpetrate fraud or otherwise harm our business. We have from time to time found defects or errors in our system and may discover additional defects or errors in the future that could result in platform unavailability or system disruption. In addition, we have experienced, and may in the future experience, disruptions, outages, operational errors, and other performance problems due to a variety of other factors, including infrastructure changes, introductions of new functionality, defects in third-party software, human errors, capacity constraints due to an overwhelming number of customers accessing our offerings and technology capabilities simultaneously, website hosting disruptions, cloud provider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and losses of customers or retailers due to perceived weaknesses in our systems and protective measures. In addition, the affected party could seek monetary recourse from us for their losses, and such claims, even if unsuccessful, would likely be</w:t>
      </w:r>
      <w:r>
        <w:rPr>
          <w:color w:val="0000FF"/>
        </w:rPr>
        <w:t xml:space="preserve"> </w:t>
      </w:r>
      <w:r>
        <w:rPr>
          <w:rFonts w:ascii="Times New Roman;serif" w:hAnsi="Times New Roman;serif"/>
          <w:b w:val="false"/>
          <w:color w:val="000000"/>
          <w:sz w:val="20"/>
        </w:rPr>
        <w:t>time-consuming and costly for us to address. Further, in some instances, we may not be able to identify the cause or causes of these performance problems or adequate remedies within an acceptable period of time. Moreover, some of our offerings rely on the software and technology capabilities of third parties, our strategic partners, or our collaborators, all of which are subject to the interruption and performance problem risks described above and which have required and will require third-party collaboration to detect and remediate.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are not able to continue to introduce new features or offerings successfully and to make enhancements to existing offerings, our ability to grow and operate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 introduction and completion, sufficient demand, and cost effectiveness. It is difficult to accurately predict retailer, consumer, brand, or shopper adoption of new features or offerings, and related shifts in consumer shopping behavior, as well as our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or regulatory challenges and competing technologies to gain market acceptance, then our business and results of operations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develop new offerings, features, and functionality to meet industry demands is important to our value proposition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retailers, 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Artificial intelligence and machine learning technologies, including our use of such technologies and use of such technologies by our competitors, could result in reputational harm, competitive harm, or legal liability, and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continue to incorporate additional AI (including machine learning) technologies into our platform, offerings, services, and features, including those based on large language models, and these applications have become more important to our operations and to our future growth over time. For example, we recently launched AI Solutions, a new collection of enterprise offerings that bring AI-powered capabilities to our retail partners. We intend to rely on AI and develop additional AI offerings, tools, and features to help drive future growth in our business and reduce costs. There can be no assurance that we will realize the desired or anticipated benefits from, adoption of, or reactions to AI Solutions, other AI offerings that we may develop, or AI technologies that we may use, integrate, or rely upon, and past results with respect to the foregoing may not reliably indicate future results. We may also fail to properly implement or market AI Solutions or other AI offerings or effectively manage the costs associated with developing and supporting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offerings, any of which could adversely affect our profitability, financial condition, and results of operations. Our competitors or other third parties may incorporate AI into their products more quickly or more successfully than us, which could impair our ability to compete effectively and adversely affect our results of operations. Additionally, our offerings based on AI or other uses or reliance upon AI tools in our business may expose us to lawsuits, regulatory investigations, and penalties, as well as subject us to legal liability and brand and reputational harm. For example, if the content, analyses, or recommendations that AI offerings or AI tools assist in producing are or are alleged to be deficient, inaccurate, misleading, deceptive, unfair, or biased, or infringe on third-party intellectual property rights, our business, financial condition, and results of operations may be adversely affected. Third-party AI technologies, including agent-based applications capable of performing online tasks on behalf of users, may change how consumers discover, access, and interact with our offerings, including our advertising offerings, or may divert consumers from engaging with our offerings altogether. For example, these technologies may, among other things, influence search results or the presentation of options in ways that could increase visibility for competing offerings or otherwise shape when and how consumers interact with our offerings. Failure to adapt our offerings to such technologies may in the future impact our financial performance and results of operations. Additionally, although we have invested in AI tools for internal use, there can be no assurances that we will successfully develop, employ, or manage the costs associated with such tools, or that our personnel will effectively adopt and leverage such tools, to improve productivity and operational efficiencies. Moreover, we rely on third-party providers for many of the AI technologies underlying our offerings and our internal AI tools. Such providers may increase pricing, alter or discontinue the terms on which they make their technology available to us, experience outages or security incidents, or otherwise fail to meet our requirements, and we may be unable to find suitable alternatives on commercially reasonable terms or at all. Additionally, such providers may develop their own features or tools that compete with our offerings. Any of the foregoing could disrupt our operations, increase our costs, or otherwise adversely affect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foreign, federal, state, and local regulators have adopted, or are in the process of adopting, comprehensive legal frameworks governing AI, machine learning, and automated decision-making systems. Additionally, certain privacy laws extend rights to consumers, such as the right to delete certain personal data and regulate automated decision making. These and any future laws and regulations may increase compliance costs and complexity and impact our ability to utilize AI or develop or deploy AI offerings, which could adversely affect our business, financial performance, and results of operations. Any failure or perceived failure by us to comply with such requirements may subject us to lawsuits or regulatory investigations, negatively impact our brand and reputation, result in fines and/or orders to disgorge data from AI offerings or AI tools, and have an adverse impact on our business. Our use of AI tools may also create additional confidentiality, security, and related risks. For instance, sensitive information (including confidential, competitive, proprietary, or personal data) that we input into or is otherwise accessible by a third-party AI tool could be leaked or disclosed to others, including if sensitive information is used to train a third party’s AI model. Additionally,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substantial investments to expand our offerings and technologies to capitalize on new and unproven business opportunities, including new fulfillment options and use cases, international expansion, expansion into retail categories outside of grocery, the development of hardware products, and automated AI technologies. We intend to continue investing significant resources in developing these technologies, tools, initiatives, features, and offerings that we believe will enable our success in new markets or areas of business and/or strengthen our core business. For example, we launched AI Solutions, a new collection of enterprise offerings that bring AI-powered capabilities to our retail partners. If we do not spend our development budget efficiently or effectively on commercially successful and innovative technologies 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technologies could distract management from current operations and divert capital and other resources from our more established offerings and technologies.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in particular, if such expenses increase as a result of trade policies enacted or proposed by the United States, such as tariffs or other trade restrictions, uncertainty related thereto, and responses by foreign governments to such policies, and other hardware-related costs. For example, any interruption to the manufacturing, inventory, or import and export of hardware products produced by Caper may negatively impact the development, deployment, and adoption of such products.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w:t>
      </w:r>
      <w:r>
        <w:rPr>
          <w:color w:val="0000FF"/>
        </w:rPr>
        <w:t xml:space="preserve"> </w:t>
      </w:r>
      <w:r>
        <w:rPr>
          <w:rFonts w:ascii="Times New Roman;serif" w:hAnsi="Times New Roman;serif"/>
          <w:b w:val="false"/>
          <w:color w:val="000000"/>
          <w:sz w:val="20"/>
        </w:rPr>
        <w:t>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including in their interpretations of existing retailer or brand collective bargaining agreements,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 customer relationship management based marketing that includes push notifications, text messaging, email marketing, linear television, audio, and shopping ads; and co-marketing efforts with retailers, payment providers, brands, and other partners. Some of these marketing efforts rely on our ability to utilize third-party systems or platforms, which are subject to their own operational and regulatory risks. To drive existing customer reengagement, we also utilize targeted promotions including time-limited $0 delivery offers and coupons. We also provide incentives to brands to advertise on our platform, increase their engagement, and promote the launch of new advertising solutions.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or if we reduce our marketing expenditures, we expect that our business, financial condition, and results of operations would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engage or expand our base of retailers, customers, brands, and shoppers will be impaired and our business, financial condition, and results of operations may suffer.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effects could occur as a result of trust and safety or fraud incidents. The loss of customers or retailers due to poor shopper performance or a trust and safety incident caused by</w:t>
      </w:r>
      <w:r>
        <w:rPr>
          <w:color w:val="0000FF"/>
        </w:rPr>
        <w:t xml:space="preserve"> </w:t>
      </w:r>
      <w:r>
        <w:rPr>
          <w:rFonts w:ascii="Times New Roman;serif" w:hAnsi="Times New Roman;serif"/>
          <w:b w:val="false"/>
          <w:color w:val="000000"/>
          <w:sz w:val="20"/>
        </w:rPr>
        <w:t>a shopper, customer, or third party could harm our business. In addition, negative publicity related to strategic partners,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offer high-quality support, our ability to attract and engage customers and shoppers could suffer.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and shoppers rely on our and our partners’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including self-service and AI tools. Those technologies have in the past and may in the future fail to perform as expected or fail to adequately address support issues resulting in customer and shopper dissatisfaction. If we do not help customers and shoppers quickly resolve issues and provide effective ongoing support, our ability to maintain and expand our revenue from existing and new customers could suffer, as well as our reputation with existing or potential customers.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pricing methodologies are impacted by a number of factors and ultimately may not be successful in attracting and engaging retailers, customers, brands, and shoppers. Future changes to our pricing model could adversely affect our business.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launching or scaling new strategic initiatives or use cases, legal and regulatory requirements, constraints, or changes, supply chain issues, the price sensitivity of consumers in different income groups or other demographics, inflation, and our current and future competitors’ pricing and marketing strategies, have in the past significantly affected and may in the future significantly affect our pricing strategies. For example, certain of our competitors offer, or may in the future offer, lower-priced or a broader range of offerings, including subscription offerings for bundled services. Moreover, some jurisdictions in which we operate have established requirements to engage certain delivery workers, including around shopper pay and benefits, shopper access to our platform, and other types of regulations governing our engagement of shoppers, and we expect other such measures may be enacted in the future. Such competition, regulation, or other factors may cause us to change the fees we charge customers, increase the incentives we pay to shoppers who use Instacart, adjust the fees we charge retailers or brands, or increase our marketing and other expenses to attract and maintain or increase the engagement of retailers, customers, brands, and shoppers. We have launched, and may in the future launch, new or updated pricing strategies and initiatives, such as subscription offerings like Instacart+, and customer or shopper loyalty programs, or we may modify existing pricing methodologies or pricing models and fulfillment options. These new or updated pricing strategies and initiatives may not ultimately be successful in attracting and engaging retailers, customers, brands, or shoppers or may negatively impact growth rates, customer retention, and engagement as well as our financial results. We also offer brands and retailers tools and products, including through our Eversight business, to enable them to formulate their pricing and promotions strategies. If these solutions fail to generate improved results for brands and retailer sales, brands and retailers may choose to not use such solutions. To the extent these solutions result in negative publicity or consumer perception, our brand reputation and our ability to attract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retain customers could be harmed, and we have in the past decided, and may in the future decide, to cease offering certain tools and products as a result. In addition, government authorities and regulators have recently been increasingly focused on grocery prices and related pricing methodologies and practices, including through the passage of new laws and regulations, which may impact our ability to offer, or cause us to cease offering, certain tools and products. The increasing complexity of our pricing models and related expansion of our business may also require us to update our internal systems for invoicing retailers or brands or incur costs to remediate errors or disputes in existing invoices.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Further, consumers’ price sensitivity may vary by geographic location, and as we expand, our current pricing methodologies may not enable us to compete effectively in these locations. In particular, as we continue expanding internationally, we may be required to change our pricing strategies and to adjust to different cultural norms, including with respect to consumer pricing and gratuities. While we do and will attempt to set prices for our services based on our prior operating experience and customer, retailer, brand, and shopper feedback and engagement levels, our assessments may not be accurate, our ability to assess or implement changes may be constrained, there may be errors in the technology used to price our services, and we could be underpricing or overpricing our services as a result. In particular, we have limited experience pricing our offerings in volatile macroeconomic environments and at the current scale, scope, and complexity of our business. As a result, our historical data and operating experience may be insufficient to adequately</w:t>
      </w:r>
      <w:r>
        <w:rPr>
          <w:color w:val="0000FF"/>
        </w:rPr>
        <w:t xml:space="preserve"> </w:t>
      </w:r>
      <w:r>
        <w:rPr>
          <w:rFonts w:ascii="Times New Roman;serif" w:hAnsi="Times New Roman;serif"/>
          <w:b w:val="false"/>
          <w:color w:val="000000"/>
          <w:sz w:val="20"/>
        </w:rPr>
        <w:t>inform our future pricing strategies. In addition, we may need to revise our pricing methodologies as we continue to develop new offerings and features. Changes to any components of our pricing model may, among other things, result in customer dissatisfaction, lead to a loss of customers on Instacart, and seriously harm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third-party conduct. 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shoppers or individuals impersonating shoppers or customers engage in criminal activity, fraud, including identity theft, use of stolen or fraudulent credit card data, misconduct, breach of our terms of service, or inappropriate conduct or use Instacart as a conduit for criminal activity, or we fail to identify or detect, or experience delays in identifying or detecting such activity or events, or if we are prevented from deactivating such individuals or otherwise taking action to stop such activity, including as a result of regulations, our financial results may be negatively impacted, our offerings may not be viewed as safe, reliable, or appealing, and we may receive negative press coverage as a result. Such negative public perception of our offerings or brand would adversely impact our brand, reputation, and business. We have in the past experienced, and may experience in the future, inappropriate conduct and criminal activity by certain shoppers or other bad actors, including fraudulent uses of credit cards, manipulation or falsification of data related to shopper activity,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are regularly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regularly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our products and offerings, this insurance risk will grow.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impact of macroeconomic and geopolitical conditions, public health incidents, weather events, and natural catastrophes, including the resulting effect on consumer spending, may harm our business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vary based on the impact of disruptive events or changes in our industry or the economy on us and retailers, consumers, brands, and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our business is impacted by the amount of disposable income that consumers have to spend on online grocery shopping. Actual or perceived risks of an economic recession, elevated interest rates, cessation of, interruptions to, or changes to government aid programs, tariffs or other trade restrictions enacted by the United States and responses by foreign governments to such policies, and inflationary pressures have in the past resulted and may in the future result in decreased customer retention and engagement as consumers may opt to purchase groceries or other consumer goods themselves, instead of through Instacart, or choose to purchase groceries from bargain or other lower-cost retailers that are not on Instacart, as well as reduced advertising spending by brands. We may not be able to fully offset higher costs through operational efficiencies and/or pricing strategies, and while certain of our new offerings are focused on value and affordability, these initiatives may not fully offset pricing challenges faced by customers. In addition, increases in food, labor, fuel, rent, energy, supply, and other costs, many of which are beyond the control of our retail partners, have increased retailers’ operating costs and caused our retail partners to raise prices and may cause further price increases in the future. In many cases, these retailers may not be able to pass along these increased costs to consumers and, as a result, may reduce product offerings or cease operations. If spending at many of the retailers in our network declines, or if a significant number of these retailers goes out of business, consumers may be less likely to use our service, which could harm our business and results of operations. Reduced customer spending on Instacart could also cause our retail partners to reduce or cease engagement with Instacart. Further, increases in gas prices or other factors that increase the costs to operate motor vehicles could make it prohibitively expensive for shoppers to deliver to customers.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negative conditions in the general economy both in the United States and abroad resulting from disruptive events, including future public health threats, geopolitical conflicts, economic sanctions, bank failures, changes in international trade relations, political turmoil, weather 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offerings and the growth of our business may be more severely impacted. In addition, future public health outbreaks could cause operational disruptions and incur additional expenses including expenses associated with health and safety protocols and processes, which could adversely affect our business and results of operations. Further, due to the size, scope, and nature of our operations, the expenses we may need to incur to protect the health and safety of shoppers and certain of our employees in the event of future public health outbreaks may be higher than similar expenses that companies in other industries may need to incur. In addition, these events and any impact of these events on critical infrastructure in the United States and elsewhere, have the potential to disrupt our business and the business of our partners, including supply chain disruptions, as well as the ability of shoppers using Instacart to complete deliveries. Such disruptions may create additional costs for us to maintain or resume operations and may also negatively affect the growth of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operations have grown substantially in recent years, and we expect to continue expanding the scale of our operations. If we are unable to effectively manage that growth, our financial performance and future prospects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we have experienced growth of our operations in the United States, Canada, and Europe.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 new hires perform poorly, if we are unsuccessful in retaining,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any workforce restructuring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 systems, procedures, and controls may not be adequate to support our future operations. We may require additional capital and management resources to grow and mature in these areas. Such investments may also require diversion of financial resources from other projects, such as the development of Instacart and related offerings. If we are unable to manage our growth effectively, it could have a material adverse effect on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depend on highly skilled personnel to grow and operate our business, and if we are unable to hire, retain, and motivate our personnel, we may not be able to grow effectively.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The loss of one or more of our executive</w:t>
      </w:r>
      <w:r>
        <w:rPr>
          <w:color w:val="0000FF"/>
        </w:rPr>
        <w:t xml:space="preserve"> </w:t>
      </w:r>
      <w:r>
        <w:rPr>
          <w:rFonts w:ascii="Times New Roman;serif" w:hAnsi="Times New Roman;serif"/>
          <w:b w:val="false"/>
          <w:color w:val="000000"/>
          <w:sz w:val="20"/>
        </w:rPr>
        <w:t>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any workforce restructuring, and as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business and competitive position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as permitted by our Flex First workforce model. Remote work, as well as any workforce restructuring may negatively impact employee morale and productivity and may also harm collaboration and innovation. If we fail to maintain our company culture, our business and competitive position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exposed to collection and credit risks, which could impact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 economic recession or uncertainty or as a result of any disruptive event such as uncertainty in the political and regulatory environment and financial markets, trade policies enacted or proposed by the United States, such as tariffs or other trade restrictions, uncertainty related thereto, and responses by foreign governments to such policies,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in our public disclosures may prove to be inaccurate, and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Quarterly Report on Form 10-Q.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Acquisitions, strategic investments, partnerships, collaborations, commercial arrangements,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April 2025, we acquired Marlin9 Holdings, Inc., which operates as Wynshop, a provider of ecommerce retail solutions for grocers and retailers, in April 2026, we acquired Instaleap, a global enablement and fulfillment solutions services platform for retailers, and in July 2026, we acquired Arpalus, a computer vision company for grocery retail. We have also entered in the past, and will continue to seek in the future, strategic partnerships, collaborations,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For example, the Department of Justice, the Federal Trade Commission (“FTC”), and various other federal and state-level authorities have recently increased their scrutiny of merger or collaboration activity in the technology sector, including investigations of consumer-facing technology companies’ advertising, pricing, billing, cancellation, and subscription practices, among other areas of scrutiny. Any failure or perceived failure to comply with applicable laws and regulations could subject us to claims and other legal and regulatory proceedings, fines, or other penalties, criminal and civil proceedings, forfeiture of significant assets, and other enforcement actions, and could adversely affect our brand and reputation. In addition, once we have completed an acquisition, we may not be able to successfully integrate the acquired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growth, and financial outcomes that we expect, may raise new compliance-related obligations and challenges,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include significant fees, and often require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timely or cost-effective basis. In addition, we offer certain features or use cases to our customers, such as restaurants, through collaborations. If any such collaborations are terminated or any of our collaborators refuse to renew their agreements with us on commercially reasonable terms, we may need to find other partners to continue offering such features or use cases, and may not be able to secure similar terms or replace such partners in an acceptable time frame. Similarly, our ability to continue providing certain features or use cases could be negatively impacted if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collaborators experience a disruption in their operations, the quality of their services decline, or they are otherwise unable to offer their services as customers expect.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may dilute our existing stockholders and include affirmative or restrictive covenants as well as redemption or repurchase provisions.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risks we face in connection with acquisitions, strategic partnerships, or collaborations include: </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negative impacts to our financial results as a result of incurring charges or fees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inquiries or actions, including changes to applicable regulatory frameworks, changes to the interpretation, administration, or enforcement of such regulations, and/or remedies imposed by antitrust authorities such as divestitures, ownership or operational restrictions, or other structural or behavioral remedies, either as a condition to or following the completion of a transaction;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or unforeseen expenditures in integrating the business, offerings, technologies, personnel, or operations of any company that we acquire or with which we collaborate, particularly if key personnel of an acquired company decide not to work for us, which may result in delays in integration or realization of anticipated synergies or other benefits and/or impede our ability to incorporate their results or contributions in our reported metrics;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disruptions to our ongoing business, diversion of resources, increases to our expenses, and distraction of our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delays or reductions of customer purchases for both us and the company we acquire or with which we collaborate due to customer uncertainty about continuity and effectiveness of service from either company or negative reputational impacts;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for strategic partners or collaborators to establish or strengthen relationships with current or future retailers and customers, or other parties with whom we have relationships, which could limit our ability to promote our offerings to those parties and reduce our number of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in, or inability to, successfully sell any acquired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use of cash to pay for an acquisition limiting other potential uses of our cash;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incur debt to fund an acquisition, such debt may subject us to material restrictions on our ability to conduct our business, as well as financial maintenance covenants;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or how we define such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as of or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applicable period of measurement, there are inherent challenges in these measurements. We have also refined and may further refine in the future our methodology for tracking certain operational metrics from time to time, to the extent practicable, including to improve overall accuracy, as a result of business updates, and to align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w:t>
      </w:r>
      <w:r>
        <w:rPr>
          <w:color w:val="0000FF"/>
        </w:rPr>
        <w:t xml:space="preserve"> </w:t>
      </w:r>
      <w:r>
        <w:rPr>
          <w:rFonts w:ascii="Times New Roman;serif" w:hAnsi="Times New Roman;serif"/>
          <w:b w:val="false"/>
          <w:color w:val="000000"/>
          <w:sz w:val="20"/>
        </w:rPr>
        <w:t>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require additional capital to support the growth of our business, and this capital might not be available on acceptable terms,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We have also expended and may continue to expend substantial funds in connection with the tax withholding and remittance obligations that arise upon the vesting and/or settlement of certain of our RSUs.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trade policies enacted or proposed by the United States, such as tariffs or other trade restrictions, uncertainty related thereto, and responses by foreign governments to such policies, inflationary pressures, elevated interest rates, actual or perceived risks of an economic recession,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revolving credit facility contains financial covenants and other restrictions on our actions that may limit our operational flexibility or otherwise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 credit agreement for a revolving credit facility providing the ability to borrow an aggregate principal amount of up to $500 million. The terms of our revolving credit facility include a number of covenants that limit our and certain of our subsidiaries’ ability to, among other things, incur additional indebtedness, grant liens, merge or consolidate with other companies or sell substantially all of our assets, pay dividends, make redemptions and repurchases of stock, make certain investments and loans, or engage in certain transactions with affiliates. The terms of our revolving credit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failure by us to comply with the covenants or payment requirements specified in the credit agreement could result in an event of default under the credit agreement, which would give the lenders the right to terminate their commitments to provide additional loans under our revolving credit facility and to declare all borrowings outstanding, together with accrued and unpaid interest and fees, to be immediately due and payable. Upon such an event, even if we were able to obtain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financing or negotiate an amendment, waiver, or consent under the credit agreement, it may contain additional restrictions or not be on commercially reasonable terms or on terms that are acceptable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is subject to various laws and regulations, which may change or increase over time and subject us to increased compliance costs and liabilities.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complex and changing laws, rules, and regulations in the United States and other jurisdictions in which we operate, including, without limitation, those governing internet usage and access, text messaging, ecommerce, hardware devices, electronic payments, privacy, data security, data protection, data retention, AI, machine learning, automated decision-making, health information privacy and security, intellectual property, pay and fee transparency, pricing on our platform, consumer protection, marketing and advertising (including terms and conditions and disclosure), subscriptions and memberships, gift cards, consumer safety, bodily injury, property damage, food and product safety, product labeling and traceability, import and export, commerce and contracts, competition, zoning and permitting, sustainability, environmental, tax, insurance, transactions involving our securities, weights and measures, alcohol and other age-restricted products, labor and employment, anti-discrimination, collective bargaining, background checks, worker classification, and shopper rights and compensation (including minimum earnings, onboarding, deactivation, and safety).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 under may be interpreted differently in the future, including as a result of changes to our business and international expansion. Additionally, the scope and interpretation of these laws and regulations, and whether they are applicable to us, are often uncertain and may be conflicting, including varying standards and interpretations between U.S. law and the laws of other jurisdictions, between U.S.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Some of these laws and regulations will, or may in the future, require us to change our business and operations, pricing, or fee disclosures,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statute and local ordinance requirements, and unemployment insurance and workers’ compensation contributions. Although we believe that we comply with applicable legal requirements and that shoppers are properly classified as independent contractors, we may be required to make significant payments, including through settlements, penalties, and interest as a result of these audits. A judgment, settlement, or order issued by a court or governmental body or otherwise in connection with any judicial, administrative, or legal proceeding that results in us being prohibited from continuing to use independent-contractor shoppers in the manner we currently do, may,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require us to adopt novel or different delivery fulfillment strategies or introduce new shopper tasks that result in increased risk of litigation against our existing business model, or may increase risk of adverse determinations in our ongoing actions and proceedings;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significantly increase our costs to serve customers due to potential changes in our business model and fulfillment strategies that would be required;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or prevent the fulfillment of customer orders, cause disruption of service to customers, or cause a reduction in fulfillment options for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our ability to innovate upon and expand our offerings, pursue new business verticals, or innovate on our operational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create challenges in recruiting and retaining adequate shopper supply due to potential necessary changes including restricting the flexibility of shoppers by instituting minimum, maximum, or set hours of work, or designated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locations for work, or controlling costs in other ways (such as limiting shopper access to Instacart or shopper incentives or eliminating tips), which could result in disruption to service and harm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incur significant expenses, which may be due to costs associated with existing employment-related laws, such as wage and hour laws, including minimum wage and overtime, liability for and withholding of employment taxes, and employee benefits, including medical insurance, workers compensation coverage, among others, as well as other related 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increase customer fees or charges as a result of the increased costs resulting from shoppers being classified as employees or alternative fulfillment strategies we may implement, which may lead to customer dissatisfaction with such increased fees, which could result in significant decreases in orders, GTV, and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expose us to significant retroactive liability, such as liability for meal breaks, overtime premiums, and statutory penalties;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take additional actions that we determine are in the best interests of our business, customers, partners, and growth strategy, including potential cessation of operations in certain service areas;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to significant operational disruptions and challenges that we do not have experience managing;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result in losses in excess of the accrued amounts in our reserve balances.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would cause our results of operations to vary significantly and would materially impair our growth prospects, business, financial condition, and results of our operations and specifically impact our current financial statement presentation including revenue and cost of revenue.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state of the law regarding independent contractor status varies from jurisdiction to jurisdiction and among governmental agencies and is subject to change based on court decisions and regulation. For example, Proposition 22 provides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 To date, no such challenges or attempts have been successful. Additionally, we may face allegations that certain of our business practices do not satisfy all the elements of Proposition 22.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laws that provide greater certainty over the status of or otherwise regulate independent workers may also impose additional requirements related to the use of contractors. For example,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 Additionally, in September 2025, the New York City Council passed legislation mandating certain minimum earnings standards and other protections for grocery delivery workers, as well as certain disclosure requirements. If similar minimum earnings standards and other regulations are enacted in other jurisdictions in which we operate, it will increase the cost and complexity of operating our business in those jurisdictions and may adversely affect our business. We expect continuing challenges to the independent contractor classification of shoppers who use Instacart and the imposition of additional requirements on the use of contractors. If legislation, regulations, or judicial decisions regarding contractors change adversely, including by imposing additional requirements to engage contractors, such changes would increase the already existing risk that shoppers could be construed as employees or increase our costs to use shoppers. Therefore, our ability to contract with independent contractors for order fulfillment in those jurisdictions would be significantly negatively impacted, and we may experience one or more of the impacts listed above, which would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compliance with the evolving and ever-changing legal and regulatory environment may be significant and have in the past required, and may in the future require, us to modify our business and operations or pricing strategies. As our business matures and we expand geographically and into different retail categories or use cases, we may become subject to new laws and regulations in new jurisdictions. It is difficult to predict how existing and future laws will be applied to our business as it exists today and may exist in the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are currently, and may continue to be, subject to litigation, arbitration, audits, civil and criminal investigations, disputes, and other legal or regulatory proceedings as a result of our failure or perceived failure, or the failure of activities of our customers or partners on our platform, to comply with existing or future laws, rules, and regulations. Such matters have in the past and may in the future result in fines, monetary damages, civil or criminal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liability, forfeiture of significant assets, mandatory injunctions, or consent orders that change or restrict how we operate or require cessation of operations. In addition, certain legal proceedings, governmental investigations, or regulatory actions brought against us or involving our partners, whether or not ultimately resolved in our favor, could cause significant harm to our reputation, erode customer, partner, and investor confidence, and adversely affect public perception of our business, which could, in turn, adversely affect the growth of our business and our financial condition and results of operations. Any costs incurred to prevent or mitigate this potential liability may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Adverse litigation judgments or settlements resulting from legal proceedings in which we are or may be involved could expose us to monetary damages or reputational harm or limit our ability to operate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and may in the future become, involved in claims, lawsuits, arbitration proceedings, administrative actions, government investigations, and other legal and regulatory proceedings relating to various matters, including internet usage and access, text messaging, ecommerce, hardware devices, electronic payments, privacy, data security, data protection, data retention, AI, machine learning, automated decision-making, health information privacy and security, intellectual property, pay and fee transparency, pricing on our platform, consumer protection, marketing and advertising (including terms and conditions and disclosure), subscriptions and memberships, gift cards, consumer safety, bodily injury, property damage, food and product safety, product labeling and traceability, import and export, commerce and contracts, competition, zoning and permitting, sustainability, environmental, tax, insurance, transactions involving our securities, weights and measures, alcohol and other age-restricted products, labor and employment, anti-discrimination, collective bargaining, background checks, worker classification, and shopper rights and compensation (including minimum earnings, onboarding, deactivation, and safety). Any such litigation, arbitration, investigations, and other legal and regulatory proceedings have in the past and may in the future result in fines, monetary damages, civil or criminal liability, forfeiture of significant assets, mandatory injunctions, or consent orders that change or restrict how we operate or require cessation of operations, all of which could have an adverse effect on our business, financial condition, and results of operations. In addition, certain legal proceedings, governmental investigations, or regulatory actions brought against us, whether or not ultimately resolved in our favor, have in the past resulted and may in the future result in significant harm to our reputation, erosion of customer, partner, and investor confidence, and negative public perception of our business, which could, in turn, adversely affect the growth of our business and our financial condition and results of operations. For example, we have received and may continue to receive inquiries from various agencies regarding pricing on our platform. See the information under the caption “Legal Matters” in Note 10 — Commitments and Contingencies to our condensed consolidated financial statements included elsewhere in this Quarterly Report on Form 10-Q for more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any such litigation, arbitration, investigations, and other legal and regulatory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We have in the past entered and may in the future enter into settlement agreements to resolve such claims. For example, in December 2025, we entered into a consent order to conclude the FTC’s investigation relating to certain of our marketing and Instacart+ membership program practices. The consent order does not include any admission of liability and required us to pay $60 million to the FTC, which we paid in January 2026.</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with the potential for conflicting rules and new or upcoming rules or changes in the interpretation of such rules regarding the scope and enforceability of arbitration,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face potential liability, expenses for legal claims, and harm to our business based on the nature of our business and the content on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potential liability, expenses for legal claims or appeasement credits or refunds, and harm to our reputation and business relating to the nature of on-demand delivery of food and other consumer goods,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advertising, marketing, or consumption of alcoholic beverages, tobacco, or other regulated products by our retail partners to underage customers. 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 Our new or planned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rapidly changing and increasingly stringent laws, regulations, industry standards, contractual obligations, policies and other obligations relating to privacy, data security, data protection, artificial intelligence, machine learning, and automated decision-making. The obligations, restrictions, and costs imposed by these laws, or our actual or perceived failure to comply with them, could subject us to adverse business consequences and other liabilities that adversely affect our business, operations, and financial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normal business activities, we collect, use, store, share, transmit, and otherwise process sensitive, proprietary, and confidential information, including personal information of retailers, customers, brands, shoppers, employees, and others. We are subject to a variety of federal, state, local, and foreign privacy, data security, data protection, AI, machine learning, and automated decision-making laws, regulations, regulatory guidance, industry standards, contractual obligations, and codes of conduct, many of which have become increasingly stringent in recent years and are complex, constantly evolving, impose heavy compliance burdens, and may have conflicting requirements.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Controlling the Assault of Non-Solicited Pornography and Marketing Act of 2003 and the Telephone Consumer Protection Act of 1991 impose specific requirements on communications with customers. There are also a growing number of laws and regulations governing the use of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machine learning, and automated decision-making systems, which may increase the cost and complexity of operating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many state legislatures have enacted comprehensive privacy laws that impose certain obligations on covered businesses, including providing specific disclosures in privacy notices and affording residents with certain rights concerning their personal data, such as the right to access, correct, or delete certain personal data, and to opt-out of certain data processing activities, such as targeted advertising, profiling, and automated decision-making. The exercise of these rights has and may continue to impact our business and ability to provide our offerings. For example, the California Consumer Privacy Act applies to personal data of consumers, business representatives, and employees who are California residents, and requires businesses to provide specific disclosures in privacy notices and honor requests of such individuals to exercise certain privacy rights. Some states also impose stricter requirements for processing certain categories of personal data, including sensitive information, such as conducting data privacy impact assessments. These state laws allow for statutory fines for noncompliance. For example, the Illinois Biometric Information Privacy Act regulates the collection, use, safeguarding, and storage of biometric information. These and other U.S. state privacy laws have and may continue to further complicate compliance efforts and increase our legal risk and compliance costs, including with respect to our marketing initiatives, Instacart Ads offerings, identity verification technologies, and AI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and Instacart Ads and Instacart Health offerings could be further limited and we have incurred and expect to continue incurring additional compliance expenses. We are also subject to HIPAA as a result of the limited amount of health information that we receive in connection with baskets containing prescriptions and certain of our Instacart Health initiatives. We maintain a HIPAA compliance program, but it is not always possible to identify and deter misuse by our employees, contractors,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Some U.S. states and the FTC have also adopted privacy laws or issued guidance limiting the collection and use of certain health information that may extend to our customers’ interactions with certain over-the-counter health products.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As we continue to expand internationally, our efforts to comply with applicable foreign privacy laws may increase the costs and complexity of operating our business. In Canada, the Personal Information Protection and Electronic Documents Act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w:t>
      </w:r>
      <w:r>
        <w:rPr>
          <w:color w:val="0000FF"/>
        </w:rPr>
        <w:t xml:space="preserve"> </w:t>
      </w:r>
      <w:r>
        <w:rPr>
          <w:rFonts w:ascii="Times New Roman;serif" w:hAnsi="Times New Roman;serif"/>
          <w:b w:val="false"/>
          <w:color w:val="000000"/>
          <w:sz w:val="20"/>
        </w:rPr>
        <w:t>Anti-Spam Legislation prohibits email marketing without the recipient’s consent, with limited exceptions. Failure to comply with these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immaterial operations in China, Australia, and Mexico and are subject to local laws that impose a number of requirements on our processing and handling of personal information and direct marketing activities that may increase our compliance costs and risk of facing regulatory enforcement action.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are subject to the United Kingdom General Data Protection Regulation (“UK GDPR”), the European Union’s General Data Protection Regulation (“GDPR”), the European Union’s Artificial Intelligence Act, and various Member State laws and regulations governing data protection and AI. Further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carry penalties and potential corrective action for violations, and provide for private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Europe, the United Kingdom, and other jurisdictions have enacted laws requiring data to be localized or limiting the transfer of personal data to other countries. We are subject to the U.S. Department of Justice’s rule restricting certain transfers of sensitive personal data to designated countries of concern, which may increase compliance obligations and expose us to civil and criminal fines and penalties. The EEA and the United Kingdom have significantly restricted the transfer of personal data to the United States and other countries whose privacy laws they believe are inadequate. Other jurisdictions have in the past and may continue to adopt similarly stringent data localization and cross-border data transfer laws. Although there are currently various mechanisms that may be used to transfer personal data from the EEA and United Kingdom to the United States in compliance with law, such as the EEA’s and UK’s standard contractual clauses, certain of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Other countries outside of Europe increasingly emulate European data protection laws. As a result, operating our business or providing our offerings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This means that, if and to the extent such regulations are relevant to our operations or those of our customers, certain of the risks and considerations outlined above may apply equally to our processing of both personal and non-personal data.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publish privacy policies and other statements regarding data privacy, AI, and security. Regulators in the United States have scrutinized and are increasingly scrutinizing these statements, and if these policies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obtain an end user’s permission for cross-contextual advertising. Such restrictions could limit the efficacy of our marketing activities and our Instacart Ads offerings. In addition, certain legislative proposals and draft regulations seek to further regulate targeted advertising activities, and regulators are increasingly scrutinizing the use of online tracking tools and compliance with requirements related to the online behavioral advertising ecosystem. As a result, we may be required to develop alternative solutions to support our marketing initiatives and/or change the way we deliver our Instacart Ads offerings. In addition, consumer resistance to the collection and sharing of the data used to deliver targeted advertising, increased visibility of consent or requirements to respond to privacy preference mechanisms as a result of regulatory or legal developments, the adoption by consumers of browser settings or “ad-blocking” software, and the development and deployment of new technologies could materially impact our ability to collect and use data or reduce our ability to deliver relevant promotions or media, which could materially impair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Apple and other technology platforms are considering similar and additional restrictions and obligations, including age verification and parental consent requirements, which may result in new platform-level policies or technical mandates that apply to all developers whose applications are distributed through those stores, which may increase our compliance burden and operational complexity.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Despite our efforts, we may not be successful in achieving compliance with the laws, regulations, and requirements discussed above. Any actual or perceived non-compliance, by us or the third parties upon whom we rely, could result in litigation and proceedings against us by governmental entities, customers, or others (including class action claims or mass arbitration demands),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customers and shoppers accessing Instacart via a mobile device or, with respect to customers, a personal computer or a Connected Stores device, and the internet. We may operate in jurisdictions that provide limited internet connectivity, particularly as we continue to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quality, and availability of Instacart. Any such failure in internet or mobile device or computer accessibility, even for a short period of time, could adversely affect our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Governmental agencies in any of the countries in which we or our customers are located could block access to or require a license for Instacart, our mobile apps, website, or the internet generally for a number of reasons, including security, confidentiality, regulatory concerns, or geopolitical reasons. In addition, companies may adopt policies that prohibit their employees from using Instacart. If companies or governmental entities block, limit, or otherwise restrict customers or shoppers from</w:t>
      </w:r>
      <w:r>
        <w:rPr>
          <w:color w:val="0000FF"/>
        </w:rPr>
        <w:t xml:space="preserve"> </w:t>
      </w:r>
      <w:r>
        <w:rPr>
          <w:rFonts w:ascii="Times New Roman;serif" w:hAnsi="Times New Roman;serif"/>
          <w:b w:val="false"/>
          <w:color w:val="000000"/>
          <w:sz w:val="20"/>
        </w:rPr>
        <w:t>accessing Instacart, our business could be negatively impacted, the number of customers and shoppers using Instacart could decline or grow more slowly, and our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be required to collect additional taxes or be subject to other tax liabilities in various jurisdictions which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as a result of our Flex First workforce model, we may become subject to additional taxes and our compliance burdens with respect to the tax laws of additional jurisdictions may be increased.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and may in the future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condensed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to offset taxable income or taxes may be limited.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As of December 31, 2025, we had federal net operating loss carryforwards of $443 million. We generated $5 million of net operating loss carryforwards prior to 2018, which will begin to expire in 2037. The remaining $438 million will carryforward indefinitely. Furthermore, as of December 31, 2025, we had state net operating loss carryforwards of $679 million, an immaterial amount of which, if unused, will begin to expire in 2026. Portions of these net operating loss carryforwards could expire unused and be unavailable to offset future income tax liabilities. Under current law, U.S. federal net operating losses</w:t>
      </w:r>
      <w:r>
        <w:rPr>
          <w:color w:val="0000FF"/>
        </w:rPr>
        <w:t xml:space="preserve"> </w:t>
      </w:r>
      <w:r>
        <w:rPr>
          <w:rFonts w:ascii="Times New Roman;serif" w:hAnsi="Times New Roman;serif"/>
          <w:b w:val="false"/>
          <w:color w:val="000000"/>
          <w:sz w:val="20"/>
        </w:rPr>
        <w:t>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 For example, California imposed limits on the usability of California state net operating losses to offset taxable income in tax years beginning after 2023 and before 2027.</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through December 31, 2025. Based upon this assessment, reductions were made to our net operating loss and tax credit carryforwards under these rules for the acquisition of Marlin9 Holdings, Inc. We may experience ownership changes in the future, ownership changes as a result of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tax rate. Such changes have had and, along with any related uncertainty generated by these changes, may in the future have adverse impacts on our business, financial condition, results of operations, and cash flows.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Organisation for Economic Cooperation and Development has published proposals covering a number of issues, including minimum tax rules, country-by-country reporting, permanent establishment guidance, transfer pricing rules, tax treaties, and taxation of the digital economy. Several foreign jurisdictions, including some of those in which we operate, have formally adopted these proposals in their tax code, which could adversely affect our effective tax rate or result in higher cash tax liabilities in such jurisdictions.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w:t>
      </w:r>
      <w:r>
        <w:rPr>
          <w:color w:val="0000FF"/>
        </w:rPr>
        <w:t xml:space="preserve"> </w:t>
      </w:r>
      <w:r>
        <w:rPr>
          <w:rFonts w:ascii="Times New Roman;serif" w:hAnsi="Times New Roman;serif"/>
          <w:b w:val="false"/>
          <w:color w:val="000000"/>
          <w:sz w:val="20"/>
        </w:rPr>
        <w:t>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and sanctions laws and regulations that could impair our ability to compete in international markets or subject us to liability if we violate such laws.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Instacart and our offerings are subject to import and export controls, including the U.S.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immaterial operations in Asia relating to the design, engineering, and supply of Caper Carts to certain of our retail partners’ stores, whose operations are subject to import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export controls. Any adverse changes in trade relations with countries where we have such operations, including trade policies enacted or proposed by the United States, such as tariff increases and other trade restrictions, uncertainty related thereto, and responses by foreign governments to such policies, and import and export licensing and control requirements, could interfere with the shipment of Caper Carts to our retail partners, which could have a negative impact on future development and adoption of Caper Carts and related prospects.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presence outside the United States and any future international expansion strategy will subject us to additional costs and risks, and our plans may not be successful.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expanded and expect to continue to expand our presence internationally. We have operations in Canada and have acquired companies that have immaterial operations in certain other countries. We expect to continue to expand our international operations and are evaluating opportunities across the world.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to attract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local incumbents that better understand the local market, may market and operate more effectively, and may enjoy greater local affinity or awareness;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demand dynamics, which may make our offerings less successful;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and potentially more onerous employment and labor regulations including with respect to worker classification and collective bargaining, where employment and labor laws are generally more advantageous to</w:t>
      </w:r>
      <w:r>
        <w:rPr>
          <w:color w:val="0000FF"/>
        </w:rPr>
        <w:t xml:space="preserve"> </w:t>
      </w:r>
      <w:r>
        <w:rPr>
          <w:rFonts w:ascii="Times New Roman;serif" w:hAnsi="Times New Roman;serif"/>
          <w:b w:val="false"/>
          <w:color w:val="000000"/>
          <w:sz w:val="20"/>
        </w:rPr>
        <w:t>workers or employees as compared to the United States, including deemed hourly wage and overtime regulations in these locations;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complying with varying laws and regulatory standards, including with respect to privacy, data security, data protection and transfer restrictions, AI, safety, tax, and local regulatory restrictions;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obtaining any required government approvals, licenses, or other authorizations;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varying levels of internet and mobile technology adoption and infrastructure;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currency exchange restrictions or costs and exchange rate fluctuations;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changing perceptions or reputation of U.S. products and services in non-U.S.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public health concerns or emergencies may occur in various parts of the world in which we operate or may operate in the future;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limitations on the repatriation and investment of funds, as well as foreign currency exchange restrictions.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limited experience in operating our business internationally increases the risk that any potential future expansion efforts that we may undertake may not be successful. For example, the possibility of adverse changes in trade or political relations with countries where we have operations relating to the design, engineering, and supply of Caper Carts, political instability, or increases in labor costs could interfere with the manufacturing and/or shipment of Caper Carts. We also rely on contract and third-party manufacturers in Asia for Caper Carts and their components, which exposes us to risks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historically lower protection of intellectual property rights, unexpected or unfavorable changes in regulatory requirements, including the imposition or proposed imposition by the United States of tariffs, economic sanctions, export controls, and other trade restrictions, laws, regulations, and executive orders affecting international trade, uncertainty related thereto, and responses by foreign governments to such policies, volatility in currency exchange rates, and difficulties associated with local legal systems. If we invest substantial time and resources to expand our operations internationally and are unable to manage these risks effectively,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third parties for elements of the payment processing infrastructure underlying Instacart. If these third-party elements become unavailable or unavailable on favorable terms,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convenient payment mechanisms provided by Instacart are key factors contributing to the development of our business. We rely on third parties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made on Instacart are subject to the Payment Card Industry (“PCI”), Data Security Standard.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software and services from other parties. Defects in, or the loss of or disruption of access to, software or services from third parties could harm our business and adversely affect the quality of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incorporate certain third-party software obtained pursuant to licenses or service agreements from other companies, including but not limited to, software and services related to our background checks, data visualization, mapping, and database tools. Such third parties may discontinue their products or services,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or services would require us to engage with third parties, and we may not be able to enter into agreements with such third parties on advantageous terms. In addition, integration of the software used in our offerings with new third-party software may require significant work and substantial investment of our time and resources. To the extent that our offerings depend upon the successful operation of third-party software, any undetected errors or defects in, or disruptions to the functionality of, such third-party software have in the past and could in the future prevent the deployment or impair the functionality of our offerings, delay new offering introductions, result in a failure of our offerings, and injure our reputation, which in each case could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currently rely on a small number of third-party service providers to host or support a significant portion of Instacart technology infrastructure and data, and any interruptions or delays in services from these third parties could impair the delivery of our offerings and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host Instacart technology infrastructure and data and support our operations using a combination of a small number of third-party service providers. We do not have control over the operations of the facilities of the hosting providers that we use, and these third-party operations and co-located data centers may experience break-ins, computer viruses, denial-of-service or other cyber-attacks or security incidents, sabotage, acts of vandalism, outages, disruptions, and other misconduct or incidents that impact the services provided to us.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provide services to our customers and retail and brand partners, onboard new customers, expand the usage of our existing customers, or effectively detect or respond to other issues with our services,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 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have and may further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primarily on third-party insurance policies from a limited number of insurance providers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procure third-party insurance policies from a limited number of insurance providers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risks related to our new and evolving offerings, we may not be able to, or may choose not to, acquire insurance. Even if we do acquire insurance for our operations-related risks or risks related to our new and evolving services and offerings, we may not obtain enough insurance to adequately mitigate such risks, and we may have to pay high premiums, co-insurance, self-insured retentions, or deductibles for the coverage we do obtain. If any of our insurance providers discontinue or increase the cost of coverage, we cannot guarantee that we would be able to secure similar coverage on commercially reasonable terms or at all. If any of our insurance providers change the terms of our policies in a manner not favorable to us or to shoppers, our insurance costs could increase. If the insurance coverage we maintain is not adequate to cover losses that occur, or if we are required to purchase additional insurance for other aspects of our business, we could be liable for significant additional costs. Further, if any of our insurance providers becomes insolvent, it would be unable to pay any operations-related claims that we make.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us. Insurance providers have raised premiums, deductibles, and self-insured retentions for many businesses and may do so in the future. As a result, our insurance costs and claims expense have increased and could further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exceeds our historical experience and coverage limits; we experience a claim in excess of our coverage limits; our insurance providers fail to pay on our insurance claims; we experience a claim</w:t>
      </w:r>
      <w:r>
        <w:rPr>
          <w:color w:val="0000FF"/>
        </w:rPr>
        <w:t xml:space="preserve"> </w:t>
      </w:r>
      <w:r>
        <w:rPr>
          <w:rFonts w:ascii="Times New Roman;serif" w:hAnsi="Times New Roman;serif"/>
          <w:b w:val="false"/>
          <w:color w:val="000000"/>
          <w:sz w:val="20"/>
        </w:rPr>
        <w:t>for which coverage is not provided; or the severity or number of claims under our deductibles or self-insured retentions differs from historical averages.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insurance reserves for claims incurred but not yet paid and claims incurred but not yet reported and any related estimable expenses, and we periodically evaluate and, as necessary, adjust our actuarial assumptions and insurance reserves as our experience develops or if we receive new information. We employ various predictive modeling and actuarial techniques and make numerous assumptions based on historical claim and loss experience and industry statistics to estimate our insurance reserves. Estimating the number and severity of claims, as well as related judgment or settlement amounts, is inherently difficult, subjective, and speculative. Additionally, actuarial projections make no provision for the extraordinary future emergence of losses or types of losses not sufficiently represented in the historical data or which are not yet quantifiable. While an independent actuarial firm periodically reviews our reserves for appropriateness and provides claims reserve valuations, a number of external factors can affect the actual losses incurred for any given claim, including but not limited to the length of time the claim remains open, increases in healthcare costs, increases in automotive costs, legislative and regulatory developments, judicial developments and unexpected events such as natural or human-made catastrophic disasters. Such factors can also impact our insurance reserves and any related estimable expenses for current and historical periods. For any of the foregoing reasons, our actual losses for claims and related expenses may deviate, individually or in the aggregate, from the insurance reserves reflected in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If we determine that our estimated insurance reserves are inadequate, we may be required to increase such reserves at the time of the determination, which could negatively impact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and, in addition, the output of AI tools we utilize may not be eligible for copyright protection.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including with the use of AI, have in the past accessed, and may in the future access,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currently, and may in the future become, party to intellectual property disputes, which are costly and may subject us to significant liability and increased costs of doing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To reduce the risk of adverse outcomes in intellectual property disputes, we may need to establish new intellectual property agreements or renew existing licenses. However, this strategy of cross-licensing our patent portfolio with third parties in order to settle infringement claims brought against us may not be appropriate in the future and is not effective against certain patent owners, such as non-practicing entities.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w:t>
      </w:r>
      <w:r>
        <w:rPr>
          <w:color w:val="0000FF"/>
        </w:rPr>
        <w:t xml:space="preserve"> </w:t>
      </w:r>
      <w:r>
        <w:rPr>
          <w:rFonts w:ascii="Times New Roman;serif" w:hAnsi="Times New Roman;serif"/>
          <w:b w:val="false"/>
          <w:color w:val="000000"/>
          <w:sz w:val="20"/>
        </w:rPr>
        <w:t xml:space="preserve">and expose us to other legal liabilities, such as indemnification obligations. We could be required to pay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cease selling or using offerings that incorporate the intellectual property rights that we allegedly infringe, misappropriate, or violate;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make substantial payments for legal fees, settlement payments, or other costs or damages;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 a license, which may not be available on reasonable terms or at all, to sell or use the relevant technology;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redesign the allegedly infringing offerings to avoid infringement, misappropriation, or violation, which could be costly, time-consuming, or impossible.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use of third-party open-source software could adversely affect our ability to offer Instacart and our offerings and subjects us to possible litigation.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 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 proprietary software, or render our software temporarily unavailable. Furthermore, there is an increasing number of open-source software license types, many of which have been tested in a court of law, resulting in a dearth of guidance regarding the proper legal interpretation of such licenses. If we were to receive a claim of non-compliance with the terms of</w:t>
      </w:r>
      <w:r>
        <w:rPr>
          <w:color w:val="0000FF"/>
        </w:rPr>
        <w:t xml:space="preserve"> </w:t>
      </w:r>
      <w:r>
        <w:rPr>
          <w:rFonts w:ascii="Times New Roman;serif" w:hAnsi="Times New Roman;serif"/>
          <w:b w:val="false"/>
          <w:color w:val="000000"/>
          <w:sz w:val="20"/>
        </w:rPr>
        <w:t xml:space="preserve">any of our open-source licenses, we may be required to publicly release certain portions of our proprietary source code, expend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substantial time and resources to re-engineer some or all of our software, or temporarily disable one or more features of our platform. Further, our use of any AI-assisted coding tools that use or are based on any open source software may heighten the foregoing risks.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trading price of our common stock may be volatile and could decline significantly and rapidly.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could be subject to wide fluctuations in response to numerous factors in addition to the ones described in this “Risk Factors” section many of which are beyond our control,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actual or anticipated fluctuations in our results of operations and growth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number of shares of our common stock made available for trading;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overall performance of the equity markets and the economy as a whole;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financial projections we may provide to the public and/or our failure to meet these projections;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pricing of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anticipated changes in our growth rate relative to that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anticipated future size or growth rate of our addressable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repurchases or expectations with respect to repurchases of our common stock by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additions or departures of board members, management, or key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including those related to consumer protection, privacy, data security, data protection, and cyber security in the United States or globally;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administrative actions, government investigations, lawsuits, and other legal and regulatory proceedings threatened or initiated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events or geopolitical factors, including those resulting from war, incidents of terrorism, tariffs or other trade restrictions enacted or proposed to be enacted, or responses to these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health epidemics, such as influenza, and other highly infectious diseases;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inclusion, exclusion, or deletion of our stock from any trading indices, including the S&amp;P 400 Index;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sales or expectations with respect to sales of shares of our capital stock by us or our security 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we were subject to a class action lawsuit in federal court alleging federal securities law violations in connection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IPO, which was dismissed with prejudice on May 30, 2025 without plaintiffs receiving any compensation. Any securities litigation that may be instituted</w:t>
      </w:r>
      <w:r>
        <w:rPr>
          <w:color w:val="0000FF"/>
        </w:rPr>
        <w:t xml:space="preserve"> </w:t>
      </w:r>
      <w:r>
        <w:rPr>
          <w:rFonts w:ascii="Times New Roman;serif" w:hAnsi="Times New Roman;serif"/>
          <w:b w:val="false"/>
          <w:color w:val="000000"/>
          <w:sz w:val="20"/>
        </w:rPr>
        <w:t>against us in the future could result in substantial costs and a diversion of our management’s attention and resources and adversely affect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certain holders of our capital stock have rights, subject to certain conditions, to require us to file registration statements covering the sale of their shares or to include their shares in registration statements that we may file for ourselves or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a share repurchase program, under which repurchases may be made from time to time through open market purchases, accelerated share repurchase programs, privately negotiated transactions, or any other transactions in accordance with applicable federal securities laws,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our stock price to be higher than it otherwise would be and could potentially reduce the market liquidity for our stock, and any announcement of a termination of this program may result in a decrease in our stock price.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part of the Inflation Reduction Act of 2022, the United States implemented a 1% excise tax on the value of certain stock repurchases by publicly traded companies. This tax has in the past increased and may in the future increase the costs to us of any share repurchases.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executive officers, directors, and principal stockholders, if they choose to act together, continue to have the ability to control or significantly influence all matters submitted to stockholders for approval. Furthermore, certain of our current directors were initially appointed by our principal stockholders.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executive officers, directors, and greater than 5% stockholders, in the aggregate, beneficially own a significant portion of our outstanding common stock. Furthermore, certain of our current directors were initially appointed by our principal stockholders.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w:t>
      </w:r>
      <w:r>
        <w:rPr>
          <w:color w:val="0000FF"/>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combination involving us, or discouraging a potential acquiror from making a tender offer or otherwise attempting to obtain control of our business, even if such a transaction would benefit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market research firms, and other publishers often make statements regarding our historical or projected business or financial performance, and we cannot assure you of the reliability of any such information even if it is attributed directly or indirectly to us.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experience volatility in our trading price and trading volume if securities or industry analysts cease to publish research about our business, or if they publish inaccurate or unfavorable research.</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trading volumes to fluctuate.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our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our capital stock or securities convertible into our capital stock from time to time in connection with a financing, acquisition, investments, or otherwise. Additional issuances of our capital stock will result in dilution to existing stockholders. Also, to the extent outstanding stock options to purchase our stock are exercised, RSUs settle, or our Series A Preferred Stock is converted, there will be further dilution. The amount of dilution could be substantial depending upon the size of the issuance. Any such issuances could result in substantial dilution to our existing stockholders and cause the trading price of our common stock to decline.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Series A Preferred Stock ranks senior to our common stock, impacts our ability to pay dividends, and may result in significant dilution.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Series A Preferred Stock ranks senior to our common stock. Accordingly, in the event of our liquidation or dissolution in bankruptcy or otherwise, the holders of our Series A Preferred Stock would receive their liquidation preference prior to any distribution being available to holders of our common stock. The terms of our Series A Preferred Stock also require us to obtain approval from the holders of the outstanding shares of our Series A Preferred Stock for any cash dividends on our common stock in excess of a 5.0% annual dividend yield. Any dividend payment on our common stock will also result in adjustments to the conversion price of our Series A Preferred Stock. In addition, upon a conversion of our Series A Preferred Stock, your percentage ownership in us will be diluted.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requirement that our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prohibition on cumulative voting for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requirement of a super-majority to amend some provisions in our restated certificate of incorporation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of our stockholders to call special meetings of stockholders; and a prohibition on stockholder actions by written consent, thereby requiring that all stockholder actions be taken at a meeting of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may limit our stockholders’ ability to obtain a favorable judicial forum for disputes with us or our directors, officers, or employees.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seeking to interpret, apply, enforce, or determine the validity of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 to which Delaware General Corporation Law confers jurisdiction on the Court of Chancery of the State of Delaware;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are the exclusive forums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listing standards of the Nasdaq Global Select Market, and other applicable securities rules and regulations. Complying with these complex and evolving rules and regulations has increased and may continue to increase our legal, accounting, and financial compliance costs and the demand on our systems and resources, as well as divert management’s time and attention from other business concerns, which could harm our business, results of operations, and financial condition. Several members of our management team do not have prior experience in running a public company.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Additionally, as a result of the disclosure obligations required of a public company, our business and financial condition are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 Furthermore, as a public company, we may be subject to stockholder activism, which can lead to additional substantial costs, distract management and impact the manner in which we operate our business in ways we cannot currently anticipate.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to furnish a report by management on, among other things, the effectiveness of our internal control over financial reporting as of the end of each fiscal year. This assessment includes disclosure of any material weaknesses in our internal control over financial reporting identified by our management. In addition, our independent registered public accounting firm is required to attest to the effectiveness of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 (“GAAP”), are subject to interpretation by the Financial Accounting Standards Board,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our condensed consolidated financial statements and accompanying notes included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w:t>
      </w:r>
      <w:r>
        <w:rPr>
          <w:color w:val="000000"/>
        </w:rPr>
        <w:t>—</w:t>
      </w:r>
      <w:r>
        <w:rPr>
          <w:rFonts w:ascii="Times New Roman;serif" w:hAnsi="Times New Roman;serif"/>
          <w:b w:val="false"/>
          <w:color w:val="000000"/>
          <w:sz w:val="20"/>
        </w:rPr>
        <w:t>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and loss contingencies;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Additionally, incorrect judgments may cause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following table sets forth information relating to repurchases of our equity securities for the </w:t>
      </w:r>
      <w:r>
        <w:rPr>
          <w:rFonts w:ascii="Times New Roman;serif" w:hAnsi="Times New Roman;serif"/>
          <w:b w:val="false"/>
          <w:color w:val="231F20"/>
          <w:sz w:val="20"/>
        </w:rPr>
        <w:t>three months ended June 30, 2026</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97"/>
        <w:gridCol w:w="350"/>
        <w:gridCol w:w="352"/>
        <w:gridCol w:w="496"/>
        <w:gridCol w:w="496"/>
        <w:gridCol w:w="497"/>
        <w:gridCol w:w="109"/>
        <w:gridCol w:w="109"/>
        <w:gridCol w:w="109"/>
        <w:gridCol w:w="313"/>
        <w:gridCol w:w="888"/>
        <w:gridCol w:w="174"/>
        <w:gridCol w:w="109"/>
        <w:gridCol w:w="109"/>
        <w:gridCol w:w="109"/>
        <w:gridCol w:w="811"/>
        <w:gridCol w:w="811"/>
        <w:gridCol w:w="814"/>
        <w:gridCol w:w="109"/>
        <w:gridCol w:w="109"/>
        <w:gridCol w:w="109"/>
        <w:gridCol w:w="608"/>
        <w:gridCol w:w="1727"/>
        <w:gridCol w:w="490"/>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April 1, 2026 to April 30, 2026</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May 1, 2026 to May 31, 2026</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June 1, 2026 to June 30, 2026</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7,825 </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7,825 </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June 2024, our board of directors authorized a $500 million share repurchase program, which was subsequently increased to $750 million, $1 billion, $2.5 billion, and $3.5 billion in November 2024, May 2025, November 2025, and April 2026, respectively. The share repurchase program has no expiration date. In determining the authorization of each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 For more information regarding the risks associated with our share repurchase program, see the section titled “Risk Factors—Risks Related to Ownership of Our Common Stock—We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Excludes costs associated with the repurchases and the 1% excise tax accrued on our share repurchases as a result of the Inflation Reduction Act of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8, 2026, Emily Reuter, our Chief Financial Officer, adopted a trading arrangement intended to satisfy the affirmative defense conditions of Rule 10b5-1(c). Ms. Reuter’s trading arrangement provides for the sale through August 13, 2027 of up to 120,000 shares of our common stock subject to RSUs previously awarded to Ms. Reuter that have vested or may vest and be released to her on or prior to August 13,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1430"/>
        <w:gridCol w:w="1225"/>
        <w:gridCol w:w="1229"/>
        <w:gridCol w:w="109"/>
        <w:gridCol w:w="109"/>
        <w:gridCol w:w="109"/>
        <w:gridCol w:w="175"/>
        <w:gridCol w:w="175"/>
        <w:gridCol w:w="176"/>
        <w:gridCol w:w="109"/>
        <w:gridCol w:w="109"/>
        <w:gridCol w:w="109"/>
        <w:gridCol w:w="299"/>
        <w:gridCol w:w="245"/>
        <w:gridCol w:w="165"/>
        <w:gridCol w:w="109"/>
        <w:gridCol w:w="109"/>
        <w:gridCol w:w="109"/>
        <w:gridCol w:w="225"/>
        <w:gridCol w:w="225"/>
        <w:gridCol w:w="226"/>
        <w:gridCol w:w="109"/>
        <w:gridCol w:w="109"/>
        <w:gridCol w:w="109"/>
        <w:gridCol w:w="206"/>
        <w:gridCol w:w="206"/>
        <w:gridCol w:w="207"/>
        <w:gridCol w:w="109"/>
        <w:gridCol w:w="109"/>
        <w:gridCol w:w="109"/>
        <w:gridCol w:w="273"/>
        <w:gridCol w:w="273"/>
        <w:gridCol w:w="398"/>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18"/>
                  <w:u w:val="single"/>
                </w:rPr>
                <w:t>Amended and Restated Certificate of Incorporation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18"/>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5">
              <w:r>
                <w:rPr>
                  <w:rStyle w:val="InternetLink"/>
                  <w:rFonts w:ascii="Times New Roman;serif" w:hAnsi="Times New Roman;serif"/>
                  <w:b w:val="false"/>
                  <w:color w:val="0000FF"/>
                  <w:sz w:val="18"/>
                  <w:u w:val="single"/>
                </w:rPr>
                <w:t>Amended and Restated Bylaws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6">
              <w:r>
                <w:rPr>
                  <w:rStyle w:val="InternetLink"/>
                  <w:rFonts w:ascii="Times New Roman;serif" w:hAnsi="Times New Roman;serif"/>
                  <w:b w:val="false"/>
                  <w:color w:val="0000FF"/>
                  <w:sz w:val="18"/>
                  <w:u w:val="single"/>
                </w:rPr>
                <w:t>Revolving Credit Agreement among the Company, the lenders party thereto, the issuing banks party thereto, and Morgan Stanley Senior Funding, Inc., dated May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6exhibit311.htm">
              <w:r>
                <w:rPr>
                  <w:rStyle w:val="InternetLink"/>
                  <w:rFonts w:ascii="Times New Roman;serif" w:hAnsi="Times New Roman;serif"/>
                  <w:b w:val="false"/>
                  <w:color w:val="0000FF"/>
                  <w:sz w:val="18"/>
                  <w:u w:val="single"/>
                </w:rPr>
                <w:t>Certification of Principal Executive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6exhibit312.htm">
              <w:r>
                <w:rPr>
                  <w:rStyle w:val="InternetLink"/>
                  <w:rFonts w:ascii="Times New Roman;serif" w:hAnsi="Times New Roman;serif"/>
                  <w:b w:val="false"/>
                  <w:color w:val="0000FF"/>
                  <w:sz w:val="18"/>
                  <w:u w:val="single"/>
                </w:rPr>
                <w:t>Certification of Principal Financial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6exhibit321.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exhibits and schedules have been omitted pursuant to Item 601(a)(5) of Regulation S-K under the Securities Act. The Company agrees to furnish supplementally a copy of all omitted exhibits and schedules to the Securities and Exchange Commission upon request.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herewith are deemed to accompany this Quarterly Report on Form 10-Q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75f85a64045343b89818a14deb693c1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599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43"/>
        <w:gridCol w:w="243"/>
        <w:gridCol w:w="243"/>
        <w:gridCol w:w="243"/>
        <w:gridCol w:w="243"/>
        <w:gridCol w:w="243"/>
        <w:gridCol w:w="672"/>
        <w:gridCol w:w="672"/>
        <w:gridCol w:w="9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MAPLEBEAR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Chris Rogers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 Rogers,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6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Emily Reuter,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6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Chris Rogers, Chief Executive Officer of Maplebear Inc. (the “Company”), and Emily Reuter, Chief Financial Officer of the Company, each hereby certifies that, to the best of his or her knowledge:</w:t>
      </w:r>
    </w:p>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August 6, 2026.</w:t>
      </w:r>
    </w:p>
    <w:tbl>
      <w:tblPr>
        <w:tblW w:w="4376" w:type="dxa"/>
        <w:jc w:val="left"/>
        <w:tblInd w:w="0" w:type="dxa"/>
        <w:tblLayout w:type="fixed"/>
        <w:tblCellMar>
          <w:top w:w="28" w:type="dxa"/>
          <w:left w:w="28" w:type="dxa"/>
          <w:bottom w:w="28" w:type="dxa"/>
          <w:right w:w="28" w:type="dxa"/>
        </w:tblCellMar>
      </w:tblPr>
      <w:tblGrid>
        <w:gridCol w:w="738"/>
        <w:gridCol w:w="649"/>
        <w:gridCol w:w="652"/>
        <w:gridCol w:w="109"/>
        <w:gridCol w:w="109"/>
        <w:gridCol w:w="109"/>
        <w:gridCol w:w="588"/>
        <w:gridCol w:w="588"/>
        <w:gridCol w:w="83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9091/000119312523240556/d511433dex31.htm" TargetMode="External"/><Relationship Id="rId4" Type="http://schemas.openxmlformats.org/officeDocument/2006/relationships/hyperlink" Target="https://www.sec.gov/Archives/edgar/data/1579091/000119312523240556/d511433dex32.htm" TargetMode="External"/><Relationship Id="rId5" Type="http://schemas.openxmlformats.org/officeDocument/2006/relationships/hyperlink" Target="https://www.sec.gov/Archives/edgar/data/1579091/000119312523231909/d55348dex34.htm" TargetMode="External"/><Relationship Id="rId6" Type="http://schemas.openxmlformats.org/officeDocument/2006/relationships/hyperlink" Target="https://www.sec.gov/Archives/edgar/data/1579091/000157909126000032/exhibit101_creditagreeme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66976</Words>
  <Characters>375173</Characters>
  <CharactersWithSpaces>439426</CharactersWithSpaces>
  <Paragraphs>4252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