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85"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27"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As confidentially submitted to the Securities and Exchange Commission on August 4, 2023.</w:t>
      </w:r>
    </w:p>
    <w:p>
      <w:pPr>
        <w:spacing w:after="0" w:line="4" w:lineRule="exact"/>
        <w:rPr>
          <w:sz w:val="24"/>
          <w:szCs w:val="24"/>
          <w:color w:val="auto"/>
        </w:rPr>
      </w:pPr>
    </w:p>
    <w:p>
      <w:pPr>
        <w:ind w:left="9020" w:right="200" w:hanging="8354"/>
        <w:spacing w:after="0" w:line="281" w:lineRule="auto"/>
        <w:rPr>
          <w:sz w:val="20"/>
          <w:szCs w:val="20"/>
          <w:color w:val="auto"/>
        </w:rPr>
      </w:pPr>
      <w:r>
        <w:rPr>
          <w:rFonts w:ascii="Arial" w:cs="Arial" w:eastAsia="Arial" w:hAnsi="Arial"/>
          <w:sz w:val="12"/>
          <w:szCs w:val="12"/>
          <w:b w:val="1"/>
          <w:bCs w:val="1"/>
          <w:color w:val="auto"/>
        </w:rPr>
        <w:t>This amended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31750</wp:posOffset>
            </wp:positionV>
            <wp:extent cx="6562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72390</wp:posOffset>
            </wp:positionV>
            <wp:extent cx="6562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1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28"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4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107950</wp:posOffset>
            </wp:positionV>
            <wp:extent cx="1383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FORM S-1</w:t>
      </w:r>
    </w:p>
    <w:p>
      <w:pPr>
        <w:spacing w:after="0" w:line="28"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REGISTRATION STATEMENT</w:t>
      </w:r>
    </w:p>
    <w:p>
      <w:pPr>
        <w:jc w:val="center"/>
        <w:ind w:right="-479"/>
        <w:spacing w:after="0"/>
        <w:rPr>
          <w:sz w:val="20"/>
          <w:szCs w:val="20"/>
          <w:color w:val="auto"/>
        </w:rPr>
      </w:pPr>
      <w:r>
        <w:rPr>
          <w:rFonts w:ascii="Arial" w:cs="Arial" w:eastAsia="Arial" w:hAnsi="Arial"/>
          <w:sz w:val="17"/>
          <w:szCs w:val="17"/>
          <w:b w:val="1"/>
          <w:bCs w:val="1"/>
          <w:i w:val="1"/>
          <w:iCs w:val="1"/>
          <w:color w:val="auto"/>
        </w:rPr>
        <w:t>UNDER</w:t>
      </w:r>
    </w:p>
    <w:p>
      <w:pPr>
        <w:spacing w:after="0" w:line="5"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109220</wp:posOffset>
            </wp:positionV>
            <wp:extent cx="1383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86" w:lineRule="exact"/>
        <w:rPr>
          <w:sz w:val="24"/>
          <w:szCs w:val="24"/>
          <w:color w:val="auto"/>
        </w:rPr>
      </w:pPr>
    </w:p>
    <w:p>
      <w:pPr>
        <w:jc w:val="center"/>
        <w:ind w:right="-479"/>
        <w:spacing w:after="0"/>
        <w:rPr>
          <w:sz w:val="20"/>
          <w:szCs w:val="20"/>
          <w:color w:val="auto"/>
        </w:rPr>
      </w:pPr>
      <w:r>
        <w:rPr>
          <w:rFonts w:ascii="Arial" w:cs="Arial" w:eastAsia="Arial" w:hAnsi="Arial"/>
          <w:sz w:val="27"/>
          <w:szCs w:val="27"/>
          <w:b w:val="1"/>
          <w:bCs w:val="1"/>
          <w:color w:val="auto"/>
        </w:rPr>
        <w:t>MAPLEBEAR INC.</w:t>
      </w:r>
    </w:p>
    <w:p>
      <w:pPr>
        <w:spacing w:after="0" w:line="30"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102235</wp:posOffset>
            </wp:positionV>
            <wp:extent cx="1383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ectPr>
          <w:pgSz w:w="11900" w:h="16838" w:orient="portrait"/>
          <w:cols w:equalWidth="0" w:num="1">
            <w:col w:w="10780"/>
          </w:cols>
          <w:pgMar w:left="320" w:top="225" w:right="799" w:bottom="1440" w:gutter="0" w:footer="0" w:header="0"/>
        </w:sectPr>
      </w:pPr>
    </w:p>
    <w:p>
      <w:pPr>
        <w:spacing w:after="0" w:line="254"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Delaware</w:t>
      </w:r>
    </w:p>
    <w:p>
      <w:pPr>
        <w:spacing w:after="0" w:line="4" w:lineRule="exact"/>
        <w:rPr>
          <w:sz w:val="24"/>
          <w:szCs w:val="24"/>
          <w:color w:val="auto"/>
        </w:rPr>
      </w:pPr>
    </w:p>
    <w:p>
      <w:pPr>
        <w:ind w:left="1360"/>
        <w:spacing w:after="0"/>
        <w:rPr>
          <w:sz w:val="20"/>
          <w:szCs w:val="20"/>
          <w:color w:val="auto"/>
        </w:rPr>
      </w:pPr>
      <w:r>
        <w:rPr>
          <w:rFonts w:ascii="Arial" w:cs="Arial" w:eastAsia="Arial" w:hAnsi="Arial"/>
          <w:sz w:val="12"/>
          <w:szCs w:val="12"/>
          <w:b w:val="1"/>
          <w:bCs w:val="1"/>
          <w:color w:val="auto"/>
        </w:rPr>
        <w:t>(State or other jurisdiction of</w:t>
      </w:r>
    </w:p>
    <w:p>
      <w:pPr>
        <w:spacing w:after="0" w:line="1" w:lineRule="exact"/>
        <w:rPr>
          <w:sz w:val="24"/>
          <w:szCs w:val="24"/>
          <w:color w:val="auto"/>
        </w:rPr>
      </w:pPr>
    </w:p>
    <w:p>
      <w:pPr>
        <w:ind w:left="13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ind w:left="900"/>
        <w:spacing w:after="0"/>
        <w:rPr>
          <w:sz w:val="20"/>
          <w:szCs w:val="20"/>
          <w:color w:val="auto"/>
        </w:rPr>
      </w:pPr>
      <w:r>
        <w:rPr>
          <w:rFonts w:ascii="Arial" w:cs="Arial" w:eastAsia="Arial" w:hAnsi="Arial"/>
          <w:sz w:val="13"/>
          <w:szCs w:val="13"/>
          <w:b w:val="1"/>
          <w:bCs w:val="1"/>
          <w:color w:val="auto"/>
        </w:rPr>
        <w:t>7389</w:t>
      </w:r>
    </w:p>
    <w:p>
      <w:pPr>
        <w:spacing w:after="0" w:line="4" w:lineRule="exact"/>
        <w:rPr>
          <w:sz w:val="24"/>
          <w:szCs w:val="24"/>
          <w:color w:val="auto"/>
        </w:rPr>
      </w:pPr>
    </w:p>
    <w:p>
      <w:pPr>
        <w:ind w:left="180"/>
        <w:spacing w:after="0"/>
        <w:rPr>
          <w:sz w:val="20"/>
          <w:szCs w:val="20"/>
          <w:color w:val="auto"/>
        </w:rPr>
      </w:pPr>
      <w:r>
        <w:rPr>
          <w:rFonts w:ascii="Arial" w:cs="Arial" w:eastAsia="Arial" w:hAnsi="Arial"/>
          <w:sz w:val="12"/>
          <w:szCs w:val="12"/>
          <w:b w:val="1"/>
          <w:bCs w:val="1"/>
          <w:color w:val="auto"/>
        </w:rPr>
        <w:t>(Primary Standard Industrial</w:t>
      </w:r>
    </w:p>
    <w:p>
      <w:pPr>
        <w:spacing w:after="0" w:line="1" w:lineRule="exact"/>
        <w:rPr>
          <w:sz w:val="24"/>
          <w:szCs w:val="24"/>
          <w:color w:val="auto"/>
        </w:rPr>
      </w:pPr>
    </w:p>
    <w:p>
      <w:pPr>
        <w:ind w:left="200"/>
        <w:spacing w:after="0"/>
        <w:rPr>
          <w:sz w:val="20"/>
          <w:szCs w:val="20"/>
          <w:color w:val="auto"/>
        </w:rPr>
      </w:pPr>
      <w:r>
        <w:rPr>
          <w:rFonts w:ascii="Arial" w:cs="Arial" w:eastAsia="Arial" w:hAnsi="Arial"/>
          <w:sz w:val="12"/>
          <w:szCs w:val="12"/>
          <w:b w:val="1"/>
          <w:bCs w:val="1"/>
          <w:color w:val="auto"/>
        </w:rPr>
        <w:t>Classification Code Number)</w:t>
      </w:r>
    </w:p>
    <w:p>
      <w:pPr>
        <w:ind w:left="200"/>
        <w:spacing w:after="0" w:line="225" w:lineRule="auto"/>
        <w:rPr>
          <w:sz w:val="20"/>
          <w:szCs w:val="20"/>
          <w:color w:val="auto"/>
        </w:rPr>
      </w:pPr>
      <w:r>
        <w:rPr>
          <w:rFonts w:ascii="Arial" w:cs="Arial" w:eastAsia="Arial" w:hAnsi="Arial"/>
          <w:sz w:val="13"/>
          <w:szCs w:val="13"/>
          <w:b w:val="1"/>
          <w:bCs w:val="1"/>
          <w:color w:val="auto"/>
        </w:rPr>
        <w:t>50 Beale Street, Suite 600</w:t>
      </w:r>
    </w:p>
    <w:p>
      <w:pPr>
        <w:spacing w:after="0"/>
        <w:rPr>
          <w:sz w:val="20"/>
          <w:szCs w:val="20"/>
          <w:color w:val="auto"/>
        </w:rPr>
      </w:pPr>
      <w:r>
        <w:rPr>
          <w:rFonts w:ascii="Arial" w:cs="Arial" w:eastAsia="Arial" w:hAnsi="Arial"/>
          <w:sz w:val="12"/>
          <w:szCs w:val="12"/>
          <w:b w:val="1"/>
          <w:bCs w:val="1"/>
          <w:color w:val="auto"/>
        </w:rPr>
        <w:t>San Francisco, California 94105</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b w:val="1"/>
          <w:bCs w:val="1"/>
          <w:color w:val="auto"/>
        </w:rPr>
        <w:t>(888) 246-7822</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980"/>
        <w:spacing w:after="0"/>
        <w:rPr>
          <w:sz w:val="20"/>
          <w:szCs w:val="20"/>
          <w:color w:val="auto"/>
        </w:rPr>
      </w:pPr>
      <w:r>
        <w:rPr>
          <w:rFonts w:ascii="Arial" w:cs="Arial" w:eastAsia="Arial" w:hAnsi="Arial"/>
          <w:sz w:val="13"/>
          <w:szCs w:val="13"/>
          <w:b w:val="1"/>
          <w:bCs w:val="1"/>
          <w:color w:val="auto"/>
        </w:rPr>
        <w:t>46-0723335</w:t>
      </w:r>
    </w:p>
    <w:p>
      <w:pPr>
        <w:jc w:val="center"/>
        <w:ind w:right="980"/>
        <w:spacing w:after="0" w:line="229" w:lineRule="auto"/>
        <w:rPr>
          <w:sz w:val="20"/>
          <w:szCs w:val="20"/>
          <w:color w:val="auto"/>
        </w:rPr>
      </w:pPr>
      <w:r>
        <w:rPr>
          <w:rFonts w:ascii="Arial" w:cs="Arial" w:eastAsia="Arial" w:hAnsi="Arial"/>
          <w:sz w:val="13"/>
          <w:szCs w:val="13"/>
          <w:b w:val="1"/>
          <w:bCs w:val="1"/>
          <w:color w:val="auto"/>
        </w:rPr>
        <w:t>(I.R.S. Employer</w:t>
      </w:r>
    </w:p>
    <w:p>
      <w:pPr>
        <w:jc w:val="center"/>
        <w:ind w:right="980"/>
        <w:spacing w:after="0"/>
        <w:rPr>
          <w:sz w:val="20"/>
          <w:szCs w:val="20"/>
          <w:color w:val="auto"/>
        </w:rPr>
      </w:pPr>
      <w:r>
        <w:rPr>
          <w:rFonts w:ascii="Arial" w:cs="Arial" w:eastAsia="Arial" w:hAnsi="Arial"/>
          <w:sz w:val="12"/>
          <w:szCs w:val="12"/>
          <w:b w:val="1"/>
          <w:bCs w:val="1"/>
          <w:color w:val="auto"/>
        </w:rPr>
        <w:t>Identification Number)</w:t>
      </w:r>
    </w:p>
    <w:p>
      <w:pPr>
        <w:spacing w:after="0" w:line="430" w:lineRule="exact"/>
        <w:rPr>
          <w:sz w:val="24"/>
          <w:szCs w:val="24"/>
          <w:color w:val="auto"/>
        </w:rPr>
      </w:pPr>
    </w:p>
    <w:p>
      <w:pPr>
        <w:sectPr>
          <w:pgSz w:w="11900" w:h="16838" w:orient="portrait"/>
          <w:cols w:equalWidth="0" w:num="3">
            <w:col w:w="3980" w:space="720"/>
            <w:col w:w="3040" w:space="720"/>
            <w:col w:w="2320"/>
          </w:cols>
          <w:pgMar w:left="320" w:top="225" w:right="799" w:bottom="1440"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95250</wp:posOffset>
            </wp:positionV>
            <wp:extent cx="1383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73"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Fidji Simo</w:t>
      </w:r>
    </w:p>
    <w:p>
      <w:pPr>
        <w:jc w:val="center"/>
        <w:ind w:right="-479"/>
        <w:spacing w:after="0" w:line="229" w:lineRule="auto"/>
        <w:rPr>
          <w:sz w:val="20"/>
          <w:szCs w:val="20"/>
          <w:color w:val="auto"/>
        </w:rPr>
      </w:pPr>
      <w:r>
        <w:rPr>
          <w:rFonts w:ascii="Arial" w:cs="Arial" w:eastAsia="Arial" w:hAnsi="Arial"/>
          <w:sz w:val="13"/>
          <w:szCs w:val="13"/>
          <w:b w:val="1"/>
          <w:bCs w:val="1"/>
          <w:color w:val="auto"/>
        </w:rPr>
        <w:t>Chief Executive Officer</w:t>
      </w:r>
    </w:p>
    <w:p>
      <w:pPr>
        <w:jc w:val="center"/>
        <w:ind w:right="-479"/>
        <w:spacing w:after="0" w:line="224" w:lineRule="auto"/>
        <w:rPr>
          <w:sz w:val="20"/>
          <w:szCs w:val="20"/>
          <w:color w:val="auto"/>
        </w:rPr>
      </w:pPr>
      <w:r>
        <w:rPr>
          <w:rFonts w:ascii="Arial" w:cs="Arial" w:eastAsia="Arial" w:hAnsi="Arial"/>
          <w:sz w:val="13"/>
          <w:szCs w:val="13"/>
          <w:b w:val="1"/>
          <w:bCs w:val="1"/>
          <w:color w:val="auto"/>
        </w:rPr>
        <w:t>Maplebear Inc.</w:t>
      </w:r>
    </w:p>
    <w:p>
      <w:pPr>
        <w:jc w:val="center"/>
        <w:ind w:right="-479"/>
        <w:spacing w:after="0" w:line="224" w:lineRule="auto"/>
        <w:rPr>
          <w:sz w:val="20"/>
          <w:szCs w:val="20"/>
          <w:color w:val="auto"/>
        </w:rPr>
      </w:pPr>
      <w:r>
        <w:rPr>
          <w:rFonts w:ascii="Arial" w:cs="Arial" w:eastAsia="Arial" w:hAnsi="Arial"/>
          <w:sz w:val="13"/>
          <w:szCs w:val="13"/>
          <w:b w:val="1"/>
          <w:bCs w:val="1"/>
          <w:color w:val="auto"/>
        </w:rPr>
        <w:t>50 Beale Street, Suite 600</w:t>
      </w:r>
    </w:p>
    <w:p>
      <w:pPr>
        <w:jc w:val="center"/>
        <w:ind w:right="-479"/>
        <w:spacing w:after="0" w:line="223" w:lineRule="auto"/>
        <w:rPr>
          <w:sz w:val="20"/>
          <w:szCs w:val="20"/>
          <w:color w:val="auto"/>
        </w:rPr>
      </w:pPr>
      <w:r>
        <w:rPr>
          <w:rFonts w:ascii="Arial" w:cs="Arial" w:eastAsia="Arial" w:hAnsi="Arial"/>
          <w:sz w:val="13"/>
          <w:szCs w:val="13"/>
          <w:b w:val="1"/>
          <w:bCs w:val="1"/>
          <w:color w:val="auto"/>
        </w:rPr>
        <w:t>San Francisco, California 94105</w:t>
      </w:r>
    </w:p>
    <w:p>
      <w:pPr>
        <w:jc w:val="center"/>
        <w:ind w:right="-479"/>
        <w:spacing w:after="0" w:line="224" w:lineRule="auto"/>
        <w:rPr>
          <w:sz w:val="20"/>
          <w:szCs w:val="20"/>
          <w:color w:val="auto"/>
        </w:rPr>
      </w:pPr>
      <w:r>
        <w:rPr>
          <w:rFonts w:ascii="Arial" w:cs="Arial" w:eastAsia="Arial" w:hAnsi="Arial"/>
          <w:sz w:val="13"/>
          <w:szCs w:val="13"/>
          <w:b w:val="1"/>
          <w:bCs w:val="1"/>
          <w:color w:val="auto"/>
        </w:rPr>
        <w:t>(888) 246-7822</w:t>
      </w:r>
    </w:p>
    <w:p>
      <w:pPr>
        <w:jc w:val="center"/>
        <w:ind w:right="-4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109855</wp:posOffset>
            </wp:positionV>
            <wp:extent cx="1383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98" w:lineRule="exact"/>
        <w:rPr>
          <w:sz w:val="24"/>
          <w:szCs w:val="24"/>
          <w:color w:val="auto"/>
        </w:rPr>
      </w:pPr>
    </w:p>
    <w:tbl>
      <w:tblPr>
        <w:tblLayout w:type="fixed"/>
        <w:tblInd w:w="1420"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3580" w:type="dxa"/>
            <w:vAlign w:val="bottom"/>
          </w:tcPr>
          <w:p>
            <w:pPr>
              <w:ind w:left="1440"/>
              <w:spacing w:after="0"/>
              <w:rPr>
                <w:sz w:val="20"/>
                <w:szCs w:val="20"/>
                <w:color w:val="auto"/>
              </w:rPr>
            </w:pPr>
            <w:r>
              <w:rPr>
                <w:rFonts w:ascii="Arial" w:cs="Arial" w:eastAsia="Arial" w:hAnsi="Arial"/>
                <w:sz w:val="13"/>
                <w:szCs w:val="13"/>
                <w:b w:val="1"/>
                <w:bCs w:val="1"/>
                <w:i w:val="1"/>
                <w:iCs w:val="1"/>
                <w:color w:val="auto"/>
              </w:rPr>
              <w:t>Copies to:</w:t>
            </w:r>
          </w:p>
        </w:tc>
        <w:tc>
          <w:tcPr>
            <w:tcW w:w="2500" w:type="dxa"/>
            <w:vAlign w:val="bottom"/>
          </w:tcPr>
          <w:p>
            <w:pPr>
              <w:spacing w:after="0"/>
              <w:rPr>
                <w:sz w:val="14"/>
                <w:szCs w:val="14"/>
                <w:color w:val="auto"/>
              </w:rPr>
            </w:pPr>
          </w:p>
        </w:tc>
      </w:tr>
      <w:tr>
        <w:trPr>
          <w:trHeight w:val="168"/>
        </w:trPr>
        <w:tc>
          <w:tcPr>
            <w:tcW w:w="2480" w:type="dxa"/>
            <w:vAlign w:val="bottom"/>
          </w:tcPr>
          <w:p>
            <w:pPr>
              <w:jc w:val="center"/>
              <w:ind w:right="873"/>
              <w:spacing w:after="0"/>
              <w:rPr>
                <w:sz w:val="20"/>
                <w:szCs w:val="20"/>
                <w:color w:val="auto"/>
              </w:rPr>
            </w:pPr>
            <w:r>
              <w:rPr>
                <w:rFonts w:ascii="Arial" w:cs="Arial" w:eastAsia="Arial" w:hAnsi="Arial"/>
                <w:sz w:val="13"/>
                <w:szCs w:val="13"/>
                <w:b w:val="1"/>
                <w:bCs w:val="1"/>
                <w:color w:val="auto"/>
                <w:w w:val="93"/>
              </w:rPr>
              <w:t>Jon Avina</w:t>
            </w:r>
          </w:p>
        </w:tc>
        <w:tc>
          <w:tcPr>
            <w:tcW w:w="3580" w:type="dxa"/>
            <w:vAlign w:val="bottom"/>
          </w:tcPr>
          <w:p>
            <w:pPr>
              <w:jc w:val="center"/>
              <w:ind w:left="13"/>
              <w:spacing w:after="0"/>
              <w:rPr>
                <w:sz w:val="20"/>
                <w:szCs w:val="20"/>
                <w:color w:val="auto"/>
              </w:rPr>
            </w:pPr>
            <w:r>
              <w:rPr>
                <w:rFonts w:ascii="Arial" w:cs="Arial" w:eastAsia="Arial" w:hAnsi="Arial"/>
                <w:sz w:val="13"/>
                <w:szCs w:val="13"/>
                <w:b w:val="1"/>
                <w:bCs w:val="1"/>
                <w:color w:val="auto"/>
                <w:w w:val="94"/>
              </w:rPr>
              <w:t>Morgan Fong</w:t>
            </w:r>
          </w:p>
        </w:tc>
        <w:tc>
          <w:tcPr>
            <w:tcW w:w="2500" w:type="dxa"/>
            <w:vAlign w:val="bottom"/>
          </w:tcPr>
          <w:p>
            <w:pPr>
              <w:jc w:val="center"/>
              <w:ind w:left="753"/>
              <w:spacing w:after="0"/>
              <w:rPr>
                <w:sz w:val="20"/>
                <w:szCs w:val="20"/>
                <w:color w:val="auto"/>
              </w:rPr>
            </w:pPr>
            <w:r>
              <w:rPr>
                <w:rFonts w:ascii="Arial" w:cs="Arial" w:eastAsia="Arial" w:hAnsi="Arial"/>
                <w:sz w:val="13"/>
                <w:szCs w:val="13"/>
                <w:b w:val="1"/>
                <w:bCs w:val="1"/>
                <w:color w:val="auto"/>
                <w:w w:val="94"/>
              </w:rPr>
              <w:t>Ian D. Schuman</w:t>
            </w:r>
          </w:p>
        </w:tc>
      </w:tr>
      <w:tr>
        <w:trPr>
          <w:trHeight w:val="139"/>
        </w:trPr>
        <w:tc>
          <w:tcPr>
            <w:tcW w:w="2480" w:type="dxa"/>
            <w:vAlign w:val="bottom"/>
          </w:tcPr>
          <w:p>
            <w:pPr>
              <w:jc w:val="center"/>
              <w:ind w:right="873"/>
              <w:spacing w:after="0" w:line="139" w:lineRule="exact"/>
              <w:rPr>
                <w:sz w:val="20"/>
                <w:szCs w:val="20"/>
                <w:color w:val="auto"/>
              </w:rPr>
            </w:pPr>
            <w:r>
              <w:rPr>
                <w:rFonts w:ascii="Arial" w:cs="Arial" w:eastAsia="Arial" w:hAnsi="Arial"/>
                <w:sz w:val="13"/>
                <w:szCs w:val="13"/>
                <w:b w:val="1"/>
                <w:bCs w:val="1"/>
                <w:color w:val="auto"/>
                <w:w w:val="96"/>
              </w:rPr>
              <w:t>Rachel Proffitt</w:t>
            </w:r>
          </w:p>
        </w:tc>
        <w:tc>
          <w:tcPr>
            <w:tcW w:w="3580" w:type="dxa"/>
            <w:vAlign w:val="bottom"/>
          </w:tcPr>
          <w:p>
            <w:pPr>
              <w:jc w:val="center"/>
              <w:ind w:left="13"/>
              <w:spacing w:after="0" w:line="139" w:lineRule="exact"/>
              <w:rPr>
                <w:sz w:val="20"/>
                <w:szCs w:val="20"/>
                <w:color w:val="auto"/>
              </w:rPr>
            </w:pPr>
            <w:r>
              <w:rPr>
                <w:rFonts w:ascii="Arial" w:cs="Arial" w:eastAsia="Arial" w:hAnsi="Arial"/>
                <w:sz w:val="13"/>
                <w:szCs w:val="13"/>
                <w:b w:val="1"/>
                <w:bCs w:val="1"/>
                <w:color w:val="auto"/>
                <w:w w:val="99"/>
              </w:rPr>
              <w:t>Bradley Libuit</w:t>
            </w:r>
          </w:p>
        </w:tc>
        <w:tc>
          <w:tcPr>
            <w:tcW w:w="2500" w:type="dxa"/>
            <w:vAlign w:val="bottom"/>
          </w:tcPr>
          <w:p>
            <w:pPr>
              <w:jc w:val="center"/>
              <w:ind w:left="753"/>
              <w:spacing w:after="0" w:line="139" w:lineRule="exact"/>
              <w:rPr>
                <w:sz w:val="20"/>
                <w:szCs w:val="20"/>
                <w:color w:val="auto"/>
              </w:rPr>
            </w:pPr>
            <w:r>
              <w:rPr>
                <w:rFonts w:ascii="Arial" w:cs="Arial" w:eastAsia="Arial" w:hAnsi="Arial"/>
                <w:sz w:val="13"/>
                <w:szCs w:val="13"/>
                <w:b w:val="1"/>
                <w:bCs w:val="1"/>
                <w:color w:val="auto"/>
                <w:w w:val="89"/>
              </w:rPr>
              <w:t>Stelios G. Saffos</w:t>
            </w:r>
          </w:p>
        </w:tc>
      </w:tr>
      <w:tr>
        <w:trPr>
          <w:trHeight w:val="139"/>
        </w:trPr>
        <w:tc>
          <w:tcPr>
            <w:tcW w:w="2480" w:type="dxa"/>
            <w:vAlign w:val="bottom"/>
          </w:tcPr>
          <w:p>
            <w:pPr>
              <w:jc w:val="center"/>
              <w:ind w:right="853"/>
              <w:spacing w:after="0" w:line="139" w:lineRule="exact"/>
              <w:rPr>
                <w:sz w:val="20"/>
                <w:szCs w:val="20"/>
                <w:color w:val="auto"/>
              </w:rPr>
            </w:pPr>
            <w:r>
              <w:rPr>
                <w:rFonts w:ascii="Arial" w:cs="Arial" w:eastAsia="Arial" w:hAnsi="Arial"/>
                <w:sz w:val="13"/>
                <w:szCs w:val="13"/>
                <w:b w:val="1"/>
                <w:bCs w:val="1"/>
                <w:color w:val="auto"/>
                <w:w w:val="94"/>
              </w:rPr>
              <w:t>Jonie Kondracki</w:t>
            </w:r>
          </w:p>
        </w:tc>
        <w:tc>
          <w:tcPr>
            <w:tcW w:w="3580" w:type="dxa"/>
            <w:vAlign w:val="bottom"/>
          </w:tcPr>
          <w:p>
            <w:pPr>
              <w:jc w:val="center"/>
              <w:ind w:left="13"/>
              <w:spacing w:after="0" w:line="139" w:lineRule="exact"/>
              <w:rPr>
                <w:sz w:val="20"/>
                <w:szCs w:val="20"/>
                <w:color w:val="auto"/>
              </w:rPr>
            </w:pPr>
            <w:r>
              <w:rPr>
                <w:rFonts w:ascii="Arial" w:cs="Arial" w:eastAsia="Arial" w:hAnsi="Arial"/>
                <w:sz w:val="13"/>
                <w:szCs w:val="13"/>
                <w:b w:val="1"/>
                <w:bCs w:val="1"/>
                <w:color w:val="auto"/>
                <w:w w:val="90"/>
              </w:rPr>
              <w:t>Hyun Jee Son</w:t>
            </w:r>
          </w:p>
        </w:tc>
        <w:tc>
          <w:tcPr>
            <w:tcW w:w="2500" w:type="dxa"/>
            <w:vAlign w:val="bottom"/>
          </w:tcPr>
          <w:p>
            <w:pPr>
              <w:jc w:val="center"/>
              <w:ind w:left="753"/>
              <w:spacing w:after="0" w:line="139" w:lineRule="exact"/>
              <w:rPr>
                <w:sz w:val="20"/>
                <w:szCs w:val="20"/>
                <w:color w:val="auto"/>
              </w:rPr>
            </w:pPr>
            <w:r>
              <w:rPr>
                <w:rFonts w:ascii="Arial" w:cs="Arial" w:eastAsia="Arial" w:hAnsi="Arial"/>
                <w:sz w:val="13"/>
                <w:szCs w:val="13"/>
                <w:b w:val="1"/>
                <w:bCs w:val="1"/>
                <w:color w:val="auto"/>
                <w:w w:val="99"/>
              </w:rPr>
              <w:t>Brittany D. Ruiz</w:t>
            </w:r>
          </w:p>
        </w:tc>
      </w:tr>
      <w:tr>
        <w:trPr>
          <w:trHeight w:val="139"/>
        </w:trPr>
        <w:tc>
          <w:tcPr>
            <w:tcW w:w="2480" w:type="dxa"/>
            <w:vAlign w:val="bottom"/>
          </w:tcPr>
          <w:p>
            <w:pPr>
              <w:jc w:val="center"/>
              <w:ind w:right="833"/>
              <w:spacing w:after="0" w:line="139" w:lineRule="exact"/>
              <w:rPr>
                <w:sz w:val="20"/>
                <w:szCs w:val="20"/>
                <w:color w:val="auto"/>
              </w:rPr>
            </w:pPr>
            <w:r>
              <w:rPr>
                <w:rFonts w:ascii="Arial" w:cs="Arial" w:eastAsia="Arial" w:hAnsi="Arial"/>
                <w:sz w:val="13"/>
                <w:szCs w:val="13"/>
                <w:b w:val="1"/>
                <w:bCs w:val="1"/>
                <w:color w:val="auto"/>
                <w:w w:val="94"/>
              </w:rPr>
              <w:t>Milson Yu</w:t>
            </w:r>
          </w:p>
        </w:tc>
        <w:tc>
          <w:tcPr>
            <w:tcW w:w="3580" w:type="dxa"/>
            <w:vAlign w:val="bottom"/>
          </w:tcPr>
          <w:p>
            <w:pPr>
              <w:jc w:val="center"/>
              <w:ind w:left="13"/>
              <w:spacing w:after="0" w:line="139" w:lineRule="exact"/>
              <w:rPr>
                <w:sz w:val="20"/>
                <w:szCs w:val="20"/>
                <w:color w:val="auto"/>
              </w:rPr>
            </w:pPr>
            <w:r>
              <w:rPr>
                <w:rFonts w:ascii="Arial" w:cs="Arial" w:eastAsia="Arial" w:hAnsi="Arial"/>
                <w:sz w:val="13"/>
                <w:szCs w:val="13"/>
                <w:b w:val="1"/>
                <w:bCs w:val="1"/>
                <w:color w:val="auto"/>
                <w:w w:val="93"/>
              </w:rPr>
              <w:t>Kelsey Wilcox</w:t>
            </w:r>
          </w:p>
        </w:tc>
        <w:tc>
          <w:tcPr>
            <w:tcW w:w="2500" w:type="dxa"/>
            <w:vAlign w:val="bottom"/>
          </w:tcPr>
          <w:p>
            <w:pPr>
              <w:jc w:val="center"/>
              <w:ind w:left="753"/>
              <w:spacing w:after="0" w:line="139" w:lineRule="exact"/>
              <w:rPr>
                <w:sz w:val="20"/>
                <w:szCs w:val="20"/>
                <w:color w:val="auto"/>
              </w:rPr>
            </w:pPr>
            <w:r>
              <w:rPr>
                <w:rFonts w:ascii="Arial" w:cs="Arial" w:eastAsia="Arial" w:hAnsi="Arial"/>
                <w:sz w:val="13"/>
                <w:szCs w:val="13"/>
                <w:b w:val="1"/>
                <w:bCs w:val="1"/>
                <w:color w:val="auto"/>
                <w:w w:val="99"/>
              </w:rPr>
              <w:t>Latham &amp; Watkins LLP</w:t>
            </w:r>
          </w:p>
        </w:tc>
      </w:tr>
      <w:tr>
        <w:trPr>
          <w:trHeight w:val="139"/>
        </w:trPr>
        <w:tc>
          <w:tcPr>
            <w:tcW w:w="2480" w:type="dxa"/>
            <w:vAlign w:val="bottom"/>
          </w:tcPr>
          <w:p>
            <w:pPr>
              <w:jc w:val="center"/>
              <w:ind w:right="833"/>
              <w:spacing w:after="0" w:line="139" w:lineRule="exact"/>
              <w:rPr>
                <w:sz w:val="20"/>
                <w:szCs w:val="20"/>
                <w:color w:val="auto"/>
              </w:rPr>
            </w:pPr>
            <w:r>
              <w:rPr>
                <w:rFonts w:ascii="Arial" w:cs="Arial" w:eastAsia="Arial" w:hAnsi="Arial"/>
                <w:sz w:val="13"/>
                <w:szCs w:val="13"/>
                <w:b w:val="1"/>
                <w:bCs w:val="1"/>
                <w:color w:val="auto"/>
                <w:w w:val="97"/>
              </w:rPr>
              <w:t>Cooley LLP</w:t>
            </w:r>
          </w:p>
        </w:tc>
        <w:tc>
          <w:tcPr>
            <w:tcW w:w="3580" w:type="dxa"/>
            <w:vAlign w:val="bottom"/>
          </w:tcPr>
          <w:p>
            <w:pPr>
              <w:jc w:val="center"/>
              <w:ind w:left="13"/>
              <w:spacing w:after="0" w:line="139" w:lineRule="exact"/>
              <w:rPr>
                <w:sz w:val="20"/>
                <w:szCs w:val="20"/>
                <w:color w:val="auto"/>
              </w:rPr>
            </w:pPr>
            <w:r>
              <w:rPr>
                <w:rFonts w:ascii="Arial" w:cs="Arial" w:eastAsia="Arial" w:hAnsi="Arial"/>
                <w:sz w:val="13"/>
                <w:szCs w:val="13"/>
                <w:b w:val="1"/>
                <w:bCs w:val="1"/>
                <w:color w:val="auto"/>
                <w:w w:val="99"/>
              </w:rPr>
              <w:t>Maplebear Inc.</w:t>
            </w:r>
          </w:p>
        </w:tc>
        <w:tc>
          <w:tcPr>
            <w:tcW w:w="2500" w:type="dxa"/>
            <w:vAlign w:val="bottom"/>
          </w:tcPr>
          <w:p>
            <w:pPr>
              <w:jc w:val="center"/>
              <w:ind w:left="753"/>
              <w:spacing w:after="0" w:line="139" w:lineRule="exact"/>
              <w:rPr>
                <w:sz w:val="20"/>
                <w:szCs w:val="20"/>
                <w:color w:val="auto"/>
              </w:rPr>
            </w:pPr>
            <w:r>
              <w:rPr>
                <w:rFonts w:ascii="Arial" w:cs="Arial" w:eastAsia="Arial" w:hAnsi="Arial"/>
                <w:sz w:val="13"/>
                <w:szCs w:val="13"/>
                <w:b w:val="1"/>
                <w:bCs w:val="1"/>
                <w:color w:val="auto"/>
                <w:w w:val="92"/>
              </w:rPr>
              <w:t>1271 Avenue of the Americas</w:t>
            </w:r>
          </w:p>
        </w:tc>
      </w:tr>
      <w:tr>
        <w:trPr>
          <w:trHeight w:val="139"/>
        </w:trPr>
        <w:tc>
          <w:tcPr>
            <w:tcW w:w="2480" w:type="dxa"/>
            <w:vAlign w:val="bottom"/>
          </w:tcPr>
          <w:p>
            <w:pPr>
              <w:jc w:val="center"/>
              <w:ind w:right="873"/>
              <w:spacing w:after="0" w:line="139" w:lineRule="exact"/>
              <w:rPr>
                <w:sz w:val="20"/>
                <w:szCs w:val="20"/>
                <w:color w:val="auto"/>
              </w:rPr>
            </w:pPr>
            <w:r>
              <w:rPr>
                <w:rFonts w:ascii="Arial" w:cs="Arial" w:eastAsia="Arial" w:hAnsi="Arial"/>
                <w:sz w:val="13"/>
                <w:szCs w:val="13"/>
                <w:b w:val="1"/>
                <w:bCs w:val="1"/>
                <w:color w:val="auto"/>
                <w:w w:val="94"/>
              </w:rPr>
              <w:t>3175 Hanover Street</w:t>
            </w:r>
          </w:p>
        </w:tc>
        <w:tc>
          <w:tcPr>
            <w:tcW w:w="3580" w:type="dxa"/>
            <w:vAlign w:val="bottom"/>
          </w:tcPr>
          <w:p>
            <w:pPr>
              <w:jc w:val="center"/>
              <w:ind w:left="13"/>
              <w:spacing w:after="0" w:line="139" w:lineRule="exact"/>
              <w:rPr>
                <w:sz w:val="20"/>
                <w:szCs w:val="20"/>
                <w:color w:val="auto"/>
              </w:rPr>
            </w:pPr>
            <w:r>
              <w:rPr>
                <w:rFonts w:ascii="Arial" w:cs="Arial" w:eastAsia="Arial" w:hAnsi="Arial"/>
                <w:sz w:val="13"/>
                <w:szCs w:val="13"/>
                <w:b w:val="1"/>
                <w:bCs w:val="1"/>
                <w:color w:val="auto"/>
                <w:w w:val="92"/>
              </w:rPr>
              <w:t>50 Beale Street, Suite 600</w:t>
            </w:r>
          </w:p>
        </w:tc>
        <w:tc>
          <w:tcPr>
            <w:tcW w:w="2500" w:type="dxa"/>
            <w:vAlign w:val="bottom"/>
          </w:tcPr>
          <w:p>
            <w:pPr>
              <w:jc w:val="center"/>
              <w:ind w:left="753"/>
              <w:spacing w:after="0" w:line="139" w:lineRule="exact"/>
              <w:rPr>
                <w:sz w:val="20"/>
                <w:szCs w:val="20"/>
                <w:color w:val="auto"/>
              </w:rPr>
            </w:pPr>
            <w:r>
              <w:rPr>
                <w:rFonts w:ascii="Arial" w:cs="Arial" w:eastAsia="Arial" w:hAnsi="Arial"/>
                <w:sz w:val="13"/>
                <w:szCs w:val="13"/>
                <w:b w:val="1"/>
                <w:bCs w:val="1"/>
                <w:color w:val="auto"/>
                <w:w w:val="96"/>
              </w:rPr>
              <w:t>New York, New York 10020</w:t>
            </w:r>
          </w:p>
        </w:tc>
      </w:tr>
      <w:tr>
        <w:trPr>
          <w:trHeight w:val="139"/>
        </w:trPr>
        <w:tc>
          <w:tcPr>
            <w:tcW w:w="2480" w:type="dxa"/>
            <w:vAlign w:val="bottom"/>
          </w:tcPr>
          <w:p>
            <w:pPr>
              <w:jc w:val="center"/>
              <w:ind w:right="833"/>
              <w:spacing w:after="0" w:line="139" w:lineRule="exact"/>
              <w:rPr>
                <w:sz w:val="20"/>
                <w:szCs w:val="20"/>
                <w:color w:val="auto"/>
              </w:rPr>
            </w:pPr>
            <w:r>
              <w:rPr>
                <w:rFonts w:ascii="Arial" w:cs="Arial" w:eastAsia="Arial" w:hAnsi="Arial"/>
                <w:sz w:val="13"/>
                <w:szCs w:val="13"/>
                <w:b w:val="1"/>
                <w:bCs w:val="1"/>
                <w:color w:val="auto"/>
                <w:w w:val="96"/>
              </w:rPr>
              <w:t>Palo Alto, California 94304</w:t>
            </w:r>
          </w:p>
        </w:tc>
        <w:tc>
          <w:tcPr>
            <w:tcW w:w="3580" w:type="dxa"/>
            <w:vAlign w:val="bottom"/>
          </w:tcPr>
          <w:p>
            <w:pPr>
              <w:jc w:val="center"/>
              <w:ind w:left="13"/>
              <w:spacing w:after="0" w:line="139" w:lineRule="exact"/>
              <w:rPr>
                <w:sz w:val="20"/>
                <w:szCs w:val="20"/>
                <w:color w:val="auto"/>
              </w:rPr>
            </w:pPr>
            <w:r>
              <w:rPr>
                <w:rFonts w:ascii="Arial" w:cs="Arial" w:eastAsia="Arial" w:hAnsi="Arial"/>
                <w:sz w:val="13"/>
                <w:szCs w:val="13"/>
                <w:b w:val="1"/>
                <w:bCs w:val="1"/>
                <w:color w:val="auto"/>
                <w:w w:val="94"/>
              </w:rPr>
              <w:t>San Francisco, California 94105</w:t>
            </w:r>
          </w:p>
        </w:tc>
        <w:tc>
          <w:tcPr>
            <w:tcW w:w="2500" w:type="dxa"/>
            <w:vAlign w:val="bottom"/>
          </w:tcPr>
          <w:p>
            <w:pPr>
              <w:jc w:val="center"/>
              <w:ind w:left="753"/>
              <w:spacing w:after="0" w:line="139" w:lineRule="exact"/>
              <w:rPr>
                <w:sz w:val="20"/>
                <w:szCs w:val="20"/>
                <w:color w:val="auto"/>
              </w:rPr>
            </w:pPr>
            <w:r>
              <w:rPr>
                <w:rFonts w:ascii="Arial" w:cs="Arial" w:eastAsia="Arial" w:hAnsi="Arial"/>
                <w:sz w:val="13"/>
                <w:szCs w:val="13"/>
                <w:b w:val="1"/>
                <w:bCs w:val="1"/>
                <w:color w:val="auto"/>
                <w:w w:val="94"/>
              </w:rPr>
              <w:t>(212) 906-1200</w:t>
            </w:r>
          </w:p>
        </w:tc>
      </w:tr>
      <w:tr>
        <w:trPr>
          <w:trHeight w:val="174"/>
        </w:trPr>
        <w:tc>
          <w:tcPr>
            <w:tcW w:w="2480" w:type="dxa"/>
            <w:vAlign w:val="bottom"/>
          </w:tcPr>
          <w:p>
            <w:pPr>
              <w:jc w:val="center"/>
              <w:ind w:right="833"/>
              <w:spacing w:after="0"/>
              <w:rPr>
                <w:sz w:val="20"/>
                <w:szCs w:val="20"/>
                <w:color w:val="auto"/>
              </w:rPr>
            </w:pPr>
            <w:r>
              <w:rPr>
                <w:rFonts w:ascii="Arial" w:cs="Arial" w:eastAsia="Arial" w:hAnsi="Arial"/>
                <w:sz w:val="13"/>
                <w:szCs w:val="13"/>
                <w:b w:val="1"/>
                <w:bCs w:val="1"/>
                <w:color w:val="auto"/>
                <w:w w:val="96"/>
              </w:rPr>
              <w:t>(650) 843-5000</w:t>
            </w:r>
          </w:p>
        </w:tc>
        <w:tc>
          <w:tcPr>
            <w:tcW w:w="3580" w:type="dxa"/>
            <w:vAlign w:val="bottom"/>
          </w:tcPr>
          <w:p>
            <w:pPr>
              <w:jc w:val="center"/>
              <w:ind w:left="33"/>
              <w:spacing w:after="0"/>
              <w:rPr>
                <w:sz w:val="20"/>
                <w:szCs w:val="20"/>
                <w:color w:val="auto"/>
              </w:rPr>
            </w:pPr>
            <w:r>
              <w:rPr>
                <w:rFonts w:ascii="Arial" w:cs="Arial" w:eastAsia="Arial" w:hAnsi="Arial"/>
                <w:sz w:val="13"/>
                <w:szCs w:val="13"/>
                <w:b w:val="1"/>
                <w:bCs w:val="1"/>
                <w:color w:val="auto"/>
                <w:w w:val="94"/>
              </w:rPr>
              <w:t>(888) 246-7822</w:t>
            </w:r>
          </w:p>
        </w:tc>
        <w:tc>
          <w:tcPr>
            <w:tcW w:w="2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103505</wp:posOffset>
            </wp:positionV>
            <wp:extent cx="1383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86" w:lineRule="exact"/>
        <w:rPr>
          <w:sz w:val="24"/>
          <w:szCs w:val="24"/>
          <w:color w:val="auto"/>
        </w:rPr>
      </w:pPr>
    </w:p>
    <w:p>
      <w:pPr>
        <w:ind w:left="88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As soon as practicable after this Registration Statement is declared effective.</w:t>
      </w:r>
    </w:p>
    <w:p>
      <w:pPr>
        <w:spacing w:after="0" w:line="42" w:lineRule="exact"/>
        <w:rPr>
          <w:sz w:val="24"/>
          <w:szCs w:val="24"/>
          <w:color w:val="auto"/>
        </w:rPr>
      </w:pPr>
    </w:p>
    <w:p>
      <w:pPr>
        <w:ind w:left="460" w:right="320" w:firstLine="413"/>
        <w:spacing w:after="0" w:line="173"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0" w:lineRule="exact"/>
        <w:rPr>
          <w:sz w:val="24"/>
          <w:szCs w:val="24"/>
          <w:color w:val="auto"/>
        </w:rPr>
      </w:pPr>
    </w:p>
    <w:p>
      <w:pPr>
        <w:ind w:left="460" w:right="280" w:firstLine="413"/>
        <w:spacing w:after="0" w:line="173"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left="460" w:right="120" w:firstLine="413"/>
        <w:spacing w:after="0" w:line="173"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left="460" w:right="120" w:firstLine="413"/>
        <w:spacing w:after="0" w:line="173"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left="460" w:firstLine="413"/>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6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0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308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5"/>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350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308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4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860" w:type="dxa"/>
            <w:vAlign w:val="bottom"/>
          </w:tcPr>
          <w:p>
            <w:pPr>
              <w:ind w:left="308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 w:lineRule="exact"/>
        <w:rPr>
          <w:sz w:val="24"/>
          <w:szCs w:val="24"/>
          <w:color w:val="auto"/>
        </w:rPr>
      </w:pPr>
    </w:p>
    <w:p>
      <w:pPr>
        <w:ind w:left="460" w:right="540" w:firstLine="413"/>
        <w:spacing w:after="0" w:line="17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90170</wp:posOffset>
            </wp:positionV>
            <wp:extent cx="1383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65" w:lineRule="exact"/>
        <w:rPr>
          <w:sz w:val="24"/>
          <w:szCs w:val="24"/>
          <w:color w:val="auto"/>
        </w:rPr>
      </w:pPr>
    </w:p>
    <w:p>
      <w:pPr>
        <w:ind w:left="460" w:right="60" w:firstLine="413"/>
        <w:spacing w:after="0" w:line="24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46355</wp:posOffset>
            </wp:positionV>
            <wp:extent cx="6562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86360</wp:posOffset>
            </wp:positionV>
            <wp:extent cx="6562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ectPr>
          <w:pgSz w:w="11900" w:h="16838" w:orient="portrait"/>
          <w:cols w:equalWidth="0" w:num="1">
            <w:col w:w="10780"/>
          </w:cols>
          <w:pgMar w:left="320" w:top="225"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60"/>
        <w:spacing w:after="0" w:line="280" w:lineRule="auto"/>
        <w:rPr>
          <w:sz w:val="20"/>
          <w:szCs w:val="20"/>
          <w:color w:val="auto"/>
        </w:rPr>
      </w:pPr>
      <w:r>
        <w:rPr>
          <w:rFonts w:ascii="Arial" w:cs="Arial" w:eastAsia="Arial" w:hAnsi="Arial"/>
          <w:sz w:val="15"/>
          <w:szCs w:val="15"/>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ectPr>
          <w:pgSz w:w="11900" w:h="16838" w:orient="portrait"/>
          <w:cols w:equalWidth="0" w:num="1">
            <w:col w:w="10800"/>
          </w:cols>
          <w:pgMar w:left="320" w:top="440" w:right="779" w:bottom="1440" w:gutter="0" w:footer="0" w:header="0"/>
        </w:sectPr>
      </w:pPr>
    </w:p>
    <w:p>
      <w:pPr>
        <w:spacing w:after="0" w:line="105" w:lineRule="exact"/>
        <w:rPr>
          <w:sz w:val="20"/>
          <w:szCs w:val="20"/>
          <w:color w:val="auto"/>
        </w:rPr>
      </w:pPr>
    </w:p>
    <w:p>
      <w:pPr>
        <w:ind w:left="3960"/>
        <w:spacing w:after="0"/>
        <w:rPr>
          <w:sz w:val="20"/>
          <w:szCs w:val="20"/>
          <w:color w:val="auto"/>
        </w:rPr>
      </w:pPr>
      <w:r>
        <w:rPr>
          <w:rFonts w:ascii="Arial" w:cs="Arial" w:eastAsia="Arial" w:hAnsi="Arial"/>
          <w:sz w:val="15"/>
          <w:szCs w:val="15"/>
          <w:color w:val="EB0029"/>
        </w:rPr>
        <w:t>Subject to Completion. Dated</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EB0029"/>
        </w:rPr>
        <w:t>, 2023.</w:t>
      </w:r>
    </w:p>
    <w:p>
      <w:pPr>
        <w:spacing w:after="0" w:line="91" w:lineRule="exact"/>
        <w:rPr>
          <w:sz w:val="20"/>
          <w:szCs w:val="20"/>
          <w:color w:val="auto"/>
        </w:rPr>
      </w:pPr>
    </w:p>
    <w:p>
      <w:pPr>
        <w:sectPr>
          <w:pgSz w:w="11900" w:h="16838" w:orient="portrait"/>
          <w:cols w:equalWidth="0" w:num="2">
            <w:col w:w="6100" w:space="720"/>
            <w:col w:w="3980"/>
          </w:cols>
          <w:pgMar w:left="320" w:top="440" w:right="779" w:bottom="1440" w:gutter="0" w:footer="0" w:header="0"/>
          <w:type w:val="continuous"/>
        </w:sectPr>
      </w:pPr>
    </w:p>
    <w:p>
      <w:pPr>
        <w:ind w:left="6320"/>
        <w:spacing w:after="0"/>
        <w:rPr>
          <w:sz w:val="20"/>
          <w:szCs w:val="20"/>
          <w:color w:val="auto"/>
        </w:rPr>
      </w:pPr>
      <w:r>
        <w:rPr>
          <w:rFonts w:ascii="Arial" w:cs="Arial" w:eastAsia="Arial" w:hAnsi="Arial"/>
          <w:sz w:val="19"/>
          <w:szCs w:val="19"/>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120015</wp:posOffset>
            </wp:positionV>
            <wp:extent cx="2074545" cy="321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4545" cy="321945"/>
                    </a:xfrm>
                    <a:prstGeom prst="rect">
                      <a:avLst/>
                    </a:prstGeom>
                    <a:noFill/>
                  </pic:spPr>
                </pic:pic>
              </a:graphicData>
            </a:graphic>
          </wp:anchor>
        </w:drawing>
      </w:r>
    </w:p>
    <w:p>
      <w:pPr>
        <w:sectPr>
          <w:pgSz w:w="11900" w:h="16838" w:orient="portrait"/>
          <w:cols w:equalWidth="0" w:num="1">
            <w:col w:w="10800"/>
          </w:cols>
          <w:pgMar w:left="320" w:top="440"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30"/>
          <w:szCs w:val="30"/>
          <w:b w:val="1"/>
          <w:bCs w:val="1"/>
          <w:color w:val="auto"/>
        </w:rPr>
        <w:t>Maplebear Inc.</w:t>
      </w: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228600</wp:posOffset>
            </wp:positionV>
            <wp:extent cx="1383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right="160" w:firstLine="413"/>
        <w:spacing w:after="0" w:line="260" w:lineRule="auto"/>
        <w:rPr>
          <w:sz w:val="20"/>
          <w:szCs w:val="20"/>
          <w:color w:val="auto"/>
        </w:rPr>
      </w:pPr>
      <w:r>
        <w:rPr>
          <w:rFonts w:ascii="Arial" w:cs="Arial" w:eastAsia="Arial" w:hAnsi="Arial"/>
          <w:sz w:val="17"/>
          <w:szCs w:val="17"/>
          <w:color w:val="auto"/>
        </w:rPr>
        <w:t>This is an initial public offering of shares of common stock of Maplebear Inc. We are offering shares of common stock and the selling stockholders identified in this prospectus are offering an additional shares of common stock. We will not receive any proceeds from the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199390</wp:posOffset>
            </wp:positionV>
            <wp:extent cx="1383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Prior to this offering, there has been no public market for our common stock. It is currently estimated that the initial public offering price for our</w:t>
      </w:r>
    </w:p>
    <w:p>
      <w:pPr>
        <w:spacing w:after="0" w:line="42" w:lineRule="exact"/>
        <w:rPr>
          <w:sz w:val="20"/>
          <w:szCs w:val="20"/>
          <w:color w:val="auto"/>
        </w:rPr>
      </w:pPr>
    </w:p>
    <w:p>
      <w:pPr>
        <w:ind w:left="460" w:right="280"/>
        <w:spacing w:after="0" w:line="257" w:lineRule="auto"/>
        <w:rPr>
          <w:sz w:val="20"/>
          <w:szCs w:val="20"/>
          <w:color w:val="auto"/>
        </w:rPr>
      </w:pPr>
      <w:r>
        <w:rPr>
          <w:rFonts w:ascii="Arial" w:cs="Arial" w:eastAsia="Arial" w:hAnsi="Arial"/>
          <w:sz w:val="17"/>
          <w:szCs w:val="17"/>
          <w:color w:val="auto"/>
        </w:rPr>
        <w:t>common stock will be between $ and $ per share. We have applied to list our common stock on the Nasdaq Global Select Market under the symbol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201295</wp:posOffset>
            </wp:positionV>
            <wp:extent cx="1383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See the section titled “</w:t>
      </w:r>
      <w:r>
        <w:rPr>
          <w:rFonts w:ascii="Arial" w:cs="Arial" w:eastAsia="Arial" w:hAnsi="Arial"/>
          <w:sz w:val="15"/>
          <w:szCs w:val="15"/>
          <w:i w:val="1"/>
          <w:iCs w:val="1"/>
          <w:u w:val="single" w:color="auto"/>
          <w:color w:val="0000EE"/>
        </w:rPr>
        <w:t>Risk Factors</w:t>
      </w:r>
      <w:r>
        <w:rPr>
          <w:rFonts w:ascii="Arial" w:cs="Arial" w:eastAsia="Arial" w:hAnsi="Arial"/>
          <w:sz w:val="15"/>
          <w:szCs w:val="15"/>
          <w:i w:val="1"/>
          <w:iCs w:val="1"/>
          <w:color w:val="auto"/>
        </w:rPr>
        <w:t>” beginning on page 26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243840</wp:posOffset>
            </wp:positionV>
            <wp:extent cx="1383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60" w:right="500" w:firstLine="413"/>
        <w:spacing w:after="0" w:line="309"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175895</wp:posOffset>
            </wp:positionV>
            <wp:extent cx="1383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6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Per Share</w:t>
            </w:r>
          </w:p>
        </w:tc>
        <w:tc>
          <w:tcPr>
            <w:tcW w:w="74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195"/>
        </w:trPr>
        <w:tc>
          <w:tcPr>
            <w:tcW w:w="6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Initial public offering price</w:t>
            </w:r>
          </w:p>
        </w:tc>
        <w:tc>
          <w:tcPr>
            <w:tcW w:w="2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3"/>
                <w:szCs w:val="23"/>
                <w:color w:val="auto"/>
                <w:vertAlign w:val="superscript"/>
              </w:rPr>
              <w:t>(1)</w:t>
            </w:r>
          </w:p>
        </w:tc>
        <w:tc>
          <w:tcPr>
            <w:tcW w:w="3200" w:type="dxa"/>
            <w:vAlign w:val="bottom"/>
            <w:gridSpan w:val="2"/>
          </w:tcPr>
          <w:p>
            <w:pPr>
              <w:jc w:val="right"/>
              <w:ind w:right="50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3200" w:type="dxa"/>
            <w:vAlign w:val="bottom"/>
            <w:gridSpan w:val="2"/>
            <w:shd w:val="clear" w:color="auto" w:fill="CCEEFF"/>
          </w:tcPr>
          <w:p>
            <w:pPr>
              <w:jc w:val="right"/>
              <w:ind w:right="50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7"/>
                <w:szCs w:val="17"/>
                <w:color w:val="auto"/>
              </w:rPr>
              <w:t>Proceeds, before expenses, to the selling stockholders</w:t>
            </w:r>
          </w:p>
        </w:tc>
        <w:tc>
          <w:tcPr>
            <w:tcW w:w="3200" w:type="dxa"/>
            <w:vAlign w:val="bottom"/>
            <w:gridSpan w:val="2"/>
          </w:tcPr>
          <w:p>
            <w:pPr>
              <w:jc w:val="right"/>
              <w:ind w:right="50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73025</wp:posOffset>
            </wp:positionV>
            <wp:extent cx="715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 See the section titled “Underwriting” for additional information regarding compensation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213995</wp:posOffset>
            </wp:positionV>
            <wp:extent cx="1383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6340" w:type="dxa"/>
            <w:vAlign w:val="bottom"/>
            <w:gridSpan w:val="6"/>
          </w:tcPr>
          <w:p>
            <w:pPr>
              <w:spacing w:after="0"/>
              <w:rPr>
                <w:sz w:val="20"/>
                <w:szCs w:val="20"/>
                <w:color w:val="auto"/>
              </w:rPr>
            </w:pPr>
            <w:r>
              <w:rPr>
                <w:rFonts w:ascii="Arial" w:cs="Arial" w:eastAsia="Arial" w:hAnsi="Arial"/>
                <w:sz w:val="17"/>
                <w:szCs w:val="17"/>
                <w:color w:val="auto"/>
                <w:w w:val="95"/>
              </w:rPr>
              <w:t>The underwriters have the option for a period of 30 days to purchase up to an additional</w:t>
            </w:r>
          </w:p>
        </w:tc>
        <w:tc>
          <w:tcPr>
            <w:tcW w:w="3580" w:type="dxa"/>
            <w:vAlign w:val="bottom"/>
            <w:gridSpan w:val="2"/>
          </w:tcPr>
          <w:p>
            <w:pPr>
              <w:ind w:left="340"/>
              <w:spacing w:after="0"/>
              <w:rPr>
                <w:sz w:val="20"/>
                <w:szCs w:val="20"/>
                <w:color w:val="auto"/>
              </w:rPr>
            </w:pPr>
            <w:r>
              <w:rPr>
                <w:rFonts w:ascii="Arial" w:cs="Arial" w:eastAsia="Arial" w:hAnsi="Arial"/>
                <w:sz w:val="17"/>
                <w:szCs w:val="17"/>
                <w:color w:val="auto"/>
                <w:w w:val="95"/>
              </w:rPr>
              <w:t>shares of common stock from us at the initial</w:t>
            </w:r>
          </w:p>
        </w:tc>
      </w:tr>
      <w:tr>
        <w:trPr>
          <w:trHeight w:val="214"/>
        </w:trPr>
        <w:tc>
          <w:tcPr>
            <w:tcW w:w="5760" w:type="dxa"/>
            <w:vAlign w:val="bottom"/>
            <w:gridSpan w:val="5"/>
          </w:tcPr>
          <w:p>
            <w:pPr>
              <w:spacing w:after="0"/>
              <w:rPr>
                <w:sz w:val="20"/>
                <w:szCs w:val="20"/>
                <w:color w:val="auto"/>
              </w:rPr>
            </w:pPr>
            <w:r>
              <w:rPr>
                <w:rFonts w:ascii="Arial" w:cs="Arial" w:eastAsia="Arial" w:hAnsi="Arial"/>
                <w:sz w:val="17"/>
                <w:szCs w:val="17"/>
                <w:color w:val="auto"/>
              </w:rPr>
              <w:t>public offering price less underwriting discounts and commissions.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05"/>
        </w:trPr>
        <w:tc>
          <w:tcPr>
            <w:tcW w:w="42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Arial" w:cs="Arial" w:eastAsia="Arial" w:hAnsi="Arial"/>
                <w:sz w:val="17"/>
                <w:szCs w:val="17"/>
                <w:color w:val="auto"/>
                <w:w w:val="94"/>
              </w:rPr>
              <w:t>The underwriters expect to deliver the shares of common stock to purchasers on or about</w:t>
            </w:r>
          </w:p>
        </w:tc>
        <w:tc>
          <w:tcPr>
            <w:tcW w:w="2300" w:type="dxa"/>
            <w:vAlign w:val="bottom"/>
          </w:tcPr>
          <w:p>
            <w:pPr>
              <w:ind w:left="360"/>
              <w:spacing w:after="0"/>
              <w:rPr>
                <w:sz w:val="20"/>
                <w:szCs w:val="20"/>
                <w:color w:val="auto"/>
              </w:rPr>
            </w:pPr>
            <w:r>
              <w:rPr>
                <w:rFonts w:ascii="Arial" w:cs="Arial" w:eastAsia="Arial" w:hAnsi="Arial"/>
                <w:sz w:val="17"/>
                <w:szCs w:val="17"/>
                <w:color w:val="auto"/>
              </w:rPr>
              <w:t>, 2023.</w:t>
            </w:r>
          </w:p>
        </w:tc>
        <w:tc>
          <w:tcPr>
            <w:tcW w:w="1280" w:type="dxa"/>
            <w:vAlign w:val="bottom"/>
          </w:tcPr>
          <w:p>
            <w:pPr>
              <w:spacing w:after="0"/>
              <w:rPr>
                <w:sz w:val="24"/>
                <w:szCs w:val="24"/>
                <w:color w:val="auto"/>
              </w:rPr>
            </w:pPr>
          </w:p>
        </w:tc>
      </w:tr>
      <w:tr>
        <w:trPr>
          <w:trHeight w:val="514"/>
        </w:trPr>
        <w:tc>
          <w:tcPr>
            <w:tcW w:w="3640" w:type="dxa"/>
            <w:vAlign w:val="bottom"/>
            <w:gridSpan w:val="3"/>
          </w:tcPr>
          <w:p>
            <w:pPr>
              <w:spacing w:after="0"/>
              <w:rPr>
                <w:sz w:val="20"/>
                <w:szCs w:val="20"/>
                <w:color w:val="auto"/>
              </w:rPr>
            </w:pPr>
            <w:r>
              <w:rPr>
                <w:rFonts w:ascii="Arial" w:cs="Arial" w:eastAsia="Arial" w:hAnsi="Arial"/>
                <w:sz w:val="24"/>
                <w:szCs w:val="24"/>
                <w:b w:val="1"/>
                <w:bCs w:val="1"/>
                <w:color w:val="auto"/>
              </w:rPr>
              <w:t>Goldman Sachs &amp; Co. LLC</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4"/>
                <w:szCs w:val="24"/>
                <w:b w:val="1"/>
                <w:bCs w:val="1"/>
                <w:color w:val="auto"/>
                <w:w w:val="92"/>
              </w:rPr>
              <w:t>J.P. Morgan</w:t>
            </w:r>
          </w:p>
        </w:tc>
      </w:tr>
      <w:tr>
        <w:trPr>
          <w:trHeight w:val="459"/>
        </w:trPr>
        <w:tc>
          <w:tcPr>
            <w:tcW w:w="2480" w:type="dxa"/>
            <w:vAlign w:val="bottom"/>
            <w:gridSpan w:val="2"/>
          </w:tcPr>
          <w:p>
            <w:pPr>
              <w:spacing w:after="0"/>
              <w:rPr>
                <w:sz w:val="20"/>
                <w:szCs w:val="20"/>
                <w:color w:val="auto"/>
              </w:rPr>
            </w:pPr>
            <w:r>
              <w:rPr>
                <w:rFonts w:ascii="Arial" w:cs="Arial" w:eastAsia="Arial" w:hAnsi="Arial"/>
                <w:sz w:val="20"/>
                <w:szCs w:val="20"/>
                <w:b w:val="1"/>
                <w:bCs w:val="1"/>
                <w:color w:val="auto"/>
              </w:rPr>
              <w:t>BofA Securities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ind w:left="820"/>
              <w:spacing w:after="0"/>
              <w:rPr>
                <w:sz w:val="20"/>
                <w:szCs w:val="20"/>
                <w:color w:val="auto"/>
              </w:rPr>
            </w:pPr>
            <w:r>
              <w:rPr>
                <w:rFonts w:ascii="Arial" w:cs="Arial" w:eastAsia="Arial" w:hAnsi="Arial"/>
                <w:sz w:val="20"/>
                <w:szCs w:val="20"/>
                <w:b w:val="1"/>
                <w:bCs w:val="1"/>
                <w:color w:val="auto"/>
              </w:rPr>
              <w:t>Barclays</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Citigroup</w:t>
            </w:r>
          </w:p>
        </w:tc>
      </w:tr>
      <w:tr>
        <w:trPr>
          <w:trHeight w:val="414"/>
        </w:trPr>
        <w:tc>
          <w:tcPr>
            <w:tcW w:w="420" w:type="dxa"/>
            <w:vAlign w:val="bottom"/>
          </w:tcPr>
          <w:p>
            <w:pPr>
              <w:spacing w:after="0"/>
              <w:rPr>
                <w:sz w:val="20"/>
                <w:szCs w:val="20"/>
                <w:color w:val="auto"/>
              </w:rPr>
            </w:pPr>
            <w:r>
              <w:rPr>
                <w:rFonts w:ascii="Arial" w:cs="Arial" w:eastAsia="Arial" w:hAnsi="Arial"/>
                <w:sz w:val="17"/>
                <w:szCs w:val="17"/>
                <w:b w:val="1"/>
                <w:bCs w:val="1"/>
                <w:color w:val="auto"/>
                <w:w w:val="91"/>
              </w:rPr>
              <w:t>Baird</w:t>
            </w:r>
          </w:p>
        </w:tc>
        <w:tc>
          <w:tcPr>
            <w:tcW w:w="2060" w:type="dxa"/>
            <w:vAlign w:val="bottom"/>
          </w:tcPr>
          <w:p>
            <w:pPr>
              <w:ind w:left="680"/>
              <w:spacing w:after="0"/>
              <w:rPr>
                <w:sz w:val="20"/>
                <w:szCs w:val="20"/>
                <w:color w:val="auto"/>
              </w:rPr>
            </w:pPr>
            <w:r>
              <w:rPr>
                <w:rFonts w:ascii="Arial" w:cs="Arial" w:eastAsia="Arial" w:hAnsi="Arial"/>
                <w:sz w:val="17"/>
                <w:szCs w:val="17"/>
                <w:b w:val="1"/>
                <w:bCs w:val="1"/>
                <w:color w:val="auto"/>
              </w:rPr>
              <w:t>JMP Securities</w:t>
            </w:r>
          </w:p>
        </w:tc>
        <w:tc>
          <w:tcPr>
            <w:tcW w:w="1160" w:type="dxa"/>
            <w:vAlign w:val="bottom"/>
          </w:tcPr>
          <w:p>
            <w:pPr>
              <w:ind w:left="140"/>
              <w:spacing w:after="0"/>
              <w:rPr>
                <w:sz w:val="20"/>
                <w:szCs w:val="20"/>
                <w:color w:val="auto"/>
              </w:rPr>
            </w:pPr>
            <w:r>
              <w:rPr>
                <w:rFonts w:ascii="Arial" w:cs="Arial" w:eastAsia="Arial" w:hAnsi="Arial"/>
                <w:sz w:val="17"/>
                <w:szCs w:val="17"/>
                <w:b w:val="1"/>
                <w:bCs w:val="1"/>
                <w:color w:val="auto"/>
              </w:rPr>
              <w:t>LionTree</w:t>
            </w:r>
          </w:p>
        </w:tc>
        <w:tc>
          <w:tcPr>
            <w:tcW w:w="440" w:type="dxa"/>
            <w:vAlign w:val="bottom"/>
          </w:tcPr>
          <w:p>
            <w:pPr>
              <w:spacing w:after="0"/>
              <w:rPr>
                <w:sz w:val="24"/>
                <w:szCs w:val="24"/>
                <w:color w:val="auto"/>
              </w:rPr>
            </w:pPr>
          </w:p>
        </w:tc>
        <w:tc>
          <w:tcPr>
            <w:tcW w:w="2680" w:type="dxa"/>
            <w:vAlign w:val="bottom"/>
            <w:gridSpan w:val="3"/>
          </w:tcPr>
          <w:p>
            <w:pPr>
              <w:ind w:left="820"/>
              <w:spacing w:after="0"/>
              <w:rPr>
                <w:sz w:val="20"/>
                <w:szCs w:val="20"/>
                <w:color w:val="auto"/>
              </w:rPr>
            </w:pPr>
            <w:r>
              <w:rPr>
                <w:rFonts w:ascii="Arial" w:cs="Arial" w:eastAsia="Arial" w:hAnsi="Arial"/>
                <w:sz w:val="17"/>
                <w:szCs w:val="17"/>
                <w:b w:val="1"/>
                <w:bCs w:val="1"/>
                <w:color w:val="auto"/>
              </w:rPr>
              <w:t>Oppenheimer &amp; Co.</w:t>
            </w:r>
          </w:p>
        </w:tc>
        <w:tc>
          <w:tcPr>
            <w:tcW w:w="2300" w:type="dxa"/>
            <w:vAlign w:val="bottom"/>
          </w:tcPr>
          <w:p>
            <w:pPr>
              <w:ind w:left="1280"/>
              <w:spacing w:after="0"/>
              <w:rPr>
                <w:sz w:val="20"/>
                <w:szCs w:val="20"/>
                <w:color w:val="auto"/>
              </w:rPr>
            </w:pPr>
            <w:r>
              <w:rPr>
                <w:rFonts w:ascii="Arial" w:cs="Arial" w:eastAsia="Arial" w:hAnsi="Arial"/>
                <w:sz w:val="17"/>
                <w:szCs w:val="17"/>
                <w:b w:val="1"/>
                <w:bCs w:val="1"/>
                <w:color w:val="auto"/>
                <w:w w:val="91"/>
              </w:rPr>
              <w:t>Piper Sandler</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SoFi   Stifel</w:t>
            </w:r>
          </w:p>
        </w:tc>
      </w:tr>
      <w:tr>
        <w:trPr>
          <w:trHeight w:val="107"/>
        </w:trPr>
        <w:tc>
          <w:tcPr>
            <w:tcW w:w="420" w:type="dxa"/>
            <w:vAlign w:val="bottom"/>
          </w:tcPr>
          <w:p>
            <w:pPr>
              <w:spacing w:after="0"/>
              <w:rPr>
                <w:sz w:val="9"/>
                <w:szCs w:val="9"/>
                <w:color w:val="auto"/>
              </w:rPr>
            </w:pPr>
          </w:p>
        </w:tc>
        <w:tc>
          <w:tcPr>
            <w:tcW w:w="2060" w:type="dxa"/>
            <w:vAlign w:val="bottom"/>
          </w:tcPr>
          <w:p>
            <w:pPr>
              <w:ind w:left="1000"/>
              <w:spacing w:after="0"/>
              <w:rPr>
                <w:sz w:val="20"/>
                <w:szCs w:val="20"/>
                <w:color w:val="auto"/>
              </w:rPr>
            </w:pPr>
            <w:r>
              <w:rPr>
                <w:rFonts w:ascii="Arial" w:cs="Arial" w:eastAsia="Arial" w:hAnsi="Arial"/>
                <w:sz w:val="8"/>
                <w:szCs w:val="8"/>
                <w:b w:val="1"/>
                <w:bCs w:val="1"/>
                <w:color w:val="auto"/>
              </w:rPr>
              <w:t>A CITIZENS COMPANY</w:t>
            </w: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343"/>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7"/>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gridSpan w:val="2"/>
          </w:tcPr>
          <w:p>
            <w:pPr>
              <w:ind w:left="360"/>
              <w:spacing w:after="0"/>
              <w:rPr>
                <w:sz w:val="20"/>
                <w:szCs w:val="20"/>
                <w:color w:val="auto"/>
              </w:rPr>
            </w:pPr>
            <w:r>
              <w:rPr>
                <w:rFonts w:ascii="Arial" w:cs="Arial" w:eastAsia="Arial" w:hAnsi="Arial"/>
                <w:sz w:val="17"/>
                <w:szCs w:val="17"/>
                <w:color w:val="auto"/>
              </w:rPr>
              <w:t>Prospectus dated</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 2023.</w:t>
            </w: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93345</wp:posOffset>
            </wp:positionV>
            <wp:extent cx="6103620" cy="8588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03620" cy="8588375"/>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93345</wp:posOffset>
            </wp:positionV>
            <wp:extent cx="6191885" cy="8588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1885" cy="8588375"/>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93345</wp:posOffset>
            </wp:positionV>
            <wp:extent cx="6191885" cy="8588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1885" cy="8588375"/>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40" w:type="dxa"/>
            <w:vAlign w:val="bottom"/>
            <w:gridSpan w:val="7"/>
          </w:tcPr>
          <w:p>
            <w:pPr>
              <w:jc w:val="center"/>
              <w:ind w:right="2780"/>
              <w:spacing w:after="0"/>
              <w:rPr>
                <w:sz w:val="20"/>
                <w:szCs w:val="20"/>
                <w:color w:val="auto"/>
              </w:rPr>
            </w:pPr>
            <w:r>
              <w:rPr>
                <w:rFonts w:ascii="Arial" w:cs="Arial" w:eastAsia="Arial" w:hAnsi="Arial"/>
                <w:sz w:val="17"/>
                <w:szCs w:val="17"/>
                <w:b w:val="1"/>
                <w:bCs w:val="1"/>
                <w:color w:val="auto"/>
                <w:w w:val="90"/>
              </w:rPr>
              <w:t>Confidential Treatment Requested by Maplebear Inc.</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6"/>
          </w:tcPr>
          <w:p>
            <w:pPr>
              <w:jc w:val="center"/>
              <w:ind w:right="3040"/>
              <w:spacing w:after="0"/>
              <w:rPr>
                <w:sz w:val="20"/>
                <w:szCs w:val="20"/>
                <w:color w:val="auto"/>
              </w:rPr>
            </w:pPr>
            <w:r>
              <w:rPr>
                <w:rFonts w:ascii="Arial" w:cs="Arial" w:eastAsia="Arial" w:hAnsi="Arial"/>
                <w:sz w:val="17"/>
                <w:szCs w:val="17"/>
                <w:b w:val="1"/>
                <w:bCs w:val="1"/>
                <w:color w:val="auto"/>
                <w:w w:val="89"/>
              </w:rPr>
              <w:t>Pursuant to 17 C.F.R. Section 200.83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4"/>
          </w:tcPr>
          <w:p>
            <w:pPr>
              <w:jc w:val="center"/>
              <w:ind w:right="3840"/>
              <w:spacing w:after="0"/>
              <w:rPr>
                <w:sz w:val="20"/>
                <w:szCs w:val="20"/>
                <w:color w:val="auto"/>
              </w:rPr>
            </w:pPr>
            <w:r>
              <w:rPr>
                <w:rFonts w:ascii="Arial" w:cs="Arial" w:eastAsia="Arial" w:hAnsi="Arial"/>
                <w:sz w:val="17"/>
                <w:szCs w:val="17"/>
                <w:b w:val="1"/>
                <w:bCs w:val="1"/>
                <w:color w:val="auto"/>
                <w:w w:val="98"/>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80" w:type="dxa"/>
            <w:vAlign w:val="bottom"/>
            <w:gridSpan w:val="4"/>
            <w:vMerge w:val="restart"/>
          </w:tcPr>
          <w:p>
            <w:pPr>
              <w:spacing w:after="0"/>
              <w:rPr>
                <w:sz w:val="20"/>
                <w:szCs w:val="20"/>
                <w:color w:val="auto"/>
              </w:rPr>
            </w:pPr>
            <w:r>
              <w:rPr>
                <w:rFonts w:ascii="Arial" w:cs="Arial" w:eastAsia="Arial" w:hAnsi="Arial"/>
                <w:sz w:val="17"/>
                <w:szCs w:val="17"/>
                <w:color w:val="0000EE"/>
                <w:w w:val="91"/>
              </w:rPr>
              <w:t>GLOSSARY</w:t>
            </w:r>
          </w:p>
        </w:tc>
        <w:tc>
          <w:tcPr>
            <w:tcW w:w="9100" w:type="dxa"/>
            <w:vAlign w:val="bottom"/>
            <w:gridSpan w:val="20"/>
            <w:vMerge w:val="restart"/>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62"/>
        </w:trPr>
        <w:tc>
          <w:tcPr>
            <w:tcW w:w="880" w:type="dxa"/>
            <w:vAlign w:val="bottom"/>
            <w:tcBorders>
              <w:bottom w:val="single" w:sz="8" w:color="0000EE"/>
            </w:tcBorders>
            <w:gridSpan w:val="4"/>
            <w:vMerge w:val="continue"/>
          </w:tcPr>
          <w:p>
            <w:pPr>
              <w:spacing w:after="0"/>
              <w:rPr>
                <w:sz w:val="13"/>
                <w:szCs w:val="13"/>
                <w:color w:val="auto"/>
              </w:rPr>
            </w:pPr>
          </w:p>
        </w:tc>
        <w:tc>
          <w:tcPr>
            <w:tcW w:w="9100" w:type="dxa"/>
            <w:vAlign w:val="bottom"/>
            <w:gridSpan w:val="20"/>
            <w:vMerge w:val="continue"/>
          </w:tcPr>
          <w:p>
            <w:pPr>
              <w:spacing w:after="0"/>
              <w:rPr>
                <w:sz w:val="13"/>
                <w:szCs w:val="13"/>
                <w:color w:val="auto"/>
              </w:rPr>
            </w:pPr>
          </w:p>
        </w:tc>
        <w:tc>
          <w:tcPr>
            <w:tcW w:w="30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7"/>
                <w:szCs w:val="17"/>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A LETTER FROM FIDJI</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iv</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0000EE"/>
            </w:tcBorders>
            <w:gridSpan w:val="13"/>
          </w:tcPr>
          <w:p>
            <w:pPr>
              <w:spacing w:after="0" w:line="183" w:lineRule="exact"/>
              <w:rPr>
                <w:sz w:val="20"/>
                <w:szCs w:val="20"/>
                <w:color w:val="auto"/>
              </w:rPr>
            </w:pPr>
            <w:r>
              <w:rPr>
                <w:rFonts w:ascii="Arial" w:cs="Arial" w:eastAsia="Arial" w:hAnsi="Arial"/>
                <w:sz w:val="17"/>
                <w:szCs w:val="17"/>
                <w:color w:val="0000EE"/>
                <w:w w:val="92"/>
              </w:rPr>
              <w:t>PROSPECTUS SUMMARY</w:t>
            </w:r>
          </w:p>
        </w:tc>
        <w:tc>
          <w:tcPr>
            <w:tcW w:w="8020" w:type="dxa"/>
            <w:vAlign w:val="bottom"/>
            <w:gridSpan w:val="11"/>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RISK FACTORS</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SPECIAL NOTE REGARDING FORWARD-LOOKING STATEMENTS</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bottom w:val="single" w:sz="8" w:color="0000EE"/>
            </w:tcBorders>
            <w:gridSpan w:val="17"/>
          </w:tcPr>
          <w:p>
            <w:pPr>
              <w:spacing w:after="0" w:line="183" w:lineRule="exact"/>
              <w:rPr>
                <w:sz w:val="20"/>
                <w:szCs w:val="20"/>
                <w:color w:val="auto"/>
              </w:rPr>
            </w:pPr>
            <w:r>
              <w:rPr>
                <w:rFonts w:ascii="Arial" w:cs="Arial" w:eastAsia="Arial" w:hAnsi="Arial"/>
                <w:sz w:val="17"/>
                <w:szCs w:val="17"/>
                <w:color w:val="0000EE"/>
                <w:w w:val="95"/>
              </w:rPr>
              <w:t>MARKET, INDUSTRY, AND OTHER DATA</w:t>
            </w:r>
          </w:p>
        </w:tc>
        <w:tc>
          <w:tcPr>
            <w:tcW w:w="1860" w:type="dxa"/>
            <w:vAlign w:val="bottom"/>
            <w:tcBorders>
              <w:top w:val="single" w:sz="8" w:color="0000EE"/>
            </w:tcBorders>
            <w:gridSpan w:val="4"/>
          </w:tcPr>
          <w:p>
            <w:pPr>
              <w:spacing w:after="0"/>
              <w:rPr>
                <w:sz w:val="15"/>
                <w:szCs w:val="15"/>
                <w:color w:val="auto"/>
              </w:rPr>
            </w:pPr>
          </w:p>
        </w:tc>
        <w:tc>
          <w:tcPr>
            <w:tcW w:w="4980" w:type="dxa"/>
            <w:vAlign w:val="bottom"/>
            <w:gridSpan w:val="3"/>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7"/>
                <w:szCs w:val="17"/>
                <w:color w:val="0000EE"/>
                <w:w w:val="90"/>
              </w:rPr>
              <w:t>USE OF PROCEEDS</w:t>
            </w:r>
          </w:p>
        </w:tc>
        <w:tc>
          <w:tcPr>
            <w:tcW w:w="8480" w:type="dxa"/>
            <w:vAlign w:val="bottom"/>
            <w:gridSpan w:val="13"/>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7"/>
                <w:szCs w:val="17"/>
                <w:color w:val="0000EE"/>
                <w:w w:val="98"/>
              </w:rPr>
              <w:t>DIVIDEND POLICY</w:t>
            </w:r>
          </w:p>
        </w:tc>
        <w:tc>
          <w:tcPr>
            <w:tcW w:w="8500" w:type="dxa"/>
            <w:vAlign w:val="bottom"/>
            <w:gridSpan w:val="14"/>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7"/>
                <w:szCs w:val="17"/>
                <w:color w:val="0000EE"/>
                <w:w w:val="98"/>
              </w:rPr>
              <w:t>CAPITALIZATION</w:t>
            </w:r>
          </w:p>
        </w:tc>
        <w:tc>
          <w:tcPr>
            <w:tcW w:w="8600" w:type="dxa"/>
            <w:vAlign w:val="bottom"/>
            <w:gridSpan w:val="15"/>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83"/>
        </w:trPr>
        <w:tc>
          <w:tcPr>
            <w:tcW w:w="820" w:type="dxa"/>
            <w:vAlign w:val="bottom"/>
            <w:tcBorders>
              <w:bottom w:val="single" w:sz="8" w:color="0000EE"/>
            </w:tcBorders>
            <w:gridSpan w:val="3"/>
          </w:tcPr>
          <w:p>
            <w:pPr>
              <w:spacing w:after="0" w:line="183" w:lineRule="exact"/>
              <w:rPr>
                <w:sz w:val="20"/>
                <w:szCs w:val="20"/>
                <w:color w:val="auto"/>
              </w:rPr>
            </w:pPr>
            <w:r>
              <w:rPr>
                <w:rFonts w:ascii="Arial" w:cs="Arial" w:eastAsia="Arial" w:hAnsi="Arial"/>
                <w:sz w:val="17"/>
                <w:szCs w:val="17"/>
                <w:color w:val="0000EE"/>
              </w:rPr>
              <w:t>DILUTION</w:t>
            </w:r>
          </w:p>
        </w:tc>
        <w:tc>
          <w:tcPr>
            <w:tcW w:w="9160" w:type="dxa"/>
            <w:vAlign w:val="bottom"/>
            <w:gridSpan w:val="21"/>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0000EE"/>
            </w:tcBorders>
            <w:gridSpan w:val="23"/>
          </w:tcPr>
          <w:p>
            <w:pPr>
              <w:spacing w:after="0" w:line="183" w:lineRule="exact"/>
              <w:rPr>
                <w:sz w:val="20"/>
                <w:szCs w:val="20"/>
                <w:color w:val="auto"/>
              </w:rPr>
            </w:pPr>
            <w:r>
              <w:rPr>
                <w:rFonts w:ascii="Arial" w:cs="Arial" w:eastAsia="Arial" w:hAnsi="Arial"/>
                <w:sz w:val="17"/>
                <w:szCs w:val="17"/>
                <w:color w:val="0000EE"/>
                <w:w w:val="96"/>
              </w:rPr>
              <w:t>MANAGEMENT’S DISCUSSION AND ANALYSIS OF FINANCIAL CONDITION AND RESULTS OF OPERATIONS</w:t>
            </w:r>
          </w:p>
        </w:tc>
        <w:tc>
          <w:tcPr>
            <w:tcW w:w="1620" w:type="dxa"/>
            <w:vAlign w:val="bottom"/>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83"/>
        </w:trPr>
        <w:tc>
          <w:tcPr>
            <w:tcW w:w="800" w:type="dxa"/>
            <w:vAlign w:val="bottom"/>
            <w:tcBorders>
              <w:bottom w:val="single" w:sz="8" w:color="0000EE"/>
            </w:tcBorders>
            <w:gridSpan w:val="2"/>
          </w:tcPr>
          <w:p>
            <w:pPr>
              <w:spacing w:after="0" w:line="183" w:lineRule="exact"/>
              <w:rPr>
                <w:sz w:val="20"/>
                <w:szCs w:val="20"/>
                <w:color w:val="auto"/>
              </w:rPr>
            </w:pPr>
            <w:r>
              <w:rPr>
                <w:rFonts w:ascii="Arial" w:cs="Arial" w:eastAsia="Arial" w:hAnsi="Arial"/>
                <w:sz w:val="17"/>
                <w:szCs w:val="17"/>
                <w:color w:val="0000EE"/>
                <w:w w:val="90"/>
              </w:rPr>
              <w:t>BUSINESS</w:t>
            </w:r>
          </w:p>
        </w:tc>
        <w:tc>
          <w:tcPr>
            <w:tcW w:w="9180" w:type="dxa"/>
            <w:vAlign w:val="bottom"/>
            <w:gridSpan w:val="22"/>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170</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0000EE"/>
            </w:tcBorders>
            <w:gridSpan w:val="6"/>
          </w:tcPr>
          <w:p>
            <w:pPr>
              <w:spacing w:after="0" w:line="183" w:lineRule="exact"/>
              <w:rPr>
                <w:sz w:val="20"/>
                <w:szCs w:val="20"/>
                <w:color w:val="auto"/>
              </w:rPr>
            </w:pPr>
            <w:r>
              <w:rPr>
                <w:rFonts w:ascii="Arial" w:cs="Arial" w:eastAsia="Arial" w:hAnsi="Arial"/>
                <w:sz w:val="17"/>
                <w:szCs w:val="17"/>
                <w:color w:val="0000EE"/>
                <w:w w:val="98"/>
              </w:rPr>
              <w:t>MANAGEMENT</w:t>
            </w:r>
          </w:p>
        </w:tc>
        <w:tc>
          <w:tcPr>
            <w:tcW w:w="8760" w:type="dxa"/>
            <w:vAlign w:val="bottom"/>
            <w:gridSpan w:val="18"/>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236</w:t>
            </w:r>
          </w:p>
        </w:tc>
        <w:tc>
          <w:tcPr>
            <w:tcW w:w="0" w:type="dxa"/>
            <w:vAlign w:val="bottom"/>
          </w:tcPr>
          <w:p>
            <w:pPr>
              <w:spacing w:after="0"/>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EXECUTIVE COMPENSATION</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247</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CERTAIN RELATIONSHIPS AND RELATED PARTY TRANSACTIONS</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273</w:t>
            </w:r>
          </w:p>
        </w:tc>
        <w:tc>
          <w:tcPr>
            <w:tcW w:w="0" w:type="dxa"/>
            <w:vAlign w:val="bottom"/>
          </w:tcPr>
          <w:p>
            <w:pPr>
              <w:spacing w:after="0"/>
              <w:rPr>
                <w:sz w:val="1"/>
                <w:szCs w:val="1"/>
                <w:color w:val="auto"/>
              </w:rPr>
            </w:pPr>
          </w:p>
        </w:tc>
      </w:tr>
      <w:tr>
        <w:trPr>
          <w:trHeight w:val="183"/>
        </w:trPr>
        <w:tc>
          <w:tcPr>
            <w:tcW w:w="3380" w:type="dxa"/>
            <w:vAlign w:val="bottom"/>
            <w:tcBorders>
              <w:top w:val="single" w:sz="8" w:color="0000EE"/>
              <w:bottom w:val="single" w:sz="8" w:color="0000EE"/>
            </w:tcBorders>
            <w:gridSpan w:val="18"/>
          </w:tcPr>
          <w:p>
            <w:pPr>
              <w:spacing w:after="0" w:line="183" w:lineRule="exact"/>
              <w:rPr>
                <w:sz w:val="20"/>
                <w:szCs w:val="20"/>
                <w:color w:val="auto"/>
              </w:rPr>
            </w:pPr>
            <w:r>
              <w:rPr>
                <w:rFonts w:ascii="Arial" w:cs="Arial" w:eastAsia="Arial" w:hAnsi="Arial"/>
                <w:sz w:val="17"/>
                <w:szCs w:val="17"/>
                <w:color w:val="0000EE"/>
                <w:w w:val="95"/>
              </w:rPr>
              <w:t>PRINCIPAL AND SELLING STOCKHOLDERS</w:t>
            </w:r>
          </w:p>
        </w:tc>
        <w:tc>
          <w:tcPr>
            <w:tcW w:w="1740" w:type="dxa"/>
            <w:vAlign w:val="bottom"/>
            <w:tcBorders>
              <w:top w:val="single" w:sz="8" w:color="0000EE"/>
            </w:tcBorders>
            <w:gridSpan w:val="4"/>
          </w:tcPr>
          <w:p>
            <w:pPr>
              <w:spacing w:after="0"/>
              <w:rPr>
                <w:sz w:val="15"/>
                <w:szCs w:val="15"/>
                <w:color w:val="auto"/>
              </w:rPr>
            </w:pPr>
          </w:p>
        </w:tc>
        <w:tc>
          <w:tcPr>
            <w:tcW w:w="4860" w:type="dxa"/>
            <w:vAlign w:val="bottom"/>
            <w:gridSpan w:val="2"/>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277</w:t>
            </w:r>
          </w:p>
        </w:tc>
        <w:tc>
          <w:tcPr>
            <w:tcW w:w="0" w:type="dxa"/>
            <w:vAlign w:val="bottom"/>
          </w:tcPr>
          <w:p>
            <w:pPr>
              <w:spacing w:after="0"/>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DESCRIPTION OF CAPITAL STOCK</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280</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tcBorders>
              <w:bottom w:val="single" w:sz="8" w:color="0000EE"/>
            </w:tcBorders>
            <w:gridSpan w:val="16"/>
          </w:tcPr>
          <w:p>
            <w:pPr>
              <w:spacing w:after="0" w:line="183" w:lineRule="exact"/>
              <w:rPr>
                <w:sz w:val="20"/>
                <w:szCs w:val="20"/>
                <w:color w:val="auto"/>
              </w:rPr>
            </w:pPr>
            <w:r>
              <w:rPr>
                <w:rFonts w:ascii="Arial" w:cs="Arial" w:eastAsia="Arial" w:hAnsi="Arial"/>
                <w:sz w:val="17"/>
                <w:szCs w:val="17"/>
                <w:color w:val="0000EE"/>
                <w:w w:val="94"/>
              </w:rPr>
              <w:t>SHARES ELIGIBLE FOR FUTURE SALE</w:t>
            </w:r>
          </w:p>
        </w:tc>
        <w:tc>
          <w:tcPr>
            <w:tcW w:w="7000" w:type="dxa"/>
            <w:vAlign w:val="bottom"/>
            <w:gridSpan w:val="8"/>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287</w:t>
            </w:r>
          </w:p>
        </w:tc>
        <w:tc>
          <w:tcPr>
            <w:tcW w:w="0" w:type="dxa"/>
            <w:vAlign w:val="bottom"/>
          </w:tcPr>
          <w:p>
            <w:pPr>
              <w:spacing w:after="0"/>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MATERIAL U.S. FEDERAL INCOME TAX CONSEQUENCES TO NON-U.S. HOLDERS OF OUR COMMON STOCK</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290</w:t>
            </w:r>
          </w:p>
        </w:tc>
        <w:tc>
          <w:tcPr>
            <w:tcW w:w="0" w:type="dxa"/>
            <w:vAlign w:val="bottom"/>
          </w:tcPr>
          <w:p>
            <w:pPr>
              <w:spacing w:after="0"/>
              <w:rPr>
                <w:sz w:val="1"/>
                <w:szCs w:val="1"/>
                <w:color w:val="auto"/>
              </w:rPr>
            </w:pPr>
          </w:p>
        </w:tc>
      </w:tr>
      <w:tr>
        <w:trPr>
          <w:trHeight w:val="183"/>
        </w:trPr>
        <w:tc>
          <w:tcPr>
            <w:tcW w:w="8360" w:type="dxa"/>
            <w:vAlign w:val="bottom"/>
            <w:tcBorders>
              <w:top w:val="single" w:sz="8" w:color="0000EE"/>
            </w:tcBorders>
            <w:gridSpan w:val="23"/>
          </w:tcPr>
          <w:p>
            <w:pPr>
              <w:spacing w:after="0" w:line="183" w:lineRule="exact"/>
              <w:rPr>
                <w:sz w:val="20"/>
                <w:szCs w:val="20"/>
                <w:color w:val="auto"/>
              </w:rPr>
            </w:pPr>
            <w:r>
              <w:rPr>
                <w:rFonts w:ascii="Arial" w:cs="Arial" w:eastAsia="Arial" w:hAnsi="Arial"/>
                <w:sz w:val="17"/>
                <w:szCs w:val="17"/>
                <w:color w:val="0000EE"/>
              </w:rPr>
              <w:t>UNDERWRITING</w:t>
            </w:r>
          </w:p>
        </w:tc>
        <w:tc>
          <w:tcPr>
            <w:tcW w:w="1620" w:type="dxa"/>
            <w:vAlign w:val="bottom"/>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294</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4"/>
          </w:tcPr>
          <w:p>
            <w:pPr>
              <w:spacing w:after="0" w:line="183" w:lineRule="exact"/>
              <w:rPr>
                <w:sz w:val="20"/>
                <w:szCs w:val="20"/>
                <w:color w:val="auto"/>
              </w:rPr>
            </w:pPr>
            <w:r>
              <w:rPr>
                <w:rFonts w:ascii="Arial" w:cs="Arial" w:eastAsia="Arial" w:hAnsi="Arial"/>
                <w:sz w:val="17"/>
                <w:szCs w:val="17"/>
                <w:color w:val="0000EE"/>
              </w:rPr>
              <w:t>LEGAL MATTERS</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302</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7"/>
                <w:szCs w:val="17"/>
                <w:color w:val="0000EE"/>
                <w:w w:val="88"/>
              </w:rPr>
              <w:t>EXPERTS</w:t>
            </w:r>
          </w:p>
        </w:tc>
        <w:tc>
          <w:tcPr>
            <w:tcW w:w="640" w:type="dxa"/>
            <w:vAlign w:val="bottom"/>
            <w:tcBorders>
              <w:top w:val="single" w:sz="8" w:color="0000EE"/>
            </w:tcBorders>
            <w:gridSpan w:val="7"/>
          </w:tcPr>
          <w:p>
            <w:pPr>
              <w:spacing w:after="0"/>
              <w:rPr>
                <w:sz w:val="15"/>
                <w:szCs w:val="15"/>
                <w:color w:val="auto"/>
              </w:rPr>
            </w:pPr>
          </w:p>
        </w:tc>
        <w:tc>
          <w:tcPr>
            <w:tcW w:w="8620" w:type="dxa"/>
            <w:vAlign w:val="bottom"/>
            <w:gridSpan w:val="16"/>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302</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0000EE"/>
            </w:tcBorders>
            <w:gridSpan w:val="19"/>
          </w:tcPr>
          <w:p>
            <w:pPr>
              <w:spacing w:after="0" w:line="183" w:lineRule="exact"/>
              <w:rPr>
                <w:sz w:val="20"/>
                <w:szCs w:val="20"/>
                <w:color w:val="auto"/>
              </w:rPr>
            </w:pPr>
            <w:r>
              <w:rPr>
                <w:rFonts w:ascii="Arial" w:cs="Arial" w:eastAsia="Arial" w:hAnsi="Arial"/>
                <w:sz w:val="17"/>
                <w:szCs w:val="17"/>
                <w:color w:val="0000EE"/>
                <w:w w:val="98"/>
              </w:rPr>
              <w:t>WHERE YOU CAN FIND ADDITIONAL INFORMATION</w:t>
            </w:r>
          </w:p>
        </w:tc>
        <w:tc>
          <w:tcPr>
            <w:tcW w:w="5840" w:type="dxa"/>
            <w:vAlign w:val="bottom"/>
            <w:gridSpan w:val="5"/>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302</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0000EE"/>
            </w:tcBorders>
            <w:gridSpan w:val="20"/>
          </w:tcPr>
          <w:p>
            <w:pPr>
              <w:spacing w:after="0" w:line="183" w:lineRule="exact"/>
              <w:rPr>
                <w:sz w:val="20"/>
                <w:szCs w:val="20"/>
                <w:color w:val="auto"/>
              </w:rPr>
            </w:pPr>
            <w:r>
              <w:rPr>
                <w:rFonts w:ascii="Arial" w:cs="Arial" w:eastAsia="Arial" w:hAnsi="Arial"/>
                <w:sz w:val="17"/>
                <w:szCs w:val="17"/>
                <w:color w:val="0000EE"/>
                <w:w w:val="96"/>
              </w:rPr>
              <w:t>INDEX TO CONSOLIDATED FINANCIAL STATEMENTS</w:t>
            </w:r>
          </w:p>
        </w:tc>
        <w:tc>
          <w:tcPr>
            <w:tcW w:w="5800" w:type="dxa"/>
            <w:vAlign w:val="bottom"/>
            <w:gridSpan w:val="4"/>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233045</wp:posOffset>
            </wp:positionV>
            <wp:extent cx="1383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right="320" w:firstLine="413"/>
        <w:spacing w:after="0" w:line="286" w:lineRule="auto"/>
        <w:rPr>
          <w:sz w:val="20"/>
          <w:szCs w:val="20"/>
          <w:color w:val="auto"/>
        </w:rPr>
      </w:pPr>
      <w:r>
        <w:rPr>
          <w:rFonts w:ascii="Arial" w:cs="Arial" w:eastAsia="Arial" w:hAnsi="Arial"/>
          <w:sz w:val="16"/>
          <w:szCs w:val="16"/>
          <w:b w:val="1"/>
          <w:bCs w:val="1"/>
          <w:color w:val="auto"/>
        </w:rPr>
        <w:t>Through and including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187960</wp:posOffset>
            </wp:positionV>
            <wp:extent cx="1383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00" w:firstLine="413"/>
        <w:spacing w:after="0" w:line="252" w:lineRule="auto"/>
        <w:rPr>
          <w:sz w:val="20"/>
          <w:szCs w:val="20"/>
          <w:color w:val="auto"/>
        </w:rPr>
      </w:pPr>
      <w:r>
        <w:rPr>
          <w:rFonts w:ascii="Arial" w:cs="Arial" w:eastAsia="Arial" w:hAnsi="Arial"/>
          <w:sz w:val="17"/>
          <w:szCs w:val="17"/>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the selling stockholders, and the underwriters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future growth prospects may have changed since that date.</w:t>
      </w:r>
    </w:p>
    <w:p>
      <w:pPr>
        <w:spacing w:after="0" w:line="184"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For investors outside the United States: Neither we, the selling stockholders, nor any of the underwriters have done anything that would permit the use of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780"/>
          </w:cols>
          <w:pgMar w:left="320" w:top="440" w:right="7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GLOSSARY</w:t>
      </w:r>
    </w:p>
    <w:p>
      <w:pPr>
        <w:spacing w:after="0" w:line="214"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b w:val="1"/>
          <w:bCs w:val="1"/>
          <w:i w:val="1"/>
          <w:iCs w:val="1"/>
          <w:color w:val="auto"/>
        </w:rPr>
        <w:t>Active brand partner</w:t>
      </w:r>
      <w:r>
        <w:rPr>
          <w:rFonts w:ascii="Arial" w:cs="Arial" w:eastAsia="Arial" w:hAnsi="Arial"/>
          <w:sz w:val="17"/>
          <w:szCs w:val="17"/>
          <w:color w:val="auto"/>
        </w:rPr>
        <w:t>. An active brand partner is a company or brand that has used one or more Instacart Ads offerings in the three calendar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prior to the period-end indicated.</w:t>
      </w:r>
    </w:p>
    <w:p>
      <w:pPr>
        <w:spacing w:after="0" w:line="16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b w:val="1"/>
          <w:bCs w:val="1"/>
          <w:i w:val="1"/>
          <w:iCs w:val="1"/>
          <w:color w:val="auto"/>
        </w:rPr>
        <w:t>Advertising and other investment rate</w:t>
      </w:r>
      <w:r>
        <w:rPr>
          <w:rFonts w:ascii="Arial" w:cs="Arial" w:eastAsia="Arial" w:hAnsi="Arial"/>
          <w:sz w:val="17"/>
          <w:szCs w:val="17"/>
          <w:color w:val="auto"/>
        </w:rPr>
        <w:t>. Advertising and other investment rate is advertising and other revenue in a given period divided by GTV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such period.</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Average order value</w:t>
      </w:r>
      <w:r>
        <w:rPr>
          <w:rFonts w:ascii="Arial" w:cs="Arial" w:eastAsia="Arial" w:hAnsi="Arial"/>
          <w:sz w:val="17"/>
          <w:szCs w:val="17"/>
          <w:color w:val="auto"/>
        </w:rPr>
        <w:t>. An average order value is total GTV in a given period divided by total orders in such period.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Brand partner</w:t>
      </w:r>
      <w:r>
        <w:rPr>
          <w:rFonts w:ascii="Arial" w:cs="Arial" w:eastAsia="Arial" w:hAnsi="Arial"/>
          <w:sz w:val="17"/>
          <w:szCs w:val="17"/>
          <w:color w:val="auto"/>
        </w:rPr>
        <w:t>. A brand partner is a company or brand that sells consumer goods and uses one or more Instacart Ads offerings.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Basket</w:t>
      </w:r>
      <w:r>
        <w:rPr>
          <w:rFonts w:ascii="Arial" w:cs="Arial" w:eastAsia="Arial" w:hAnsi="Arial"/>
          <w:sz w:val="17"/>
          <w:szCs w:val="17"/>
          <w:color w:val="auto"/>
        </w:rPr>
        <w:t>. A basket consists of all items ordered for delivery to, or pickup by, a customer from a single retailer.</w:t>
      </w:r>
    </w:p>
    <w:p>
      <w:pPr>
        <w:spacing w:after="0" w:line="210"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b w:val="1"/>
          <w:bCs w:val="1"/>
          <w:i w:val="1"/>
          <w:iCs w:val="1"/>
          <w:color w:val="auto"/>
        </w:rPr>
        <w:t>Batch</w:t>
      </w:r>
      <w:r>
        <w:rPr>
          <w:rFonts w:ascii="Arial" w:cs="Arial" w:eastAsia="Arial" w:hAnsi="Arial"/>
          <w:sz w:val="17"/>
          <w:szCs w:val="17"/>
          <w:color w:val="auto"/>
        </w:rPr>
        <w:t>. A batch is a combination of one or more orders offered to, and accepted by, a shopper to ultimately be delivered to, or picked up by, one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customers.</w:t>
      </w:r>
    </w:p>
    <w:p>
      <w:pPr>
        <w:spacing w:after="0" w:line="165" w:lineRule="exact"/>
        <w:rPr>
          <w:sz w:val="20"/>
          <w:szCs w:val="20"/>
          <w:color w:val="auto"/>
        </w:rPr>
      </w:pPr>
    </w:p>
    <w:p>
      <w:pPr>
        <w:ind w:left="460" w:right="200" w:firstLine="413"/>
        <w:spacing w:after="0" w:line="303" w:lineRule="auto"/>
        <w:rPr>
          <w:sz w:val="20"/>
          <w:szCs w:val="20"/>
          <w:color w:val="auto"/>
        </w:rPr>
      </w:pPr>
      <w:r>
        <w:rPr>
          <w:rFonts w:ascii="Arial" w:cs="Arial" w:eastAsia="Arial" w:hAnsi="Arial"/>
          <w:sz w:val="16"/>
          <w:szCs w:val="16"/>
          <w:b w:val="1"/>
          <w:bCs w:val="1"/>
          <w:i w:val="1"/>
          <w:iCs w:val="1"/>
          <w:color w:val="auto"/>
        </w:rPr>
        <w:t>Batch rate</w:t>
      </w:r>
      <w:r>
        <w:rPr>
          <w:rFonts w:ascii="Arial" w:cs="Arial" w:eastAsia="Arial" w:hAnsi="Arial"/>
          <w:sz w:val="16"/>
          <w:szCs w:val="16"/>
          <w:color w:val="auto"/>
        </w:rPr>
        <w:t>. Batch rate refers to the average number of orders per completed batch in a given period. Batch rate excludes any batch containing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priority, rapid delivery, or pickup order, which orders by design are typically not included in batches with multiple orders.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Consumer</w:t>
      </w:r>
      <w:r>
        <w:rPr>
          <w:rFonts w:ascii="Arial" w:cs="Arial" w:eastAsia="Arial" w:hAnsi="Arial"/>
          <w:sz w:val="17"/>
          <w:szCs w:val="17"/>
          <w:color w:val="auto"/>
        </w:rPr>
        <w:t>. A consumer refers to an individual who purchases groceries or other goods, not necessarily from Instacart.</w:t>
      </w:r>
    </w:p>
    <w:p>
      <w:pPr>
        <w:spacing w:after="0" w:line="210"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b w:val="1"/>
          <w:bCs w:val="1"/>
          <w:i w:val="1"/>
          <w:iCs w:val="1"/>
          <w:color w:val="auto"/>
        </w:rPr>
        <w:t>CPG brand (or brand)</w:t>
      </w:r>
      <w:r>
        <w:rPr>
          <w:rFonts w:ascii="Arial" w:cs="Arial" w:eastAsia="Arial" w:hAnsi="Arial"/>
          <w:sz w:val="17"/>
          <w:szCs w:val="17"/>
          <w:color w:val="auto"/>
        </w:rPr>
        <w:t>. A CPG, or consumer packaged goods, brand is an identifying name of a specific product or group of products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that sells consumer packaged goods.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Customer</w:t>
      </w:r>
      <w:r>
        <w:rPr>
          <w:rFonts w:ascii="Arial" w:cs="Arial" w:eastAsia="Arial" w:hAnsi="Arial"/>
          <w:sz w:val="17"/>
          <w:szCs w:val="17"/>
          <w:color w:val="auto"/>
        </w:rPr>
        <w:t>. A customer is an individual or entity who places an order on Instacart.</w:t>
      </w:r>
    </w:p>
    <w:p>
      <w:pPr>
        <w:spacing w:after="0" w:line="210" w:lineRule="exact"/>
        <w:rPr>
          <w:sz w:val="20"/>
          <w:szCs w:val="20"/>
          <w:color w:val="auto"/>
        </w:rPr>
      </w:pPr>
    </w:p>
    <w:p>
      <w:pPr>
        <w:jc w:val="both"/>
        <w:ind w:left="460" w:right="500" w:firstLine="413"/>
        <w:spacing w:after="0" w:line="260" w:lineRule="auto"/>
        <w:rPr>
          <w:sz w:val="20"/>
          <w:szCs w:val="20"/>
          <w:color w:val="auto"/>
        </w:rPr>
      </w:pPr>
      <w:r>
        <w:rPr>
          <w:rFonts w:ascii="Arial" w:cs="Arial" w:eastAsia="Arial" w:hAnsi="Arial"/>
          <w:sz w:val="17"/>
          <w:szCs w:val="17"/>
          <w:b w:val="1"/>
          <w:bCs w:val="1"/>
          <w:i w:val="1"/>
          <w:iCs w:val="1"/>
          <w:color w:val="auto"/>
        </w:rPr>
        <w:t>Digital-first platforms</w:t>
      </w:r>
      <w:r>
        <w:rPr>
          <w:rFonts w:ascii="Arial" w:cs="Arial" w:eastAsia="Arial" w:hAnsi="Arial"/>
          <w:sz w:val="17"/>
          <w:szCs w:val="17"/>
          <w:color w:val="auto"/>
        </w:rPr>
        <w:t>. Digital-first platforms consist of third-party marketplace platforms, such as Instacart Marketplace, that partner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retailers, as well as other online marketplaces that own and manage inventory and are purpose built to operate eCommerce businesses. Digital-first platforms exclude traditional grocers that primarily operate brick and mortar stores.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Fulfillment options</w:t>
      </w:r>
      <w:r>
        <w:rPr>
          <w:rFonts w:ascii="Arial" w:cs="Arial" w:eastAsia="Arial" w:hAnsi="Arial"/>
          <w:sz w:val="17"/>
          <w:szCs w:val="17"/>
          <w:color w:val="auto"/>
        </w:rPr>
        <w:t>. Fulfillment options include delivery (at a variety of speeds), pickup, and in-store.</w:t>
      </w:r>
    </w:p>
    <w:p>
      <w:pPr>
        <w:spacing w:after="0" w:line="210" w:lineRule="exact"/>
        <w:rPr>
          <w:sz w:val="20"/>
          <w:szCs w:val="20"/>
          <w:color w:val="auto"/>
        </w:rPr>
      </w:pPr>
    </w:p>
    <w:p>
      <w:pPr>
        <w:jc w:val="both"/>
        <w:ind w:left="460" w:firstLine="413"/>
        <w:spacing w:after="0" w:line="311" w:lineRule="auto"/>
        <w:rPr>
          <w:sz w:val="20"/>
          <w:szCs w:val="20"/>
          <w:color w:val="auto"/>
        </w:rPr>
      </w:pPr>
      <w:r>
        <w:rPr>
          <w:rFonts w:ascii="Arial" w:cs="Arial" w:eastAsia="Arial" w:hAnsi="Arial"/>
          <w:sz w:val="15"/>
          <w:szCs w:val="15"/>
          <w:b w:val="1"/>
          <w:bCs w:val="1"/>
          <w:i w:val="1"/>
          <w:iCs w:val="1"/>
          <w:color w:val="auto"/>
        </w:rPr>
        <w:t>Gross transaction value (or GTV</w:t>
      </w:r>
      <w:r>
        <w:rPr>
          <w:rFonts w:ascii="Arial" w:cs="Arial" w:eastAsia="Arial" w:hAnsi="Arial"/>
          <w:sz w:val="15"/>
          <w:szCs w:val="15"/>
          <w:color w:val="auto"/>
        </w:rPr>
        <w:t>). GTV is the value of the products sold based on prices shown on Instacart, applicable taxes, deposits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local fees, and customer tips, which go directly to shoppers, and customer fees, which include flat membership fees related to Instacart+ that are charged monthly or annually. GTV consists of orders completed through Instacart Marketplace and services that are part of Instacart Enterprise Platform.</w:t>
      </w:r>
    </w:p>
    <w:p>
      <w:pPr>
        <w:spacing w:after="0" w:line="14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b w:val="1"/>
          <w:bCs w:val="1"/>
          <w:i w:val="1"/>
          <w:iCs w:val="1"/>
          <w:color w:val="auto"/>
        </w:rPr>
        <w:t>Instacart Ads</w:t>
      </w:r>
      <w:r>
        <w:rPr>
          <w:rFonts w:ascii="Arial" w:cs="Arial" w:eastAsia="Arial" w:hAnsi="Arial"/>
          <w:sz w:val="17"/>
          <w:szCs w:val="17"/>
          <w:color w:val="auto"/>
        </w:rPr>
        <w:t>. Instacart Ads is our brand-focused advertising solution that connects brands of all sizes to customers while they are online grocery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shopping across Instacart Marketplace and retailers’ owned and operated online storefronts.</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b w:val="1"/>
          <w:bCs w:val="1"/>
          <w:i w:val="1"/>
          <w:iCs w:val="1"/>
          <w:color w:val="auto"/>
        </w:rPr>
        <w:t>Instacart Enterprise Platform</w:t>
      </w:r>
      <w:r>
        <w:rPr>
          <w:rFonts w:ascii="Arial" w:cs="Arial" w:eastAsia="Arial" w:hAnsi="Arial"/>
          <w:sz w:val="17"/>
          <w:szCs w:val="17"/>
          <w:color w:val="auto"/>
        </w:rPr>
        <w:t>. Instacart Enterprise Platform provides retailers with a suite of enterprise-grade technologies that span eCommerce,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fulfillment, in-store, ads, and insights.</w:t>
      </w:r>
    </w:p>
    <w:p>
      <w:pPr>
        <w:spacing w:after="0" w:line="165"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b w:val="1"/>
          <w:bCs w:val="1"/>
          <w:i w:val="1"/>
          <w:iCs w:val="1"/>
          <w:color w:val="auto"/>
        </w:rPr>
        <w:t>Instacart Marketplace</w:t>
      </w:r>
      <w:r>
        <w:rPr>
          <w:rFonts w:ascii="Arial" w:cs="Arial" w:eastAsia="Arial" w:hAnsi="Arial"/>
          <w:sz w:val="17"/>
          <w:szCs w:val="17"/>
          <w:color w:val="auto"/>
        </w:rPr>
        <w:t>. Instacart Marketplace connects retailers, customers, brands, and shoppers through our mobile app and website to place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 for delivery or pickup.</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Location</w:t>
      </w:r>
      <w:r>
        <w:rPr>
          <w:rFonts w:ascii="Arial" w:cs="Arial" w:eastAsia="Arial" w:hAnsi="Arial"/>
          <w:sz w:val="17"/>
          <w:szCs w:val="17"/>
          <w:color w:val="auto"/>
        </w:rPr>
        <w:t>. Location refers to a physical store of a retail banner.</w:t>
      </w:r>
    </w:p>
    <w:p>
      <w:pPr>
        <w:spacing w:after="0" w:line="210" w:lineRule="exact"/>
        <w:rPr>
          <w:sz w:val="20"/>
          <w:szCs w:val="20"/>
          <w:color w:val="auto"/>
        </w:rPr>
      </w:pPr>
    </w:p>
    <w:p>
      <w:pPr>
        <w:ind w:left="460" w:right="160" w:firstLine="413"/>
        <w:spacing w:after="0" w:line="256" w:lineRule="auto"/>
        <w:rPr>
          <w:sz w:val="20"/>
          <w:szCs w:val="20"/>
          <w:color w:val="auto"/>
        </w:rPr>
      </w:pPr>
      <w:r>
        <w:rPr>
          <w:rFonts w:ascii="Arial" w:cs="Arial" w:eastAsia="Arial" w:hAnsi="Arial"/>
          <w:sz w:val="17"/>
          <w:szCs w:val="17"/>
          <w:b w:val="1"/>
          <w:bCs w:val="1"/>
          <w:i w:val="1"/>
          <w:iCs w:val="1"/>
          <w:color w:val="auto"/>
        </w:rPr>
        <w:t>Monthly active orderer</w:t>
      </w:r>
      <w:r>
        <w:rPr>
          <w:rFonts w:ascii="Arial" w:cs="Arial" w:eastAsia="Arial" w:hAnsi="Arial"/>
          <w:sz w:val="17"/>
          <w:szCs w:val="17"/>
          <w:color w:val="auto"/>
        </w:rPr>
        <w:t>. A monthly active orderer is a customer who places at least one order on Instacart during the calendar month indicated.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identify an individual customer account by a unique phone number. If a customer had accounts under two different email addresses but with the same phone number, and such customer completed orders using both accounts during the measurement period, such activity would be attributed to the same customer.</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760"/>
          </w:cols>
          <w:pgMar w:left="320" w:top="440" w:right="8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North America</w:t>
      </w:r>
      <w:r>
        <w:rPr>
          <w:rFonts w:ascii="Arial" w:cs="Arial" w:eastAsia="Arial" w:hAnsi="Arial"/>
          <w:sz w:val="17"/>
          <w:szCs w:val="17"/>
          <w:color w:val="auto"/>
        </w:rPr>
        <w:t>. North America refers to the United States and Canada.</w:t>
      </w:r>
    </w:p>
    <w:p>
      <w:pPr>
        <w:spacing w:after="0" w:line="210" w:lineRule="exact"/>
        <w:rPr>
          <w:sz w:val="20"/>
          <w:szCs w:val="20"/>
          <w:color w:val="auto"/>
        </w:rPr>
      </w:pPr>
    </w:p>
    <w:p>
      <w:pPr>
        <w:ind w:left="460" w:right="120" w:firstLine="413"/>
        <w:spacing w:after="0" w:line="340" w:lineRule="auto"/>
        <w:rPr>
          <w:sz w:val="20"/>
          <w:szCs w:val="20"/>
          <w:color w:val="auto"/>
        </w:rPr>
      </w:pPr>
      <w:r>
        <w:rPr>
          <w:rFonts w:ascii="Arial" w:cs="Arial" w:eastAsia="Arial" w:hAnsi="Arial"/>
          <w:sz w:val="15"/>
          <w:szCs w:val="15"/>
          <w:b w:val="1"/>
          <w:bCs w:val="1"/>
          <w:i w:val="1"/>
          <w:iCs w:val="1"/>
          <w:color w:val="auto"/>
        </w:rPr>
        <w:t>Order</w:t>
      </w:r>
      <w:r>
        <w:rPr>
          <w:rFonts w:ascii="Arial" w:cs="Arial" w:eastAsia="Arial" w:hAnsi="Arial"/>
          <w:sz w:val="15"/>
          <w:szCs w:val="15"/>
          <w:color w:val="auto"/>
        </w:rPr>
        <w:t>. An order is a completed customer transaction to purchase goods for delivery or pickup from a single retailer on Instacart, including those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placed through Instacart Marketplace or placed on a retailer’s owned and operated online storefront powered by Instacart Enterprise Platform.</w:t>
      </w:r>
    </w:p>
    <w:p>
      <w:pPr>
        <w:spacing w:after="0" w:line="119"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b w:val="1"/>
          <w:bCs w:val="1"/>
          <w:i w:val="1"/>
          <w:iCs w:val="1"/>
          <w:color w:val="auto"/>
        </w:rPr>
        <w:t>Retailer</w:t>
      </w:r>
      <w:r>
        <w:rPr>
          <w:rFonts w:ascii="Arial" w:cs="Arial" w:eastAsia="Arial" w:hAnsi="Arial"/>
          <w:sz w:val="17"/>
          <w:szCs w:val="17"/>
          <w:color w:val="auto"/>
        </w:rPr>
        <w:t>. A retailer is a parent company that owns and operates one or more physical or virtual stores under one or more retail banners that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goods to consumers.</w:t>
      </w:r>
    </w:p>
    <w:p>
      <w:pPr>
        <w:spacing w:after="0" w:line="165"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b w:val="1"/>
          <w:bCs w:val="1"/>
          <w:i w:val="1"/>
          <w:iCs w:val="1"/>
          <w:color w:val="auto"/>
        </w:rPr>
        <w:t>Retail banner</w:t>
      </w:r>
      <w:r>
        <w:rPr>
          <w:rFonts w:ascii="Arial" w:cs="Arial" w:eastAsia="Arial" w:hAnsi="Arial"/>
          <w:sz w:val="17"/>
          <w:szCs w:val="17"/>
          <w:color w:val="auto"/>
        </w:rPr>
        <w:t>. A retail banner is a unique brand name of one retail store or a chain of retail stores owned by a retailer. A retailer may operate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one or more retail banners.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Retail partner</w:t>
      </w:r>
      <w:r>
        <w:rPr>
          <w:rFonts w:ascii="Arial" w:cs="Arial" w:eastAsia="Arial" w:hAnsi="Arial"/>
          <w:sz w:val="16"/>
          <w:szCs w:val="16"/>
          <w:color w:val="auto"/>
        </w:rPr>
        <w:t>. A retail partner is a retailer that partners with Instacart either through Instacart Marketplace or Instacart Enterprise Platform.</w:t>
      </w:r>
    </w:p>
    <w:p>
      <w:pPr>
        <w:spacing w:after="0" w:line="221"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b w:val="1"/>
          <w:bCs w:val="1"/>
          <w:i w:val="1"/>
          <w:iCs w:val="1"/>
          <w:color w:val="auto"/>
        </w:rPr>
        <w:t>Shopper</w:t>
      </w:r>
      <w:r>
        <w:rPr>
          <w:rFonts w:ascii="Arial" w:cs="Arial" w:eastAsia="Arial" w:hAnsi="Arial"/>
          <w:sz w:val="15"/>
          <w:szCs w:val="15"/>
          <w:color w:val="auto"/>
        </w:rPr>
        <w:t>. A shopper is an individual who fulfills an order on a customer’s behalf. The vast majority of shoppers are full-service shoppers, who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contractors that pick and deliver orders. The remaining shoppers are in-store shoppers, who are Instacart employees and only engage in in-store duties, including picking orders, and do not engage in any delivery services. Unless otherwise noted, the term “shopper” refers to a full-service shopper in this prospectus. We identify a shopper account by a unique email address validated against personally identifiable information.</w:t>
      </w:r>
    </w:p>
    <w:p>
      <w:pPr>
        <w:spacing w:after="0" w:line="148"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b w:val="1"/>
          <w:bCs w:val="1"/>
          <w:i w:val="1"/>
          <w:iCs w:val="1"/>
          <w:color w:val="auto"/>
        </w:rPr>
        <w:t>SKU</w:t>
      </w:r>
      <w:r>
        <w:rPr>
          <w:rFonts w:ascii="Arial" w:cs="Arial" w:eastAsia="Arial" w:hAnsi="Arial"/>
          <w:sz w:val="17"/>
          <w:szCs w:val="17"/>
          <w:color w:val="auto"/>
        </w:rPr>
        <w:t>. A SKU, or stock keeping unit, is a product inventory code number that uniquely identifies each product in a retailer store to help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reliable inventory tracking.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Store</w:t>
      </w:r>
      <w:r>
        <w:rPr>
          <w:rFonts w:ascii="Arial" w:cs="Arial" w:eastAsia="Arial" w:hAnsi="Arial"/>
          <w:sz w:val="17"/>
          <w:szCs w:val="17"/>
          <w:color w:val="auto"/>
        </w:rPr>
        <w:t>. A store refers to a physical or virtual store of a retail banner.</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40"/>
          </w:cols>
          <w:pgMar w:left="320" w:top="440" w:right="8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A LETTER FROM FIDJI</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first time I truly understood the power of Instacart’s mission, I was standing in the aisle of a grocery store.</w:t>
      </w:r>
    </w:p>
    <w:p>
      <w:pPr>
        <w:spacing w:after="0" w:line="210" w:lineRule="exact"/>
        <w:rPr>
          <w:sz w:val="20"/>
          <w:szCs w:val="20"/>
          <w:color w:val="auto"/>
        </w:rPr>
      </w:pPr>
    </w:p>
    <w:p>
      <w:pPr>
        <w:ind w:left="460" w:right="100"/>
        <w:spacing w:after="0" w:line="260" w:lineRule="auto"/>
        <w:rPr>
          <w:sz w:val="20"/>
          <w:szCs w:val="20"/>
          <w:color w:val="auto"/>
        </w:rPr>
      </w:pPr>
      <w:r>
        <w:rPr>
          <w:rFonts w:ascii="Arial" w:cs="Arial" w:eastAsia="Arial" w:hAnsi="Arial"/>
          <w:sz w:val="17"/>
          <w:szCs w:val="17"/>
          <w:color w:val="auto"/>
        </w:rPr>
        <w:t>The CEO of a major grocery retailer had invited me to visit one of his stores to get a better sense of what made them unique. I was expecting to learn more about the retailer’s logistics and day-to-day operations — and I did. But I wasn’t expecting to get a masterclass in the care and craft that make the grocery industry so special.</w:t>
      </w:r>
    </w:p>
    <w:p>
      <w:pPr>
        <w:spacing w:after="0" w:line="175" w:lineRule="exact"/>
        <w:rPr>
          <w:sz w:val="20"/>
          <w:szCs w:val="20"/>
          <w:color w:val="auto"/>
        </w:rPr>
      </w:pPr>
    </w:p>
    <w:p>
      <w:pPr>
        <w:ind w:left="460" w:right="100"/>
        <w:spacing w:after="0" w:line="260" w:lineRule="auto"/>
        <w:rPr>
          <w:sz w:val="20"/>
          <w:szCs w:val="20"/>
          <w:color w:val="auto"/>
        </w:rPr>
      </w:pPr>
      <w:r>
        <w:rPr>
          <w:rFonts w:ascii="Arial" w:cs="Arial" w:eastAsia="Arial" w:hAnsi="Arial"/>
          <w:sz w:val="17"/>
          <w:szCs w:val="17"/>
          <w:color w:val="auto"/>
        </w:rPr>
        <w:t>As we walked the floor that day, I saw the CEO greet associates by name and welcome customers at the front door with a smile. I saw him make sure everyone found what they were looking for. And he proudly explained the complexity, hard work, and attention to detail that goes into each cut of meat and perfectly red apple.</w:t>
      </w:r>
    </w:p>
    <w:p>
      <w:pPr>
        <w:spacing w:after="0" w:line="175"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When I was walking through the aisles of that store, what struck me most was the fact that grocers aren’t just doing a job or running a company. In many cases, they’re supporting families, neighborhoods, and entire communities — just like they have for generations. That experience wasn’t unique. It’s one I’ve continued to have over the years as I’ve spent time with many of our partners, touring their grocery stores and getting closer to the heart of their businesses.</w:t>
      </w:r>
    </w:p>
    <w:p>
      <w:pPr>
        <w:spacing w:after="0" w:line="179" w:lineRule="exact"/>
        <w:rPr>
          <w:sz w:val="20"/>
          <w:szCs w:val="20"/>
          <w:color w:val="auto"/>
        </w:rPr>
      </w:pPr>
    </w:p>
    <w:p>
      <w:pPr>
        <w:ind w:left="460" w:right="140"/>
        <w:spacing w:after="0" w:line="260" w:lineRule="auto"/>
        <w:rPr>
          <w:sz w:val="20"/>
          <w:szCs w:val="20"/>
          <w:color w:val="auto"/>
        </w:rPr>
      </w:pPr>
      <w:r>
        <w:rPr>
          <w:rFonts w:ascii="Arial" w:cs="Arial" w:eastAsia="Arial" w:hAnsi="Arial"/>
          <w:sz w:val="17"/>
          <w:szCs w:val="17"/>
          <w:color w:val="auto"/>
        </w:rPr>
        <w:t>These experiences remind me of my own childhood growing up as the daughter, granddaughter, and great-granddaughter of fishermen who also took enormous pride in feeding their community. While my own career has carried me from my fishing village all the way to Silicon Valley, I never lost my appreciation for the dedicated people who nourish the world.</w:t>
      </w:r>
    </w:p>
    <w:p>
      <w:pPr>
        <w:spacing w:after="0" w:line="175" w:lineRule="exact"/>
        <w:rPr>
          <w:sz w:val="20"/>
          <w:szCs w:val="20"/>
          <w:color w:val="auto"/>
        </w:rPr>
      </w:pPr>
    </w:p>
    <w:p>
      <w:pPr>
        <w:ind w:left="460" w:right="380"/>
        <w:spacing w:after="0" w:line="260" w:lineRule="auto"/>
        <w:rPr>
          <w:sz w:val="20"/>
          <w:szCs w:val="20"/>
          <w:color w:val="auto"/>
        </w:rPr>
      </w:pPr>
      <w:r>
        <w:rPr>
          <w:rFonts w:ascii="Arial" w:cs="Arial" w:eastAsia="Arial" w:hAnsi="Arial"/>
          <w:sz w:val="17"/>
          <w:szCs w:val="17"/>
          <w:color w:val="auto"/>
        </w:rPr>
        <w:t>Working in technology, I know first-hand the edge it can offer — and at Instacart, we want to give that edge to grocers. Our vision is to build the technology that powers every single grocery transaction — working with the retailers that consumers know and love to invent the future of grocery together. And right now, that’s more important than ever.</w:t>
      </w:r>
    </w:p>
    <w:p>
      <w:pPr>
        <w:spacing w:after="0" w:line="171" w:lineRule="exact"/>
        <w:rPr>
          <w:sz w:val="20"/>
          <w:szCs w:val="20"/>
          <w:color w:val="auto"/>
        </w:rPr>
      </w:pPr>
    </w:p>
    <w:p>
      <w:pPr>
        <w:ind w:left="460" w:right="120"/>
        <w:spacing w:after="0" w:line="231" w:lineRule="auto"/>
        <w:rPr>
          <w:sz w:val="20"/>
          <w:szCs w:val="20"/>
          <w:color w:val="auto"/>
        </w:rPr>
      </w:pPr>
      <w:r>
        <w:rPr>
          <w:rFonts w:ascii="Arial" w:cs="Arial" w:eastAsia="Arial" w:hAnsi="Arial"/>
          <w:sz w:val="17"/>
          <w:szCs w:val="17"/>
          <w:b w:val="1"/>
          <w:bCs w:val="1"/>
          <w:color w:val="auto"/>
        </w:rPr>
        <w:t xml:space="preserve">As I write this, a massive digital transformation is underway in the grocery industry. </w:t>
      </w:r>
      <w:r>
        <w:rPr>
          <w:rFonts w:ascii="Arial" w:cs="Arial" w:eastAsia="Arial" w:hAnsi="Arial"/>
          <w:sz w:val="17"/>
          <w:szCs w:val="17"/>
          <w:color w:val="auto"/>
        </w:rPr>
        <w:t>Grocery is the largest retail category and represents a $1.1</w:t>
      </w:r>
      <w:r>
        <w:rPr>
          <w:rFonts w:ascii="Arial" w:cs="Arial" w:eastAsia="Arial" w:hAnsi="Arial"/>
          <w:sz w:val="17"/>
          <w:szCs w:val="17"/>
          <w:b w:val="1"/>
          <w:bCs w:val="1"/>
          <w:color w:val="auto"/>
        </w:rPr>
        <w:t xml:space="preserve"> </w:t>
      </w:r>
      <w:r>
        <w:rPr>
          <w:rFonts w:ascii="Arial" w:cs="Arial" w:eastAsia="Arial" w:hAnsi="Arial"/>
          <w:sz w:val="17"/>
          <w:szCs w:val="17"/>
          <w:color w:val="auto"/>
        </w:rPr>
        <w:t>trillion industry in the United States alone. But only 12% of grocery sales are made online today.</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As even more people shop online, online penetration could double or more over time.</w:t>
      </w:r>
      <w:r>
        <w:rPr>
          <w:rFonts w:ascii="Arial" w:cs="Arial" w:eastAsia="Arial" w:hAnsi="Arial"/>
          <w:sz w:val="25"/>
          <w:szCs w:val="25"/>
          <w:color w:val="auto"/>
          <w:vertAlign w:val="superscript"/>
        </w:rPr>
        <w:t>2</w:t>
      </w:r>
    </w:p>
    <w:p>
      <w:pPr>
        <w:spacing w:after="0" w:line="73" w:lineRule="exact"/>
        <w:rPr>
          <w:sz w:val="20"/>
          <w:szCs w:val="20"/>
          <w:color w:val="auto"/>
        </w:rPr>
      </w:pPr>
    </w:p>
    <w:p>
      <w:pPr>
        <w:ind w:left="460" w:right="240"/>
        <w:spacing w:after="0" w:line="311" w:lineRule="auto"/>
        <w:rPr>
          <w:sz w:val="20"/>
          <w:szCs w:val="20"/>
          <w:color w:val="auto"/>
        </w:rPr>
      </w:pPr>
      <w:r>
        <w:rPr>
          <w:rFonts w:ascii="Arial" w:cs="Arial" w:eastAsia="Arial" w:hAnsi="Arial"/>
          <w:sz w:val="15"/>
          <w:szCs w:val="15"/>
          <w:color w:val="auto"/>
        </w:rPr>
        <w:t>This shift is being driven, in large part, by consumer expectations growing more diverse and complex. We might be able to wait a couple of hours for our weekly shop but need popcorn in 30 minutes for an impromptu family movie night. Sometimes we want to buy groceries on our phones and sometimes in the store. We want grocers to understand our tastes and preferences and offer us a seamless, personalized experience everywhere.</w:t>
      </w:r>
    </w:p>
    <w:p>
      <w:pPr>
        <w:spacing w:after="0" w:line="140"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We believe the future of grocery won’t be about choosing between shopping online and in-store. Most of us are going to do both. So we want to create a truly omni-channel experience that brings the best of the online shopping experience to physical stores, and vice versa.</w:t>
      </w:r>
    </w:p>
    <w:p>
      <w:pPr>
        <w:spacing w:after="0" w:line="165" w:lineRule="exact"/>
        <w:rPr>
          <w:sz w:val="20"/>
          <w:szCs w:val="20"/>
          <w:color w:val="auto"/>
        </w:rPr>
      </w:pPr>
    </w:p>
    <w:p>
      <w:pPr>
        <w:ind w:left="460" w:right="60"/>
        <w:spacing w:after="0" w:line="301" w:lineRule="auto"/>
        <w:rPr>
          <w:sz w:val="20"/>
          <w:szCs w:val="20"/>
          <w:color w:val="auto"/>
        </w:rPr>
      </w:pPr>
      <w:r>
        <w:rPr>
          <w:rFonts w:ascii="Arial" w:cs="Arial" w:eastAsia="Arial" w:hAnsi="Arial"/>
          <w:sz w:val="15"/>
          <w:szCs w:val="15"/>
          <w:color w:val="auto"/>
        </w:rPr>
        <w:t>With the business of grocery changing so quickly, many retailers need a trusted partner to help them navigate this digital transformation so that they can drive success both online and in-store and serve their customers better — in all of the ways they choose to shop. It’s especially important because their competitors — from established tech platforms to new startup disruptors — are trying to lure customers away from traditional grocers. If the neighborhood grocer who has been serving their community for decades can’t find an edge, they may not be able to keep up.</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That’s where we come in.</w:t>
      </w:r>
    </w:p>
    <w:p>
      <w:pPr>
        <w:spacing w:after="0" w:line="206" w:lineRule="exact"/>
        <w:rPr>
          <w:sz w:val="20"/>
          <w:szCs w:val="20"/>
          <w:color w:val="auto"/>
        </w:rPr>
      </w:pPr>
    </w:p>
    <w:p>
      <w:pPr>
        <w:ind w:left="460" w:right="60"/>
        <w:spacing w:after="0" w:line="273" w:lineRule="auto"/>
        <w:rPr>
          <w:sz w:val="20"/>
          <w:szCs w:val="20"/>
          <w:color w:val="auto"/>
        </w:rPr>
      </w:pPr>
      <w:r>
        <w:rPr>
          <w:rFonts w:ascii="Arial" w:cs="Arial" w:eastAsia="Arial" w:hAnsi="Arial"/>
          <w:sz w:val="16"/>
          <w:szCs w:val="16"/>
          <w:b w:val="1"/>
          <w:bCs w:val="1"/>
          <w:color w:val="auto"/>
        </w:rPr>
        <w:t xml:space="preserve">Instacart is a grocery technology company. </w:t>
      </w:r>
      <w:r>
        <w:rPr>
          <w:rFonts w:ascii="Arial" w:cs="Arial" w:eastAsia="Arial" w:hAnsi="Arial"/>
          <w:sz w:val="16"/>
          <w:szCs w:val="16"/>
          <w:color w:val="auto"/>
        </w:rPr>
        <w:t>Thanks to the investments we have made over the last decade, we now deliver the best consumer online</w:t>
      </w:r>
      <w:r>
        <w:rPr>
          <w:rFonts w:ascii="Arial" w:cs="Arial" w:eastAsia="Arial" w:hAnsi="Arial"/>
          <w:sz w:val="16"/>
          <w:szCs w:val="16"/>
          <w:b w:val="1"/>
          <w:bCs w:val="1"/>
          <w:color w:val="auto"/>
        </w:rPr>
        <w:t xml:space="preserve"> </w:t>
      </w:r>
      <w:r>
        <w:rPr>
          <w:rFonts w:ascii="Arial" w:cs="Arial" w:eastAsia="Arial" w:hAnsi="Arial"/>
          <w:sz w:val="16"/>
          <w:szCs w:val="16"/>
          <w:color w:val="auto"/>
        </w:rPr>
        <w:t>grocery experience anywhere. Consumers can search for products they love and discover new ones based on their tastes and preferences, build deeper relationships with their favorite retailers, and get what they need delivered to them when they need it. But we also put our technology and consumer expertise in the hands of our retail partners. Retailers understand that we invest more in technology custom-built for online grocery than any single grocer could — and that by partnering with Instacart, they can have the same technology edge as tech giants and startups, while also being able to focus on everything else it takes to run a successful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73660</wp:posOffset>
            </wp:positionV>
            <wp:extent cx="7239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8" w:lineRule="exact"/>
        <w:rPr>
          <w:sz w:val="20"/>
          <w:szCs w:val="20"/>
          <w:color w:val="auto"/>
        </w:rPr>
      </w:pPr>
    </w:p>
    <w:p>
      <w:pPr>
        <w:ind w:left="860" w:hanging="403"/>
        <w:spacing w:after="0"/>
        <w:tabs>
          <w:tab w:leader="none" w:pos="860" w:val="left"/>
        </w:tabs>
        <w:numPr>
          <w:ilvl w:val="0"/>
          <w:numId w:val="1"/>
        </w:numPr>
        <w:rPr>
          <w:rFonts w:ascii="Arial" w:cs="Arial" w:eastAsia="Arial" w:hAnsi="Arial"/>
          <w:sz w:val="10"/>
          <w:szCs w:val="10"/>
          <w:color w:val="auto"/>
        </w:rPr>
      </w:pPr>
      <w:r>
        <w:rPr>
          <w:rFonts w:ascii="Arial" w:cs="Arial" w:eastAsia="Arial" w:hAnsi="Arial"/>
          <w:sz w:val="13"/>
          <w:szCs w:val="13"/>
          <w:color w:val="auto"/>
        </w:rPr>
        <w:t>Incisiv.</w:t>
      </w:r>
    </w:p>
    <w:p>
      <w:pPr>
        <w:spacing w:after="0" w:line="2" w:lineRule="exact"/>
        <w:rPr>
          <w:sz w:val="20"/>
          <w:szCs w:val="20"/>
          <w:color w:val="auto"/>
        </w:rPr>
      </w:pPr>
    </w:p>
    <w:p>
      <w:pPr>
        <w:ind w:left="860" w:hanging="403"/>
        <w:spacing w:after="0"/>
        <w:tabs>
          <w:tab w:leader="none" w:pos="860" w:val="left"/>
        </w:tabs>
        <w:numPr>
          <w:ilvl w:val="0"/>
          <w:numId w:val="2"/>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780"/>
          </w:cols>
          <w:pgMar w:left="320" w:top="440" w:right="79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00" w:lineRule="auto"/>
        <w:rPr>
          <w:sz w:val="20"/>
          <w:szCs w:val="20"/>
          <w:color w:val="auto"/>
        </w:rPr>
      </w:pPr>
      <w:r>
        <w:rPr>
          <w:rFonts w:ascii="Arial" w:cs="Arial" w:eastAsia="Arial" w:hAnsi="Arial"/>
          <w:sz w:val="16"/>
          <w:szCs w:val="16"/>
          <w:color w:val="auto"/>
        </w:rPr>
        <w:t>Today, Instacart partners with more than 1,400 national, regional, and local retail banners across more than 80,000</w:t>
      </w:r>
      <w:r>
        <w:rPr>
          <w:rFonts w:ascii="Arial" w:cs="Arial" w:eastAsia="Arial" w:hAnsi="Arial"/>
          <w:sz w:val="24"/>
          <w:szCs w:val="24"/>
          <w:color w:val="auto"/>
          <w:vertAlign w:val="superscript"/>
        </w:rPr>
        <w:t>3</w:t>
      </w:r>
      <w:r>
        <w:rPr>
          <w:rFonts w:ascii="Arial" w:cs="Arial" w:eastAsia="Arial" w:hAnsi="Arial"/>
          <w:sz w:val="16"/>
          <w:szCs w:val="16"/>
          <w:color w:val="auto"/>
        </w:rPr>
        <w:t xml:space="preserve"> stores that represent more than 85% of the U.S. grocery industry.</w:t>
      </w:r>
      <w:r>
        <w:rPr>
          <w:rFonts w:ascii="Arial" w:cs="Arial" w:eastAsia="Arial" w:hAnsi="Arial"/>
          <w:sz w:val="24"/>
          <w:szCs w:val="24"/>
          <w:color w:val="auto"/>
          <w:vertAlign w:val="superscript"/>
        </w:rPr>
        <w:t>4</w:t>
      </w:r>
      <w:r>
        <w:rPr>
          <w:rFonts w:ascii="Arial" w:cs="Arial" w:eastAsia="Arial" w:hAnsi="Arial"/>
          <w:sz w:val="16"/>
          <w:szCs w:val="16"/>
          <w:color w:val="auto"/>
        </w:rPr>
        <w:t xml:space="preserve"> Millions of households depend on us and our partners for their grocery needs.</w:t>
      </w:r>
      <w:r>
        <w:rPr>
          <w:rFonts w:ascii="Arial" w:cs="Arial" w:eastAsia="Arial" w:hAnsi="Arial"/>
          <w:sz w:val="24"/>
          <w:szCs w:val="24"/>
          <w:color w:val="auto"/>
          <w:vertAlign w:val="superscript"/>
        </w:rPr>
        <w:t>5</w:t>
      </w:r>
      <w:r>
        <w:rPr>
          <w:rFonts w:ascii="Arial" w:cs="Arial" w:eastAsia="Arial" w:hAnsi="Arial"/>
          <w:sz w:val="16"/>
          <w:szCs w:val="16"/>
          <w:color w:val="auto"/>
        </w:rPr>
        <w:t xml:space="preserve"> We power tens of billions of dollars in annual sales for retailers,</w:t>
      </w:r>
      <w:r>
        <w:rPr>
          <w:rFonts w:ascii="Arial" w:cs="Arial" w:eastAsia="Arial" w:hAnsi="Arial"/>
          <w:sz w:val="24"/>
          <w:szCs w:val="24"/>
          <w:color w:val="auto"/>
          <w:vertAlign w:val="superscript"/>
        </w:rPr>
        <w:t>6</w:t>
      </w:r>
      <w:r>
        <w:rPr>
          <w:rFonts w:ascii="Arial" w:cs="Arial" w:eastAsia="Arial" w:hAnsi="Arial"/>
          <w:sz w:val="16"/>
          <w:szCs w:val="16"/>
          <w:color w:val="auto"/>
        </w:rPr>
        <w:t xml:space="preserve"> which makes Instacart the leading grocery technology company in North America.</w:t>
      </w:r>
      <w:r>
        <w:rPr>
          <w:rFonts w:ascii="Arial" w:cs="Arial" w:eastAsia="Arial" w:hAnsi="Arial"/>
          <w:sz w:val="24"/>
          <w:szCs w:val="24"/>
          <w:color w:val="auto"/>
          <w:vertAlign w:val="superscript"/>
        </w:rPr>
        <w:t>7</w:t>
      </w:r>
      <w:r>
        <w:rPr>
          <w:rFonts w:ascii="Arial" w:cs="Arial" w:eastAsia="Arial" w:hAnsi="Arial"/>
          <w:sz w:val="16"/>
          <w:szCs w:val="16"/>
          <w:color w:val="auto"/>
        </w:rPr>
        <w:t xml:space="preserve"> Our GTV, representing the online sales we power for all of our retail partners, grew at a compound annual growth rate of 80% between 2018 and 2022, compared to 50% for the overall online grocery market and 1% for offline grocery.</w:t>
      </w:r>
      <w:r>
        <w:rPr>
          <w:rFonts w:ascii="Arial" w:cs="Arial" w:eastAsia="Arial" w:hAnsi="Arial"/>
          <w:sz w:val="24"/>
          <w:szCs w:val="24"/>
          <w:color w:val="auto"/>
          <w:vertAlign w:val="superscript"/>
        </w:rPr>
        <w:t>8</w:t>
      </w:r>
      <w:r>
        <w:rPr>
          <w:rFonts w:ascii="Arial" w:cs="Arial" w:eastAsia="Arial" w:hAnsi="Arial"/>
          <w:sz w:val="16"/>
          <w:szCs w:val="16"/>
          <w:color w:val="auto"/>
        </w:rPr>
        <w:t xml:space="preserve"> We have demonstrated our ability to help our retail partners drive strong growth and stay competitive in a complex and increasingly digital industry.</w:t>
      </w:r>
    </w:p>
    <w:p>
      <w:pPr>
        <w:spacing w:after="0" w:line="192" w:lineRule="exact"/>
        <w:rPr>
          <w:sz w:val="20"/>
          <w:szCs w:val="20"/>
          <w:color w:val="auto"/>
        </w:rPr>
      </w:pPr>
    </w:p>
    <w:p>
      <w:pPr>
        <w:ind w:left="460" w:right="480"/>
        <w:spacing w:after="0" w:line="272" w:lineRule="auto"/>
        <w:rPr>
          <w:sz w:val="20"/>
          <w:szCs w:val="20"/>
          <w:color w:val="auto"/>
        </w:rPr>
      </w:pPr>
      <w:r>
        <w:rPr>
          <w:rFonts w:ascii="Arial" w:cs="Arial" w:eastAsia="Arial" w:hAnsi="Arial"/>
          <w:sz w:val="17"/>
          <w:szCs w:val="17"/>
          <w:color w:val="auto"/>
        </w:rPr>
        <w:t>By combining the power of our technology and fulfillment capabilities with the expertise of retailers, we can help the national, regional, and local retailers that people already know and trust offer their customers an even better experience.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Instacart is building all the services retailers need to invent the future of grocery and transform the consumer experience, including:</w:t>
      </w:r>
    </w:p>
    <w:p>
      <w:pPr>
        <w:spacing w:after="0" w:line="137" w:lineRule="exact"/>
        <w:rPr>
          <w:sz w:val="20"/>
          <w:szCs w:val="20"/>
          <w:color w:val="auto"/>
        </w:rPr>
      </w:pPr>
    </w:p>
    <w:p>
      <w:pPr>
        <w:ind w:left="1360" w:right="220" w:hanging="396"/>
        <w:spacing w:after="0" w:line="256" w:lineRule="auto"/>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most powerful eCommerce tools custom-built for online grocery — from product discovery, to personalization, to merchandising, to different payment models. All of this is available across Instacart Marketplace, where consumers can shop from their favorite retailers through our app or website, and Instacart Enterprise Platform, which allows retailers to use our technology to power their own websites, apps, and retail operations.</w:t>
      </w:r>
    </w:p>
    <w:p>
      <w:pPr>
        <w:spacing w:after="0" w:line="90" w:lineRule="exact"/>
        <w:rPr>
          <w:rFonts w:ascii="Arial" w:cs="Arial" w:eastAsia="Arial" w:hAnsi="Arial"/>
          <w:sz w:val="17"/>
          <w:szCs w:val="17"/>
          <w:color w:val="auto"/>
        </w:rPr>
      </w:pPr>
    </w:p>
    <w:p>
      <w:pPr>
        <w:ind w:left="1360" w:right="80" w:hanging="396"/>
        <w:spacing w:after="0" w:line="272" w:lineRule="auto"/>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full range of fulfillment options that allow consumers to get an order in minutes, hours, or the next day — enabled by our best-in-class picking technology and community of dedicated shoppers who treat every order like their own.</w:t>
      </w:r>
    </w:p>
    <w:p>
      <w:pPr>
        <w:spacing w:after="0" w:line="76" w:lineRule="exact"/>
        <w:rPr>
          <w:rFonts w:ascii="Arial" w:cs="Arial" w:eastAsia="Arial" w:hAnsi="Arial"/>
          <w:sz w:val="17"/>
          <w:szCs w:val="17"/>
          <w:color w:val="auto"/>
        </w:rPr>
      </w:pPr>
    </w:p>
    <w:p>
      <w:pPr>
        <w:ind w:left="1360" w:hanging="396"/>
        <w:spacing w:after="0" w:line="340" w:lineRule="auto"/>
        <w:tabs>
          <w:tab w:leader="none" w:pos="1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in-store technologies, such as connected hardware like AI-powered smart carts, mobile checkout, and electronic shelf tags, that enhance the brick-and-mortar experience, where approximately 90% of shopping takes place, and help retailers invent the store of the future.</w:t>
      </w:r>
    </w:p>
    <w:p>
      <w:pPr>
        <w:spacing w:after="0" w:line="30" w:lineRule="exact"/>
        <w:rPr>
          <w:rFonts w:ascii="Arial" w:cs="Arial" w:eastAsia="Arial" w:hAnsi="Arial"/>
          <w:sz w:val="15"/>
          <w:szCs w:val="15"/>
          <w:color w:val="auto"/>
        </w:rPr>
      </w:pPr>
    </w:p>
    <w:p>
      <w:pPr>
        <w:ind w:left="1360" w:right="500" w:hanging="396"/>
        <w:spacing w:after="0" w:line="303"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advertising that helps customers find new products and opportunities to save, enables CPG brands to reach customers at the point of purchase and within minutes of delivery and consumption, and opens up new revenue streams for retailers.</w:t>
      </w:r>
    </w:p>
    <w:p>
      <w:pPr>
        <w:spacing w:after="0" w:line="54" w:lineRule="exact"/>
        <w:rPr>
          <w:rFonts w:ascii="Arial" w:cs="Arial" w:eastAsia="Arial" w:hAnsi="Arial"/>
          <w:sz w:val="16"/>
          <w:szCs w:val="16"/>
          <w:color w:val="auto"/>
        </w:rPr>
      </w:pPr>
    </w:p>
    <w:p>
      <w:pPr>
        <w:ind w:left="1360" w:hanging="396"/>
        <w:spacing w:after="0"/>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data, insights, and analytical tools that help retailers optimize operations, reduce costs, and make the best strategic decisions.</w:t>
      </w:r>
    </w:p>
    <w:p>
      <w:pPr>
        <w:spacing w:after="0" w:line="116" w:lineRule="exact"/>
        <w:rPr>
          <w:sz w:val="20"/>
          <w:szCs w:val="20"/>
          <w:color w:val="auto"/>
        </w:rPr>
      </w:pPr>
    </w:p>
    <w:p>
      <w:pPr>
        <w:ind w:left="460" w:right="160"/>
        <w:spacing w:after="0" w:line="258" w:lineRule="auto"/>
        <w:rPr>
          <w:sz w:val="20"/>
          <w:szCs w:val="20"/>
          <w:color w:val="auto"/>
        </w:rPr>
      </w:pPr>
      <w:r>
        <w:rPr>
          <w:rFonts w:ascii="Arial" w:cs="Arial" w:eastAsia="Arial" w:hAnsi="Arial"/>
          <w:sz w:val="17"/>
          <w:szCs w:val="17"/>
          <w:b w:val="1"/>
          <w:bCs w:val="1"/>
          <w:color w:val="auto"/>
        </w:rPr>
        <w:t xml:space="preserve">This transformation will play out over decades, which is why we’re making investments with a long-term focus. </w:t>
      </w:r>
      <w:r>
        <w:rPr>
          <w:rFonts w:ascii="Arial" w:cs="Arial" w:eastAsia="Arial" w:hAnsi="Arial"/>
          <w:sz w:val="17"/>
          <w:szCs w:val="17"/>
          <w:color w:val="auto"/>
        </w:rPr>
        <w:t>Every decision we make as a</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stems from a fundamental belief that, in order to succeed, we need to work together across the entire grocery industry — supporting retailers and brand partners, giving consumers an affordable, accessible, and personalized experience they can’t find anywhere else, and creating flexible earnings opportunities for shoppers.</w:t>
      </w:r>
    </w:p>
    <w:p>
      <w:pPr>
        <w:spacing w:after="0" w:line="71" w:lineRule="exact"/>
        <w:rPr>
          <w:sz w:val="20"/>
          <w:szCs w:val="20"/>
          <w:color w:val="auto"/>
        </w:rPr>
      </w:pPr>
    </w:p>
    <w:p>
      <w:pPr>
        <w:ind w:left="460" w:right="80"/>
        <w:spacing w:after="0" w:line="262" w:lineRule="auto"/>
        <w:rPr>
          <w:sz w:val="20"/>
          <w:szCs w:val="20"/>
          <w:color w:val="auto"/>
        </w:rPr>
      </w:pPr>
      <w:r>
        <w:rPr>
          <w:rFonts w:ascii="Arial" w:cs="Arial" w:eastAsia="Arial" w:hAnsi="Arial"/>
          <w:sz w:val="17"/>
          <w:szCs w:val="17"/>
          <w:b w:val="1"/>
          <w:bCs w:val="1"/>
          <w:color w:val="auto"/>
        </w:rPr>
        <w:t xml:space="preserve">We are in the business of growing our partners’ businesses, which is reflected in one of our company’s core values: “Grow the pie.” </w:t>
      </w:r>
      <w:r>
        <w:rPr>
          <w:rFonts w:ascii="Arial" w:cs="Arial" w:eastAsia="Arial" w:hAnsi="Arial"/>
          <w:sz w:val="17"/>
          <w:szCs w:val="17"/>
          <w:color w:val="auto"/>
        </w:rPr>
        <w:t>In a world</w:t>
      </w:r>
      <w:r>
        <w:rPr>
          <w:rFonts w:ascii="Arial" w:cs="Arial" w:eastAsia="Arial" w:hAnsi="Arial"/>
          <w:sz w:val="17"/>
          <w:szCs w:val="17"/>
          <w:b w:val="1"/>
          <w:bCs w:val="1"/>
          <w:color w:val="auto"/>
        </w:rPr>
        <w:t xml:space="preserve"> </w:t>
      </w:r>
      <w:r>
        <w:rPr>
          <w:rFonts w:ascii="Arial" w:cs="Arial" w:eastAsia="Arial" w:hAnsi="Arial"/>
          <w:sz w:val="17"/>
          <w:szCs w:val="17"/>
          <w:color w:val="auto"/>
        </w:rPr>
        <w:t>where success too often comes at the expense of someone else, we believe that there is more than enough to go around — and that, by working together with our retail partners, we can create more opportunities for the entire industry.</w:t>
      </w:r>
    </w:p>
    <w:p>
      <w:pPr>
        <w:spacing w:after="0" w:line="73"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At Instacart, we know technology will play a crucial part in transforming the largest retail category in the world. We also know that the future of grocery should belong to the people who make it special today — and we can help them continue to innovate.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hope you’ll join our table.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Fidji.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173355</wp:posOffset>
            </wp:positionV>
            <wp:extent cx="723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85" w:lineRule="exact"/>
        <w:rPr>
          <w:sz w:val="20"/>
          <w:szCs w:val="20"/>
          <w:color w:val="auto"/>
        </w:rPr>
      </w:pPr>
    </w:p>
    <w:p>
      <w:pPr>
        <w:ind w:left="860" w:hanging="403"/>
        <w:spacing w:after="0"/>
        <w:tabs>
          <w:tab w:leader="none" w:pos="860" w:val="left"/>
        </w:tabs>
        <w:numPr>
          <w:ilvl w:val="0"/>
          <w:numId w:val="4"/>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hanging="403"/>
        <w:spacing w:after="0" w:line="226" w:lineRule="auto"/>
        <w:tabs>
          <w:tab w:leader="none" w:pos="860" w:val="left"/>
        </w:tabs>
        <w:numPr>
          <w:ilvl w:val="0"/>
          <w:numId w:val="5"/>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860" w:hanging="403"/>
        <w:spacing w:after="0" w:line="224" w:lineRule="auto"/>
        <w:tabs>
          <w:tab w:leader="none" w:pos="860" w:val="left"/>
        </w:tabs>
        <w:numPr>
          <w:ilvl w:val="0"/>
          <w:numId w:val="6"/>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hanging="403"/>
        <w:spacing w:after="0" w:line="223" w:lineRule="auto"/>
        <w:tabs>
          <w:tab w:leader="none" w:pos="860" w:val="left"/>
        </w:tabs>
        <w:numPr>
          <w:ilvl w:val="0"/>
          <w:numId w:val="7"/>
        </w:numPr>
        <w:rPr>
          <w:rFonts w:ascii="Arial" w:cs="Arial" w:eastAsia="Arial" w:hAnsi="Arial"/>
          <w:sz w:val="10"/>
          <w:szCs w:val="10"/>
          <w:color w:val="auto"/>
        </w:rPr>
      </w:pPr>
      <w:r>
        <w:rPr>
          <w:rFonts w:ascii="Arial" w:cs="Arial" w:eastAsia="Arial" w:hAnsi="Arial"/>
          <w:sz w:val="13"/>
          <w:szCs w:val="13"/>
          <w:color w:val="auto"/>
        </w:rPr>
        <w:t>For the year ended December 31, 2022.</w:t>
      </w:r>
    </w:p>
    <w:p>
      <w:pPr>
        <w:ind w:left="860" w:hanging="403"/>
        <w:spacing w:after="0" w:line="224" w:lineRule="auto"/>
        <w:tabs>
          <w:tab w:leader="none" w:pos="860" w:val="left"/>
        </w:tabs>
        <w:numPr>
          <w:ilvl w:val="0"/>
          <w:numId w:val="8"/>
        </w:numPr>
        <w:rPr>
          <w:rFonts w:ascii="Arial" w:cs="Arial" w:eastAsia="Arial" w:hAnsi="Arial"/>
          <w:sz w:val="10"/>
          <w:szCs w:val="10"/>
          <w:color w:val="auto"/>
        </w:rPr>
      </w:pPr>
      <w:r>
        <w:rPr>
          <w:rFonts w:ascii="Arial" w:cs="Arial" w:eastAsia="Arial" w:hAnsi="Arial"/>
          <w:sz w:val="13"/>
          <w:szCs w:val="13"/>
          <w:color w:val="auto"/>
        </w:rPr>
        <w:t>Based on total online grocery sales in 2022.</w:t>
      </w:r>
    </w:p>
    <w:p>
      <w:pPr>
        <w:ind w:left="460"/>
        <w:spacing w:after="0"/>
        <w:rPr>
          <w:rFonts w:ascii="Arial" w:cs="Arial" w:eastAsia="Arial" w:hAnsi="Arial"/>
          <w:sz w:val="10"/>
          <w:szCs w:val="10"/>
          <w:color w:val="auto"/>
        </w:rPr>
      </w:pPr>
      <w:r>
        <w:rPr>
          <w:rFonts w:ascii="Arial" w:cs="Arial" w:eastAsia="Arial" w:hAnsi="Arial"/>
          <w:sz w:val="10"/>
          <w:szCs w:val="10"/>
          <w:color w:val="auto"/>
        </w:rPr>
        <w:t>8</w:t>
      </w:r>
      <w:r>
        <w:rPr>
          <w:rFonts w:ascii="Arial" w:cs="Arial" w:eastAsia="Arial" w:hAnsi="Arial"/>
          <w:sz w:val="13"/>
          <w:szCs w:val="13"/>
          <w:color w:val="auto"/>
        </w:rPr>
        <w:t>Incisiv.</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780"/>
          </w:cols>
          <w:pgMar w:left="320" w:top="440" w:right="7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633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66535" cy="5633720"/>
                    </a:xfrm>
                    <a:prstGeom prst="rect">
                      <a:avLst/>
                    </a:prstGeom>
                    <a:noFill/>
                  </pic:spPr>
                </pic:pic>
              </a:graphicData>
            </a:graphic>
          </wp:anchor>
        </w:drawing>
      </w:r>
    </w:p>
    <w:p>
      <w:pPr>
        <w:spacing w:after="0" w:line="288"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PROSPECTUS SUMMARY</w:t>
      </w:r>
    </w:p>
    <w:p>
      <w:pPr>
        <w:spacing w:after="0" w:line="214" w:lineRule="exact"/>
        <w:rPr>
          <w:sz w:val="20"/>
          <w:szCs w:val="20"/>
          <w:color w:val="auto"/>
        </w:rPr>
      </w:pPr>
    </w:p>
    <w:p>
      <w:pPr>
        <w:ind w:left="620" w:right="60" w:firstLine="399"/>
        <w:spacing w:after="0" w:line="272"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and “Instacart” refer to Maplebear Inc. and its consolidated subsidiaries.</w:t>
      </w:r>
    </w:p>
    <w:p>
      <w:pPr>
        <w:spacing w:after="0" w:line="366"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Overview</w:t>
      </w:r>
    </w:p>
    <w:p>
      <w:pPr>
        <w:spacing w:after="0" w:line="214" w:lineRule="exact"/>
        <w:rPr>
          <w:sz w:val="20"/>
          <w:szCs w:val="20"/>
          <w:color w:val="auto"/>
        </w:rPr>
      </w:pPr>
    </w:p>
    <w:p>
      <w:pPr>
        <w:ind w:left="620" w:right="560" w:firstLine="399"/>
        <w:spacing w:after="0" w:line="272" w:lineRule="auto"/>
        <w:rPr>
          <w:sz w:val="20"/>
          <w:szCs w:val="20"/>
          <w:color w:val="auto"/>
        </w:rPr>
      </w:pPr>
      <w:r>
        <w:rPr>
          <w:rFonts w:ascii="Arial" w:cs="Arial" w:eastAsia="Arial" w:hAnsi="Arial"/>
          <w:sz w:val="17"/>
          <w:szCs w:val="17"/>
          <w:color w:val="auto"/>
        </w:rPr>
        <w:t>Instacart is powering the future of grocery through technology. We partner with retailers to help them successfully navigate the digital transformation of their businesses.</w:t>
      </w:r>
    </w:p>
    <w:p>
      <w:pPr>
        <w:spacing w:after="0" w:line="165" w:lineRule="exact"/>
        <w:rPr>
          <w:sz w:val="20"/>
          <w:szCs w:val="20"/>
          <w:color w:val="auto"/>
        </w:rPr>
      </w:pPr>
    </w:p>
    <w:p>
      <w:pPr>
        <w:ind w:left="620" w:right="20" w:firstLine="399"/>
        <w:spacing w:after="0" w:line="262" w:lineRule="auto"/>
        <w:rPr>
          <w:sz w:val="20"/>
          <w:szCs w:val="20"/>
          <w:color w:val="auto"/>
        </w:rPr>
      </w:pPr>
      <w:r>
        <w:rPr>
          <w:rFonts w:ascii="Arial" w:cs="Arial" w:eastAsia="Arial" w:hAnsi="Arial"/>
          <w:sz w:val="15"/>
          <w:szCs w:val="15"/>
          <w:color w:val="auto"/>
        </w:rPr>
        <w:t>Instacart was founded in 2012 to bring the grocery industry online and help make grocery shopping effortless. We started by understanding what consumers want and then built enterprise-grade technologies that allow retailers to meet those needs. We want to enable any retailer, large or small, to drive success both online and in-store and serve their customers better in all of the ways they choose to shop. Today, more than 1,400 national, regional, and local retail banners</w:t>
      </w:r>
      <w:r>
        <w:rPr>
          <w:rFonts w:ascii="Arial" w:cs="Arial" w:eastAsia="Arial" w:hAnsi="Arial"/>
          <w:sz w:val="22"/>
          <w:szCs w:val="22"/>
          <w:color w:val="auto"/>
          <w:vertAlign w:val="superscript"/>
        </w:rPr>
        <w:t>9</w:t>
      </w:r>
      <w:r>
        <w:rPr>
          <w:rFonts w:ascii="Arial" w:cs="Arial" w:eastAsia="Arial" w:hAnsi="Arial"/>
          <w:sz w:val="15"/>
          <w:szCs w:val="15"/>
          <w:color w:val="auto"/>
        </w:rPr>
        <w:t xml:space="preserve"> that collectively represent more than 85% of the U.S. grocery market partner with Instacart.</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We have demonstrated our ability to help our retail partners drive strong growth and stay competitive in a complex and increasingly digital industry. Our GTV, representing the online sales we power for all of our retail partners, grew at a compound annual growth rate, or CAGR, of 80% between 2018 and 2022, compared to 50% for the overall online grocery market and 1% for offline grocery.</w:t>
      </w:r>
      <w:r>
        <w:rPr>
          <w:rFonts w:ascii="Arial" w:cs="Arial" w:eastAsia="Arial" w:hAnsi="Arial"/>
          <w:sz w:val="22"/>
          <w:szCs w:val="22"/>
          <w:color w:val="auto"/>
          <w:vertAlign w:val="superscript"/>
        </w:rPr>
        <w:t>11</w:t>
      </w:r>
      <w:r>
        <w:rPr>
          <w:rFonts w:ascii="Arial" w:cs="Arial" w:eastAsia="Arial" w:hAnsi="Arial"/>
          <w:sz w:val="15"/>
          <w:szCs w:val="15"/>
          <w:color w:val="auto"/>
        </w:rPr>
        <w:t xml:space="preserve"> In 2022, we generated approximately $29 billion of GTV, which makes Instacart the leading grocery technology company in North America.</w:t>
      </w:r>
      <w:r>
        <w:rPr>
          <w:rFonts w:ascii="Arial" w:cs="Arial" w:eastAsia="Arial" w:hAnsi="Arial"/>
          <w:sz w:val="22"/>
          <w:szCs w:val="22"/>
          <w:color w:val="auto"/>
          <w:vertAlign w:val="superscript"/>
        </w:rPr>
        <w:t>12</w:t>
      </w:r>
    </w:p>
    <w:p>
      <w:pPr>
        <w:spacing w:after="0" w:line="54" w:lineRule="exact"/>
        <w:rPr>
          <w:sz w:val="20"/>
          <w:szCs w:val="20"/>
          <w:color w:val="auto"/>
        </w:rPr>
      </w:pPr>
    </w:p>
    <w:p>
      <w:pPr>
        <w:ind w:left="620" w:right="40" w:firstLine="399"/>
        <w:spacing w:after="0" w:line="230" w:lineRule="auto"/>
        <w:rPr>
          <w:sz w:val="20"/>
          <w:szCs w:val="20"/>
          <w:color w:val="auto"/>
        </w:rPr>
      </w:pPr>
      <w:r>
        <w:rPr>
          <w:rFonts w:ascii="Arial" w:cs="Arial" w:eastAsia="Arial" w:hAnsi="Arial"/>
          <w:sz w:val="17"/>
          <w:szCs w:val="17"/>
          <w:color w:val="auto"/>
        </w:rPr>
        <w:t>Instacart invented a new model for online grocery shopping by giving consumers on-demand delivery from the stores they know and trust. We help our retail partners reach 7.7 million monthly active orderers who spend approximately $323 per month on average on Instacart.</w:t>
      </w:r>
      <w:r>
        <w:rPr>
          <w:rFonts w:ascii="Arial" w:cs="Arial" w:eastAsia="Arial" w:hAnsi="Arial"/>
          <w:sz w:val="25"/>
          <w:szCs w:val="25"/>
          <w:color w:val="auto"/>
          <w:vertAlign w:val="superscript"/>
        </w:rPr>
        <w:t>13</w:t>
      </w:r>
      <w:r>
        <w:rPr>
          <w:rFonts w:ascii="Arial" w:cs="Arial" w:eastAsia="Arial" w:hAnsi="Arial"/>
          <w:sz w:val="17"/>
          <w:szCs w:val="17"/>
          <w:color w:val="auto"/>
        </w:rPr>
        <w:t xml:space="preserv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in-store, ads, and insights.</w:t>
      </w:r>
    </w:p>
    <w:p>
      <w:pPr>
        <w:spacing w:after="0" w:line="191" w:lineRule="exact"/>
        <w:rPr>
          <w:sz w:val="20"/>
          <w:szCs w:val="20"/>
          <w:color w:val="auto"/>
        </w:rPr>
      </w:pPr>
    </w:p>
    <w:p>
      <w:pPr>
        <w:ind w:left="620" w:firstLine="399"/>
        <w:spacing w:after="0" w:line="296" w:lineRule="auto"/>
        <w:rPr>
          <w:sz w:val="20"/>
          <w:szCs w:val="20"/>
          <w:color w:val="auto"/>
        </w:rPr>
      </w:pPr>
      <w:r>
        <w:rPr>
          <w:rFonts w:ascii="Arial" w:cs="Arial" w:eastAsia="Arial" w:hAnsi="Arial"/>
          <w:sz w:val="15"/>
          <w:szCs w:val="15"/>
          <w:color w:val="auto"/>
        </w:rPr>
        <w:t>When shopping for groceries, consumers want selection, quality, value, and convenience, and they shop in many different ways. 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and special occasions. Customers can select the fulfillment option and speed that best serve their needs. For example, a busy parent may prefer the reliability of having their family’s groceries delivered every Sunday, but if they need a few items in the middle of the week, they can trust Instacart to deliver the items they need with priority delivery (one hour) or quick convenience (as fast as 30 minutes). Each order is shopped for and delivered with care by one of our hundreds of thousands of shoppers who value the flexible earnings opportunities that Instacart provides.</w:t>
      </w:r>
      <w:r>
        <w:rPr>
          <w:rFonts w:ascii="Arial" w:cs="Arial" w:eastAsia="Arial" w:hAnsi="Arial"/>
          <w:sz w:val="22"/>
          <w:szCs w:val="22"/>
          <w:color w:val="auto"/>
          <w:vertAlign w:val="superscript"/>
        </w:rPr>
        <w:t>14</w:t>
      </w:r>
    </w:p>
    <w:p>
      <w:pPr>
        <w:spacing w:after="0" w:line="1" w:lineRule="exact"/>
        <w:rPr>
          <w:sz w:val="20"/>
          <w:szCs w:val="20"/>
          <w:color w:val="auto"/>
        </w:rPr>
      </w:pPr>
    </w:p>
    <w:p>
      <w:pPr>
        <w:ind w:left="1020" w:hanging="392"/>
        <w:spacing w:after="0"/>
        <w:tabs>
          <w:tab w:leader="none" w:pos="1020" w:val="left"/>
        </w:tabs>
        <w:numPr>
          <w:ilvl w:val="0"/>
          <w:numId w:val="9"/>
        </w:numPr>
        <w:rPr>
          <w:rFonts w:ascii="Arial" w:cs="Arial" w:eastAsia="Arial" w:hAnsi="Arial"/>
          <w:sz w:val="10"/>
          <w:szCs w:val="10"/>
          <w:color w:val="auto"/>
        </w:rPr>
      </w:pPr>
      <w:r>
        <w:rPr>
          <w:rFonts w:ascii="Arial" w:cs="Arial" w:eastAsia="Arial" w:hAnsi="Arial"/>
          <w:sz w:val="13"/>
          <w:szCs w:val="13"/>
          <w:color w:val="auto"/>
        </w:rPr>
        <w:t>As of June 30, 2023.</w:t>
      </w:r>
    </w:p>
    <w:p>
      <w:pPr>
        <w:ind w:left="1020" w:hanging="392"/>
        <w:spacing w:after="0" w:line="226" w:lineRule="auto"/>
        <w:tabs>
          <w:tab w:leader="none" w:pos="1020" w:val="left"/>
        </w:tabs>
        <w:numPr>
          <w:ilvl w:val="0"/>
          <w:numId w:val="10"/>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1020" w:hanging="392"/>
        <w:spacing w:after="0" w:line="223" w:lineRule="auto"/>
        <w:tabs>
          <w:tab w:leader="none" w:pos="1020" w:val="left"/>
        </w:tabs>
        <w:numPr>
          <w:ilvl w:val="0"/>
          <w:numId w:val="10"/>
        </w:numPr>
        <w:rPr>
          <w:rFonts w:ascii="Arial" w:cs="Arial" w:eastAsia="Arial" w:hAnsi="Arial"/>
          <w:sz w:val="10"/>
          <w:szCs w:val="10"/>
          <w:color w:val="auto"/>
        </w:rPr>
      </w:pPr>
      <w:r>
        <w:rPr>
          <w:rFonts w:ascii="Arial" w:cs="Arial" w:eastAsia="Arial" w:hAnsi="Arial"/>
          <w:sz w:val="13"/>
          <w:szCs w:val="13"/>
          <w:color w:val="auto"/>
        </w:rPr>
        <w:t>Incisiv.</w:t>
      </w:r>
    </w:p>
    <w:p>
      <w:pPr>
        <w:ind w:left="1020" w:hanging="392"/>
        <w:spacing w:after="0" w:line="223" w:lineRule="auto"/>
        <w:tabs>
          <w:tab w:leader="none" w:pos="1020" w:val="left"/>
        </w:tabs>
        <w:numPr>
          <w:ilvl w:val="0"/>
          <w:numId w:val="10"/>
        </w:numPr>
        <w:rPr>
          <w:rFonts w:ascii="Arial" w:cs="Arial" w:eastAsia="Arial" w:hAnsi="Arial"/>
          <w:sz w:val="10"/>
          <w:szCs w:val="10"/>
          <w:color w:val="auto"/>
        </w:rPr>
      </w:pPr>
      <w:r>
        <w:rPr>
          <w:rFonts w:ascii="Arial" w:cs="Arial" w:eastAsia="Arial" w:hAnsi="Arial"/>
          <w:sz w:val="13"/>
          <w:szCs w:val="13"/>
          <w:color w:val="auto"/>
        </w:rPr>
        <w:t>Based on total online grocery sales in 2022.</w:t>
      </w:r>
    </w:p>
    <w:p>
      <w:pPr>
        <w:ind w:left="1020" w:hanging="392"/>
        <w:spacing w:after="0" w:line="223" w:lineRule="auto"/>
        <w:tabs>
          <w:tab w:leader="none" w:pos="1020" w:val="left"/>
        </w:tabs>
        <w:numPr>
          <w:ilvl w:val="0"/>
          <w:numId w:val="10"/>
        </w:numPr>
        <w:rPr>
          <w:rFonts w:ascii="Arial" w:cs="Arial" w:eastAsia="Arial" w:hAnsi="Arial"/>
          <w:sz w:val="10"/>
          <w:szCs w:val="10"/>
          <w:color w:val="auto"/>
        </w:rPr>
      </w:pPr>
      <w:r>
        <w:rPr>
          <w:rFonts w:ascii="Arial" w:cs="Arial" w:eastAsia="Arial" w:hAnsi="Arial"/>
          <w:sz w:val="13"/>
          <w:szCs w:val="13"/>
          <w:color w:val="auto"/>
        </w:rPr>
        <w:t>Monthly active orderers for the month ended June 30, 2023. Average monthly spend for the quarter ended June 30, 2023.</w:t>
      </w:r>
    </w:p>
    <w:p>
      <w:pPr>
        <w:ind w:left="1020" w:hanging="392"/>
        <w:spacing w:after="0"/>
        <w:tabs>
          <w:tab w:leader="none" w:pos="1020" w:val="left"/>
        </w:tabs>
        <w:numPr>
          <w:ilvl w:val="0"/>
          <w:numId w:val="10"/>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320" w:top="440" w:right="9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561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6535" cy="5561330"/>
                    </a:xfrm>
                    <a:prstGeom prst="rect">
                      <a:avLst/>
                    </a:prstGeom>
                    <a:noFill/>
                  </pic:spPr>
                </pic:pic>
              </a:graphicData>
            </a:graphic>
          </wp:anchor>
        </w:drawing>
      </w:r>
    </w:p>
    <w:p>
      <w:pPr>
        <w:spacing w:after="0" w:line="292" w:lineRule="exact"/>
        <w:rPr>
          <w:sz w:val="20"/>
          <w:szCs w:val="20"/>
          <w:color w:val="auto"/>
        </w:rPr>
      </w:pPr>
    </w:p>
    <w:p>
      <w:pPr>
        <w:ind w:left="620" w:right="60" w:firstLine="399"/>
        <w:spacing w:after="0" w:line="225" w:lineRule="auto"/>
        <w:rPr>
          <w:sz w:val="20"/>
          <w:szCs w:val="20"/>
          <w:color w:val="auto"/>
        </w:rPr>
      </w:pPr>
      <w:r>
        <w:rPr>
          <w:rFonts w:ascii="Arial" w:cs="Arial" w:eastAsia="Arial" w:hAnsi="Arial"/>
          <w:sz w:val="17"/>
          <w:szCs w:val="17"/>
          <w:color w:val="auto"/>
        </w:rPr>
        <w:t>As consumers and retailers move online, CPG brands can use Instacart Ads as a new way to reach customers at the point of purchase and within minutes of delivery and consumption. Today, over 5,500 brands are using Instacart Ads and are now more easily discoverable as customers fill their digital carts.</w:t>
      </w:r>
      <w:r>
        <w:rPr>
          <w:rFonts w:ascii="Arial" w:cs="Arial" w:eastAsia="Arial" w:hAnsi="Arial"/>
          <w:sz w:val="25"/>
          <w:szCs w:val="25"/>
          <w:color w:val="auto"/>
          <w:vertAlign w:val="superscript"/>
        </w:rPr>
        <w:t>15</w:t>
      </w:r>
      <w:r>
        <w:rPr>
          <w:rFonts w:ascii="Arial" w:cs="Arial" w:eastAsia="Arial" w:hAnsi="Arial"/>
          <w:sz w:val="17"/>
          <w:szCs w:val="17"/>
          <w:color w:val="auto"/>
        </w:rPr>
        <w:t xml:space="preserve"> Instacart Ads offers brands a highly measurable ads offering that leverages first-party transaction data to move products off of store shelves more efficiently.</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Future of Grocery</w:t>
      </w:r>
    </w:p>
    <w:p>
      <w:pPr>
        <w:spacing w:after="0" w:line="108" w:lineRule="exact"/>
        <w:rPr>
          <w:sz w:val="20"/>
          <w:szCs w:val="20"/>
          <w:color w:val="auto"/>
        </w:rPr>
      </w:pPr>
    </w:p>
    <w:p>
      <w:pPr>
        <w:ind w:left="620" w:firstLine="399"/>
        <w:spacing w:after="0" w:line="290" w:lineRule="auto"/>
        <w:rPr>
          <w:sz w:val="20"/>
          <w:szCs w:val="20"/>
          <w:color w:val="auto"/>
        </w:rPr>
      </w:pPr>
      <w:r>
        <w:rPr>
          <w:rFonts w:ascii="Arial" w:cs="Arial" w:eastAsia="Arial" w:hAnsi="Arial"/>
          <w:sz w:val="15"/>
          <w:szCs w:val="15"/>
          <w:color w:val="auto"/>
        </w:rPr>
        <w:t>We believe the future of grocery is about helping consumers find products they love from retailers they trust, no matter where they are or how they choose to shop. Grocery is the largest category in all of retail, with an annual spend of approximately $1.1 trillion in the United States in</w:t>
      </w:r>
    </w:p>
    <w:p>
      <w:pPr>
        <w:ind w:left="620" w:right="40"/>
        <w:spacing w:after="0" w:line="189" w:lineRule="auto"/>
        <w:rPr>
          <w:sz w:val="20"/>
          <w:szCs w:val="20"/>
          <w:color w:val="auto"/>
        </w:rPr>
      </w:pPr>
      <w:r>
        <w:rPr>
          <w:rFonts w:ascii="Arial" w:cs="Arial" w:eastAsia="Arial" w:hAnsi="Arial"/>
          <w:sz w:val="17"/>
          <w:szCs w:val="17"/>
          <w:color w:val="auto"/>
        </w:rPr>
        <w:t>2022.</w:t>
      </w:r>
      <w:r>
        <w:rPr>
          <w:rFonts w:ascii="Arial" w:cs="Arial" w:eastAsia="Arial" w:hAnsi="Arial"/>
          <w:sz w:val="25"/>
          <w:szCs w:val="25"/>
          <w:color w:val="auto"/>
          <w:vertAlign w:val="superscript"/>
        </w:rPr>
        <w:t>16</w:t>
      </w:r>
      <w:r>
        <w:rPr>
          <w:rFonts w:ascii="Arial" w:cs="Arial" w:eastAsia="Arial" w:hAnsi="Arial"/>
          <w:sz w:val="17"/>
          <w:szCs w:val="17"/>
          <w:color w:val="auto"/>
        </w:rPr>
        <w:t xml:space="preserve"> Despite the size of the market, grocery has historically been significantly slower to move online compared to other consumer categories. In 2022, only 12% of U.S. grocery shopping took place online,</w:t>
      </w:r>
      <w:r>
        <w:rPr>
          <w:rFonts w:ascii="Arial" w:cs="Arial" w:eastAsia="Arial" w:hAnsi="Arial"/>
          <w:sz w:val="25"/>
          <w:szCs w:val="25"/>
          <w:color w:val="auto"/>
          <w:vertAlign w:val="superscript"/>
        </w:rPr>
        <w:t>17</w:t>
      </w:r>
      <w:r>
        <w:rPr>
          <w:rFonts w:ascii="Arial" w:cs="Arial" w:eastAsia="Arial" w:hAnsi="Arial"/>
          <w:sz w:val="17"/>
          <w:szCs w:val="17"/>
          <w:color w:val="auto"/>
        </w:rPr>
        <w:t xml:space="preserve"> compared to 66% of consumer electronics, 38% of apparel, 23% of consumer foodservice, and 20% of home goods.</w:t>
      </w:r>
      <w:r>
        <w:rPr>
          <w:rFonts w:ascii="Arial" w:cs="Arial" w:eastAsia="Arial" w:hAnsi="Arial"/>
          <w:sz w:val="25"/>
          <w:szCs w:val="25"/>
          <w:color w:val="auto"/>
          <w:vertAlign w:val="superscript"/>
        </w:rPr>
        <w:t>18</w:t>
      </w:r>
      <w:r>
        <w:rPr>
          <w:rFonts w:ascii="Arial" w:cs="Arial" w:eastAsia="Arial" w:hAnsi="Arial"/>
          <w:sz w:val="17"/>
          <w:szCs w:val="17"/>
          <w:color w:val="auto"/>
        </w:rPr>
        <w:t xml:space="preserve"> Over the past three years, this spend shifted from offline to online at an accelerated pace. Online grocery penetration took 10 years to triple from 1% of total grocery sales in 2009</w:t>
      </w:r>
      <w:r>
        <w:rPr>
          <w:rFonts w:ascii="Arial" w:cs="Arial" w:eastAsia="Arial" w:hAnsi="Arial"/>
          <w:sz w:val="25"/>
          <w:szCs w:val="25"/>
          <w:color w:val="auto"/>
          <w:vertAlign w:val="superscript"/>
        </w:rPr>
        <w:t>19</w:t>
      </w:r>
      <w:r>
        <w:rPr>
          <w:rFonts w:ascii="Arial" w:cs="Arial" w:eastAsia="Arial" w:hAnsi="Arial"/>
          <w:sz w:val="17"/>
          <w:szCs w:val="17"/>
          <w:color w:val="auto"/>
        </w:rPr>
        <w:t xml:space="preserve"> to 3% in 2019 and just three years to quadruple to 12% in 2022.</w:t>
      </w:r>
      <w:r>
        <w:rPr>
          <w:rFonts w:ascii="Arial" w:cs="Arial" w:eastAsia="Arial" w:hAnsi="Arial"/>
          <w:sz w:val="25"/>
          <w:szCs w:val="25"/>
          <w:color w:val="auto"/>
          <w:vertAlign w:val="superscript"/>
        </w:rPr>
        <w:t>20</w:t>
      </w:r>
      <w:r>
        <w:rPr>
          <w:rFonts w:ascii="Arial" w:cs="Arial" w:eastAsia="Arial" w:hAnsi="Arial"/>
          <w:sz w:val="17"/>
          <w:szCs w:val="17"/>
          <w:color w:val="auto"/>
        </w:rPr>
        <w:t xml:space="preserve"> Market penetration could double or more over time.</w:t>
      </w:r>
      <w:r>
        <w:rPr>
          <w:rFonts w:ascii="Arial" w:cs="Arial" w:eastAsia="Arial" w:hAnsi="Arial"/>
          <w:sz w:val="25"/>
          <w:szCs w:val="25"/>
          <w:color w:val="auto"/>
          <w:vertAlign w:val="superscript"/>
        </w:rPr>
        <w:t>21</w:t>
      </w:r>
    </w:p>
    <w:p>
      <w:pPr>
        <w:spacing w:after="0" w:line="72" w:lineRule="exact"/>
        <w:rPr>
          <w:sz w:val="20"/>
          <w:szCs w:val="20"/>
          <w:color w:val="auto"/>
        </w:rPr>
      </w:pPr>
    </w:p>
    <w:p>
      <w:pPr>
        <w:ind w:left="620" w:right="20" w:firstLine="399"/>
        <w:spacing w:after="0" w:line="253" w:lineRule="auto"/>
        <w:rPr>
          <w:sz w:val="20"/>
          <w:szCs w:val="20"/>
          <w:color w:val="auto"/>
        </w:rPr>
      </w:pPr>
      <w:r>
        <w:rPr>
          <w:rFonts w:ascii="Arial" w:cs="Arial" w:eastAsia="Arial" w:hAnsi="Arial"/>
          <w:sz w:val="17"/>
          <w:szCs w:val="17"/>
          <w:color w:val="auto"/>
        </w:rPr>
        <w:t>For grocery retailers, this means that online success is critical, and all grocers from large national players to local mainstays must prepare for a future where all aspects of their business, including their stores, will be improved through technology. Compared to other industries, however, grocery is difficult to digitize. Grocery retail is characterized by diverse consumer behaviors, complex inventory management and fulfillment, lack of integrated omni-channel data, a shortage of technology that is custom-built for online grocery, a disaggregated supply chain, and a low operating margin. Before Instacart, grocery retailers did not have access to a unified technology solution to manage eCommerce, fulfillment, in-store, ads, and insights. Instacart is solving this problem.</w:t>
      </w:r>
    </w:p>
    <w:p>
      <w:pPr>
        <w:spacing w:after="0" w:line="2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Instacart Technology</w:t>
      </w:r>
    </w:p>
    <w:p>
      <w:pPr>
        <w:spacing w:after="0" w:line="108" w:lineRule="exact"/>
        <w:rPr>
          <w:sz w:val="20"/>
          <w:szCs w:val="20"/>
          <w:color w:val="auto"/>
        </w:rPr>
      </w:pPr>
    </w:p>
    <w:p>
      <w:pPr>
        <w:ind w:left="620" w:right="120" w:firstLine="399"/>
        <w:spacing w:after="0" w:line="274" w:lineRule="auto"/>
        <w:rPr>
          <w:sz w:val="20"/>
          <w:szCs w:val="20"/>
          <w:color w:val="auto"/>
        </w:rPr>
      </w:pPr>
      <w:r>
        <w:rPr>
          <w:rFonts w:ascii="Arial" w:cs="Arial" w:eastAsia="Arial" w:hAnsi="Arial"/>
          <w:sz w:val="16"/>
          <w:szCs w:val="16"/>
          <w:color w:val="auto"/>
        </w:rPr>
        <w:t>Grocery retailers have earned the trust and loyalty of consumers over generations by offering selection, quality, value, and convenience. For more than a decade, we have invested in technology that is custom-built for online grocery. We believe our scaled marketplace provides us with unique insights into the needs of the online grocery consumer. Our strategy is to put our technology capabilities and consumer insights into the hands of our retail partners. We are investing more in technology custom-built for online grocery than any single grocer could on their own, allowing grocers to leverage our scale and investments to grow their businesses.</w:t>
      </w:r>
    </w:p>
    <w:p>
      <w:pPr>
        <w:spacing w:after="0" w:line="165" w:lineRule="exact"/>
        <w:rPr>
          <w:sz w:val="20"/>
          <w:szCs w:val="20"/>
          <w:color w:val="auto"/>
        </w:rPr>
      </w:pPr>
    </w:p>
    <w:p>
      <w:pPr>
        <w:ind w:left="620" w:right="20" w:firstLine="399"/>
        <w:spacing w:after="0" w:line="260" w:lineRule="auto"/>
        <w:rPr>
          <w:sz w:val="20"/>
          <w:szCs w:val="20"/>
          <w:color w:val="auto"/>
        </w:rPr>
      </w:pPr>
      <w:r>
        <w:rPr>
          <w:rFonts w:ascii="Arial" w:cs="Arial" w:eastAsia="Arial" w:hAnsi="Arial"/>
          <w:sz w:val="17"/>
          <w:szCs w:val="17"/>
          <w:color w:val="auto"/>
        </w:rPr>
        <w:t>Our technology solutions are better together. Instacart Marketplace has powered hundreds of millions of orders consisting of billions of items placed by millions of customers. This scale gives us unique insights into customer buying behavior, needs, and trends across the entire grocery industry in North America. We then utilize</w:t>
      </w:r>
    </w:p>
    <w:p>
      <w:pPr>
        <w:spacing w:after="0" w:line="144" w:lineRule="exact"/>
        <w:rPr>
          <w:sz w:val="20"/>
          <w:szCs w:val="20"/>
          <w:color w:val="auto"/>
        </w:rPr>
      </w:pPr>
    </w:p>
    <w:p>
      <w:pPr>
        <w:ind w:left="1020" w:hanging="392"/>
        <w:spacing w:after="0"/>
        <w:tabs>
          <w:tab w:leader="none" w:pos="1020" w:val="left"/>
        </w:tabs>
        <w:numPr>
          <w:ilvl w:val="0"/>
          <w:numId w:val="11"/>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1020" w:hanging="392"/>
        <w:spacing w:after="0" w:line="223" w:lineRule="auto"/>
        <w:tabs>
          <w:tab w:leader="none" w:pos="1020" w:val="left"/>
        </w:tabs>
        <w:numPr>
          <w:ilvl w:val="0"/>
          <w:numId w:val="11"/>
        </w:numPr>
        <w:rPr>
          <w:rFonts w:ascii="Arial" w:cs="Arial" w:eastAsia="Arial" w:hAnsi="Arial"/>
          <w:sz w:val="10"/>
          <w:szCs w:val="10"/>
          <w:color w:val="auto"/>
        </w:rPr>
      </w:pPr>
      <w:r>
        <w:rPr>
          <w:rFonts w:ascii="Arial" w:cs="Arial" w:eastAsia="Arial" w:hAnsi="Arial"/>
          <w:sz w:val="13"/>
          <w:szCs w:val="13"/>
          <w:color w:val="auto"/>
        </w:rPr>
        <w:t>Incisiv.</w:t>
      </w:r>
    </w:p>
    <w:p>
      <w:pPr>
        <w:ind w:left="1020" w:hanging="392"/>
        <w:spacing w:after="0" w:line="223" w:lineRule="auto"/>
        <w:tabs>
          <w:tab w:leader="none" w:pos="1020" w:val="left"/>
        </w:tabs>
        <w:numPr>
          <w:ilvl w:val="0"/>
          <w:numId w:val="11"/>
        </w:numPr>
        <w:rPr>
          <w:rFonts w:ascii="Arial" w:cs="Arial" w:eastAsia="Arial" w:hAnsi="Arial"/>
          <w:sz w:val="10"/>
          <w:szCs w:val="10"/>
          <w:color w:val="auto"/>
        </w:rPr>
      </w:pPr>
      <w:r>
        <w:rPr>
          <w:rFonts w:ascii="Arial" w:cs="Arial" w:eastAsia="Arial" w:hAnsi="Arial"/>
          <w:sz w:val="13"/>
          <w:szCs w:val="13"/>
          <w:color w:val="auto"/>
        </w:rPr>
        <w:t>Incisiv.</w:t>
      </w:r>
    </w:p>
    <w:p>
      <w:pPr>
        <w:ind w:left="1020" w:hanging="392"/>
        <w:spacing w:after="0" w:line="223" w:lineRule="auto"/>
        <w:tabs>
          <w:tab w:leader="none" w:pos="1020" w:val="left"/>
        </w:tabs>
        <w:numPr>
          <w:ilvl w:val="0"/>
          <w:numId w:val="11"/>
        </w:numPr>
        <w:rPr>
          <w:rFonts w:ascii="Arial" w:cs="Arial" w:eastAsia="Arial" w:hAnsi="Arial"/>
          <w:sz w:val="10"/>
          <w:szCs w:val="10"/>
          <w:color w:val="auto"/>
        </w:rPr>
      </w:pPr>
      <w:r>
        <w:rPr>
          <w:rFonts w:ascii="Arial" w:cs="Arial" w:eastAsia="Arial" w:hAnsi="Arial"/>
          <w:sz w:val="13"/>
          <w:szCs w:val="13"/>
          <w:color w:val="auto"/>
        </w:rPr>
        <w:t xml:space="preserve">Euromonitor, </w:t>
      </w:r>
      <w:r>
        <w:rPr>
          <w:rFonts w:ascii="Arial" w:cs="Arial" w:eastAsia="Arial" w:hAnsi="Arial"/>
          <w:sz w:val="13"/>
          <w:szCs w:val="13"/>
          <w:i w:val="1"/>
          <w:iCs w:val="1"/>
          <w:color w:val="auto"/>
        </w:rPr>
        <w:t>Retail</w:t>
      </w:r>
      <w:r>
        <w:rPr>
          <w:rFonts w:ascii="Arial" w:cs="Arial" w:eastAsia="Arial" w:hAnsi="Arial"/>
          <w:sz w:val="13"/>
          <w:szCs w:val="13"/>
          <w:color w:val="auto"/>
        </w:rPr>
        <w:t xml:space="preserve"> (2023 edition), </w:t>
      </w:r>
      <w:r>
        <w:rPr>
          <w:rFonts w:ascii="Arial" w:cs="Arial" w:eastAsia="Arial" w:hAnsi="Arial"/>
          <w:sz w:val="13"/>
          <w:szCs w:val="13"/>
          <w:i w:val="1"/>
          <w:iCs w:val="1"/>
          <w:color w:val="auto"/>
        </w:rPr>
        <w:t>Consumer Foodservice</w:t>
      </w:r>
      <w:r>
        <w:rPr>
          <w:rFonts w:ascii="Arial" w:cs="Arial" w:eastAsia="Arial" w:hAnsi="Arial"/>
          <w:sz w:val="13"/>
          <w:szCs w:val="13"/>
          <w:color w:val="auto"/>
        </w:rPr>
        <w:t xml:space="preserve"> (2023 edition); categories: Consumer Electronics, Consumer Electronics E-Commerce, Apparel and Footwear, Apparel and Footwear E-Commerce, Homewares and Home Furnishings, Homewares and Home Furnishings E-Commerce, Consumer Foodservice by Type, categorization type: online and total; Consumer Foodservice by Type covers Foodservice Value retail selling price, or RSP, data for the Retail Categories covers Retail Value RSP excluding Sales Tax; U.S. dollars, or USD, current prices.</w:t>
      </w:r>
    </w:p>
    <w:p>
      <w:pPr>
        <w:spacing w:after="0" w:line="1" w:lineRule="exact"/>
        <w:rPr>
          <w:rFonts w:ascii="Arial" w:cs="Arial" w:eastAsia="Arial" w:hAnsi="Arial"/>
          <w:sz w:val="10"/>
          <w:szCs w:val="10"/>
          <w:color w:val="auto"/>
        </w:rPr>
      </w:pPr>
    </w:p>
    <w:p>
      <w:pPr>
        <w:ind w:left="1020" w:right="180" w:hanging="392"/>
        <w:spacing w:after="0" w:line="242" w:lineRule="auto"/>
        <w:tabs>
          <w:tab w:leader="none" w:pos="1020" w:val="left"/>
        </w:tabs>
        <w:numPr>
          <w:ilvl w:val="0"/>
          <w:numId w:val="11"/>
        </w:numPr>
        <w:rPr>
          <w:rFonts w:ascii="Arial" w:cs="Arial" w:eastAsia="Arial" w:hAnsi="Arial"/>
          <w:sz w:val="9"/>
          <w:szCs w:val="9"/>
          <w:color w:val="auto"/>
        </w:rPr>
      </w:pPr>
      <w:r>
        <w:rPr>
          <w:rFonts w:ascii="Arial" w:cs="Arial" w:eastAsia="Arial" w:hAnsi="Arial"/>
          <w:sz w:val="12"/>
          <w:szCs w:val="12"/>
          <w:color w:val="auto"/>
        </w:rPr>
        <w:t xml:space="preserve">Euromonitor, </w:t>
      </w:r>
      <w:r>
        <w:rPr>
          <w:rFonts w:ascii="Arial" w:cs="Arial" w:eastAsia="Arial" w:hAnsi="Arial"/>
          <w:sz w:val="12"/>
          <w:szCs w:val="12"/>
          <w:i w:val="1"/>
          <w:iCs w:val="1"/>
          <w:color w:val="auto"/>
        </w:rPr>
        <w:t>Retail</w:t>
      </w:r>
      <w:r>
        <w:rPr>
          <w:rFonts w:ascii="Arial" w:cs="Arial" w:eastAsia="Arial" w:hAnsi="Arial"/>
          <w:sz w:val="12"/>
          <w:szCs w:val="12"/>
          <w:color w:val="auto"/>
        </w:rPr>
        <w:t xml:space="preserve"> (2023 edition), categories: Food E-Commerce and Drinks and Tobacco E-Commerce 2009 retail value RSP in USD, excluding sales tax, current terms; calculated as a percentage of total Grocery Retailers, Food E-Commerce, and Drinks and Tobacco E-Commerce combined 2009 retail value RSP in USD, excluding sales tax.</w:t>
      </w:r>
    </w:p>
    <w:p>
      <w:pPr>
        <w:ind w:left="1020" w:hanging="392"/>
        <w:spacing w:after="0" w:line="223" w:lineRule="auto"/>
        <w:tabs>
          <w:tab w:leader="none" w:pos="1020" w:val="left"/>
        </w:tabs>
        <w:numPr>
          <w:ilvl w:val="0"/>
          <w:numId w:val="11"/>
        </w:numPr>
        <w:rPr>
          <w:rFonts w:ascii="Arial" w:cs="Arial" w:eastAsia="Arial" w:hAnsi="Arial"/>
          <w:sz w:val="10"/>
          <w:szCs w:val="10"/>
          <w:color w:val="auto"/>
        </w:rPr>
      </w:pPr>
      <w:r>
        <w:rPr>
          <w:rFonts w:ascii="Arial" w:cs="Arial" w:eastAsia="Arial" w:hAnsi="Arial"/>
          <w:sz w:val="13"/>
          <w:szCs w:val="13"/>
          <w:color w:val="auto"/>
        </w:rPr>
        <w:t>Incisiv.</w:t>
      </w:r>
    </w:p>
    <w:p>
      <w:pPr>
        <w:ind w:left="1020" w:hanging="392"/>
        <w:spacing w:after="0"/>
        <w:tabs>
          <w:tab w:leader="none" w:pos="1020" w:val="left"/>
        </w:tabs>
        <w:numPr>
          <w:ilvl w:val="0"/>
          <w:numId w:val="11"/>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00"/>
          </w:cols>
          <w:pgMar w:left="320" w:top="440" w:right="97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175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6535" cy="5175250"/>
                    </a:xfrm>
                    <a:prstGeom prst="rect">
                      <a:avLst/>
                    </a:prstGeom>
                    <a:noFill/>
                  </pic:spPr>
                </pic:pic>
              </a:graphicData>
            </a:graphic>
          </wp:anchor>
        </w:drawing>
      </w:r>
    </w:p>
    <w:p>
      <w:pPr>
        <w:spacing w:after="0" w:line="292" w:lineRule="exact"/>
        <w:rPr>
          <w:sz w:val="20"/>
          <w:szCs w:val="20"/>
          <w:color w:val="auto"/>
        </w:rPr>
      </w:pPr>
    </w:p>
    <w:p>
      <w:pPr>
        <w:ind w:left="620" w:right="100"/>
        <w:spacing w:after="0" w:line="291" w:lineRule="auto"/>
        <w:rPr>
          <w:sz w:val="20"/>
          <w:szCs w:val="20"/>
          <w:color w:val="auto"/>
        </w:rPr>
      </w:pPr>
      <w:r>
        <w:rPr>
          <w:rFonts w:ascii="Arial" w:cs="Arial" w:eastAsia="Arial" w:hAnsi="Arial"/>
          <w:sz w:val="15"/>
          <w:szCs w:val="15"/>
          <w:color w:val="auto"/>
        </w:rPr>
        <w:t>these insights to enhance Instacart Enterprise Platform, ensuring retailers can best meet their customers’ needs on their owned and operated online storefronts. Similarly, Instacart Enterprise Platform enhances Instacart Marketplace, as our deep integration with retailers allows us to expand marketplace capabilities for our customers. As we continue to scale and refine our technology and data insights across Instacart Marketplace and Instacart Enterprise Platform, our algorithms continuously improve to provide significant benefits, including better search results and recommendations, intelligent replacements, and more seamless checkout flows, among others. Many of these benefits also enhance the value delivered to our brand partners — for example, in the second quarter of 2023, we helped customers discover over 180 million items through recommendations. This draws more brands to Instacart Ads, which yields benefits for Instacart Marketplace and Instacart Enterprise Platform.</w:t>
      </w:r>
    </w:p>
    <w:p>
      <w:pPr>
        <w:spacing w:after="0" w:line="68" w:lineRule="exact"/>
        <w:rPr>
          <w:sz w:val="20"/>
          <w:szCs w:val="20"/>
          <w:color w:val="auto"/>
        </w:rPr>
      </w:pPr>
    </w:p>
    <w:p>
      <w:pPr>
        <w:ind w:left="1500" w:right="580" w:hanging="479"/>
        <w:spacing w:after="0" w:line="264" w:lineRule="auto"/>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Instacart Marketplace</w:t>
      </w:r>
      <w:r>
        <w:rPr>
          <w:rFonts w:ascii="Arial" w:cs="Arial" w:eastAsia="Arial" w:hAnsi="Arial"/>
          <w:sz w:val="17"/>
          <w:szCs w:val="17"/>
          <w:color w:val="auto"/>
        </w:rPr>
        <w:t>. Connects customers to their favorite national, regional, and local retailers on the largest online grocery</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 in North America through our mobile app or website.</w:t>
      </w:r>
      <w:r>
        <w:rPr>
          <w:rFonts w:ascii="Arial" w:cs="Arial" w:eastAsia="Arial" w:hAnsi="Arial"/>
          <w:sz w:val="25"/>
          <w:szCs w:val="25"/>
          <w:color w:val="auto"/>
          <w:vertAlign w:val="superscript"/>
        </w:rPr>
        <w:t>22</w:t>
      </w:r>
    </w:p>
    <w:p>
      <w:pPr>
        <w:spacing w:after="0" w:line="1" w:lineRule="exact"/>
        <w:rPr>
          <w:rFonts w:ascii="Arial" w:cs="Arial" w:eastAsia="Arial" w:hAnsi="Arial"/>
          <w:sz w:val="17"/>
          <w:szCs w:val="17"/>
          <w:color w:val="auto"/>
        </w:rPr>
      </w:pPr>
    </w:p>
    <w:p>
      <w:pPr>
        <w:ind w:left="1500" w:right="440" w:hanging="479"/>
        <w:spacing w:after="0" w:line="254" w:lineRule="auto"/>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Instacart Enterprise Platform</w:t>
      </w:r>
      <w:r>
        <w:rPr>
          <w:rFonts w:ascii="Arial" w:cs="Arial" w:eastAsia="Arial" w:hAnsi="Arial"/>
          <w:sz w:val="17"/>
          <w:szCs w:val="17"/>
          <w:color w:val="auto"/>
        </w:rPr>
        <w:t>. Provides retailers with a suite of enterprise-grade technologies that span eCommerce, fulfillment,</w:t>
      </w:r>
      <w:r>
        <w:rPr>
          <w:rFonts w:ascii="Arial" w:cs="Arial" w:eastAsia="Arial" w:hAnsi="Arial"/>
          <w:sz w:val="17"/>
          <w:szCs w:val="17"/>
          <w:i w:val="1"/>
          <w:iCs w:val="1"/>
          <w:color w:val="auto"/>
        </w:rPr>
        <w:t xml:space="preserve"> </w:t>
      </w:r>
      <w:r>
        <w:rPr>
          <w:rFonts w:ascii="Arial" w:cs="Arial" w:eastAsia="Arial" w:hAnsi="Arial"/>
          <w:sz w:val="17"/>
          <w:szCs w:val="17"/>
          <w:color w:val="auto"/>
        </w:rPr>
        <w:t>in-store, ads, and insights.</w:t>
      </w:r>
    </w:p>
    <w:p>
      <w:pPr>
        <w:spacing w:after="0" w:line="91" w:lineRule="exact"/>
        <w:rPr>
          <w:rFonts w:ascii="Arial" w:cs="Arial" w:eastAsia="Arial" w:hAnsi="Arial"/>
          <w:sz w:val="17"/>
          <w:szCs w:val="17"/>
          <w:color w:val="auto"/>
        </w:rPr>
      </w:pPr>
    </w:p>
    <w:p>
      <w:pPr>
        <w:ind w:left="1500" w:right="320" w:hanging="479"/>
        <w:spacing w:after="0" w:line="260" w:lineRule="auto"/>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Instacart Ads</w:t>
      </w:r>
      <w:r>
        <w:rPr>
          <w:rFonts w:ascii="Arial" w:cs="Arial" w:eastAsia="Arial" w:hAnsi="Arial"/>
          <w:sz w:val="17"/>
          <w:szCs w:val="17"/>
          <w:color w:val="auto"/>
        </w:rPr>
        <w:t>. Allows CPG brands to drive sales by engaging with customers who are actively shopping for products on Instacart,</w:t>
      </w:r>
      <w:r>
        <w:rPr>
          <w:rFonts w:ascii="Arial" w:cs="Arial" w:eastAsia="Arial" w:hAnsi="Arial"/>
          <w:sz w:val="17"/>
          <w:szCs w:val="17"/>
          <w:i w:val="1"/>
          <w:iCs w:val="1"/>
          <w:color w:val="auto"/>
        </w:rPr>
        <w:t xml:space="preserve"> </w:t>
      </w:r>
      <w:r>
        <w:rPr>
          <w:rFonts w:ascii="Arial" w:cs="Arial" w:eastAsia="Arial" w:hAnsi="Arial"/>
          <w:sz w:val="17"/>
          <w:szCs w:val="17"/>
          <w:color w:val="auto"/>
        </w:rPr>
        <w:t>whom we refer to as high-intent customers, in a highly measurable and targeted way while also providing savings and product discovery to customers through our leading digital advertising solutions and insights.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Instacart is built for the entire grocery ecosystem, improving the experiences for each of our constituents and helping them succeed:</w:t>
      </w:r>
    </w:p>
    <w:p>
      <w:pPr>
        <w:spacing w:after="0" w:line="133" w:lineRule="exact"/>
        <w:rPr>
          <w:sz w:val="20"/>
          <w:szCs w:val="20"/>
          <w:color w:val="auto"/>
        </w:rPr>
      </w:pPr>
    </w:p>
    <w:p>
      <w:pPr>
        <w:ind w:left="1500" w:right="100" w:hanging="479"/>
        <w:spacing w:after="0" w:line="236" w:lineRule="auto"/>
        <w:tabs>
          <w:tab w:leader="none" w:pos="15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Retailers</w:t>
      </w:r>
      <w:r>
        <w:rPr>
          <w:rFonts w:ascii="Arial" w:cs="Arial" w:eastAsia="Arial" w:hAnsi="Arial"/>
          <w:sz w:val="15"/>
          <w:szCs w:val="15"/>
          <w:color w:val="auto"/>
        </w:rPr>
        <w:t>. We enable more than 1,400 retail banners to grow by providing technology that can accelerate the digital transformation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their entire business.</w:t>
      </w:r>
      <w:r>
        <w:rPr>
          <w:rFonts w:ascii="Arial" w:cs="Arial" w:eastAsia="Arial" w:hAnsi="Arial"/>
          <w:sz w:val="22"/>
          <w:szCs w:val="22"/>
          <w:color w:val="auto"/>
          <w:vertAlign w:val="superscript"/>
        </w:rPr>
        <w:t>23</w:t>
      </w:r>
      <w:r>
        <w:rPr>
          <w:rFonts w:ascii="Arial" w:cs="Arial" w:eastAsia="Arial" w:hAnsi="Arial"/>
          <w:sz w:val="15"/>
          <w:szCs w:val="15"/>
          <w:color w:val="auto"/>
        </w:rPr>
        <w:t xml:space="preserve"> Our retail partners include national leaders such as Costco, regional favorites such as Wegmans, and local</w:t>
      </w:r>
    </w:p>
    <w:p>
      <w:pPr>
        <w:spacing w:after="0" w:line="1" w:lineRule="exact"/>
        <w:rPr>
          <w:sz w:val="20"/>
          <w:szCs w:val="20"/>
          <w:color w:val="auto"/>
        </w:rPr>
      </w:pPr>
    </w:p>
    <w:p>
      <w:pPr>
        <w:ind w:left="1500" w:right="140"/>
        <w:spacing w:after="0" w:line="257" w:lineRule="auto"/>
        <w:rPr>
          <w:sz w:val="20"/>
          <w:szCs w:val="20"/>
          <w:color w:val="auto"/>
        </w:rPr>
      </w:pPr>
      <w:r>
        <w:rPr>
          <w:rFonts w:ascii="Arial" w:cs="Arial" w:eastAsia="Arial" w:hAnsi="Arial"/>
          <w:sz w:val="17"/>
          <w:szCs w:val="17"/>
          <w:color w:val="auto"/>
        </w:rPr>
        <w:t>mainstays like . We estimate that the sales volume we power for our top 20 retail partners represented 5.0% of their total sales in 2022, up from 0.6% in 2018.</w:t>
      </w:r>
      <w:r>
        <w:rPr>
          <w:rFonts w:ascii="Arial" w:cs="Arial" w:eastAsia="Arial" w:hAnsi="Arial"/>
          <w:sz w:val="25"/>
          <w:szCs w:val="25"/>
          <w:color w:val="auto"/>
          <w:vertAlign w:val="superscript"/>
        </w:rPr>
        <w:t>24</w:t>
      </w:r>
    </w:p>
    <w:p>
      <w:pPr>
        <w:spacing w:after="0" w:line="2" w:lineRule="exact"/>
        <w:rPr>
          <w:sz w:val="20"/>
          <w:szCs w:val="20"/>
          <w:color w:val="auto"/>
        </w:rPr>
      </w:pPr>
    </w:p>
    <w:p>
      <w:pPr>
        <w:ind w:left="1500" w:right="100" w:hanging="479"/>
        <w:spacing w:after="0" w:line="183" w:lineRule="auto"/>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Customers</w:t>
      </w:r>
      <w:r>
        <w:rPr>
          <w:rFonts w:ascii="Arial" w:cs="Arial" w:eastAsia="Arial" w:hAnsi="Arial"/>
          <w:sz w:val="17"/>
          <w:szCs w:val="17"/>
          <w:color w:val="auto"/>
        </w:rPr>
        <w:t>. We help 7.7 million monthly active orderers</w:t>
      </w:r>
      <w:r>
        <w:rPr>
          <w:rFonts w:ascii="Arial" w:cs="Arial" w:eastAsia="Arial" w:hAnsi="Arial"/>
          <w:sz w:val="25"/>
          <w:szCs w:val="25"/>
          <w:color w:val="auto"/>
          <w:vertAlign w:val="superscript"/>
        </w:rPr>
        <w:t>25</w:t>
      </w:r>
      <w:r>
        <w:rPr>
          <w:rFonts w:ascii="Arial" w:cs="Arial" w:eastAsia="Arial" w:hAnsi="Arial"/>
          <w:sz w:val="17"/>
          <w:szCs w:val="17"/>
          <w:i w:val="1"/>
          <w:iCs w:val="1"/>
          <w:color w:val="auto"/>
        </w:rPr>
        <w:t xml:space="preserve"> </w:t>
      </w:r>
      <w:r>
        <w:rPr>
          <w:rFonts w:ascii="Arial" w:cs="Arial" w:eastAsia="Arial" w:hAnsi="Arial"/>
          <w:sz w:val="17"/>
          <w:szCs w:val="17"/>
          <w:color w:val="auto"/>
        </w:rPr>
        <w:t>shop at their favorite retailers and enjoy selection, quality,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convenience. We reach over 95% of households in North America.</w:t>
      </w:r>
      <w:r>
        <w:rPr>
          <w:rFonts w:ascii="Arial" w:cs="Arial" w:eastAsia="Arial" w:hAnsi="Arial"/>
          <w:sz w:val="25"/>
          <w:szCs w:val="25"/>
          <w:color w:val="auto"/>
          <w:vertAlign w:val="superscript"/>
        </w:rPr>
        <w:t>26</w:t>
      </w:r>
      <w:r>
        <w:rPr>
          <w:rFonts w:ascii="Arial" w:cs="Arial" w:eastAsia="Arial" w:hAnsi="Arial"/>
          <w:sz w:val="17"/>
          <w:szCs w:val="17"/>
          <w:color w:val="auto"/>
        </w:rPr>
        <w:t xml:space="preserve"> Our membership program, Instacart+, offers expanded customer benefits to our 5.1 million members,</w:t>
      </w:r>
      <w:r>
        <w:rPr>
          <w:rFonts w:ascii="Arial" w:cs="Arial" w:eastAsia="Arial" w:hAnsi="Arial"/>
          <w:sz w:val="25"/>
          <w:szCs w:val="25"/>
          <w:color w:val="auto"/>
          <w:vertAlign w:val="superscript"/>
        </w:rPr>
        <w:t>27</w:t>
      </w:r>
      <w:r>
        <w:rPr>
          <w:rFonts w:ascii="Arial" w:cs="Arial" w:eastAsia="Arial" w:hAnsi="Arial"/>
          <w:sz w:val="17"/>
          <w:szCs w:val="17"/>
          <w:color w:val="auto"/>
        </w:rPr>
        <w:t xml:space="preserve"> including unlimited free delivery on orders over a certain size, a reduced service fee, credit back on eligible pickup orders, and exclusive benefits.</w:t>
      </w:r>
    </w:p>
    <w:p>
      <w:pPr>
        <w:spacing w:after="0" w:line="104" w:lineRule="exact"/>
        <w:rPr>
          <w:rFonts w:ascii="Arial" w:cs="Arial" w:eastAsia="Arial" w:hAnsi="Arial"/>
          <w:sz w:val="17"/>
          <w:szCs w:val="17"/>
          <w:color w:val="auto"/>
        </w:rPr>
      </w:pPr>
    </w:p>
    <w:p>
      <w:pPr>
        <w:ind w:left="1500" w:hanging="479"/>
        <w:spacing w:after="0" w:line="225" w:lineRule="auto"/>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Brands</w:t>
      </w:r>
      <w:r>
        <w:rPr>
          <w:rFonts w:ascii="Arial" w:cs="Arial" w:eastAsia="Arial" w:hAnsi="Arial"/>
          <w:sz w:val="17"/>
          <w:szCs w:val="17"/>
          <w:color w:val="auto"/>
        </w:rPr>
        <w:t>. We represent one of the largest and fastest growing eCommerce channels for CPG brands. We provide discovery and</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attractive return on investment, or ROI, for over 5,500 brands through our industry-leading advertising tools and insights purpose-built for the online grocery category.</w:t>
      </w:r>
      <w:r>
        <w:rPr>
          <w:rFonts w:ascii="Arial" w:cs="Arial" w:eastAsia="Arial" w:hAnsi="Arial"/>
          <w:sz w:val="25"/>
          <w:szCs w:val="25"/>
          <w:color w:val="auto"/>
          <w:vertAlign w:val="superscript"/>
        </w:rPr>
        <w:t>28</w:t>
      </w:r>
      <w:r>
        <w:rPr>
          <w:rFonts w:ascii="Arial" w:cs="Arial" w:eastAsia="Arial" w:hAnsi="Arial"/>
          <w:sz w:val="17"/>
          <w:szCs w:val="17"/>
          <w:color w:val="auto"/>
        </w:rPr>
        <w:t xml:space="preserve"> We estimate that on average, our ads deliver more than a 15% incremental sales lift, and in some cases twice</w:t>
      </w:r>
    </w:p>
    <w:p>
      <w:pPr>
        <w:spacing w:after="0" w:line="163" w:lineRule="exact"/>
        <w:rPr>
          <w:sz w:val="20"/>
          <w:szCs w:val="20"/>
          <w:color w:val="auto"/>
        </w:rPr>
      </w:pPr>
    </w:p>
    <w:p>
      <w:pPr>
        <w:ind w:left="1020" w:hanging="392"/>
        <w:spacing w:after="0"/>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Based on GTV generated on Instacart and total grocery sales in 2022.</w:t>
      </w:r>
    </w:p>
    <w:p>
      <w:pPr>
        <w:spacing w:after="0" w:line="1" w:lineRule="exact"/>
        <w:rPr>
          <w:rFonts w:ascii="Arial" w:cs="Arial" w:eastAsia="Arial" w:hAnsi="Arial"/>
          <w:sz w:val="10"/>
          <w:szCs w:val="10"/>
          <w:color w:val="auto"/>
        </w:rPr>
      </w:pPr>
    </w:p>
    <w:p>
      <w:pPr>
        <w:ind w:left="1020" w:hanging="392"/>
        <w:spacing w:after="0" w:line="223" w:lineRule="auto"/>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As of June 30, 2023.</w:t>
      </w:r>
    </w:p>
    <w:p>
      <w:pPr>
        <w:ind w:left="1020" w:hanging="392"/>
        <w:spacing w:after="0" w:line="223" w:lineRule="auto"/>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1020" w:right="60" w:hanging="392"/>
        <w:spacing w:after="0" w:line="223" w:lineRule="auto"/>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For the month ended June 30, 2023. The number of monthly active orderers may overstate the number of unique individuals, as one customer may register for, and use, multiple accounts. Fluctuations in the number of monthly active orderers are not necessarily indicative of changes in our financial performance.</w:t>
      </w:r>
    </w:p>
    <w:p>
      <w:pPr>
        <w:ind w:left="1020" w:right="280" w:hanging="392"/>
        <w:spacing w:after="0" w:line="223" w:lineRule="auto"/>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U.S. Census Bureau (July 2021) and Statistics Canada (2021, the year of the last Canadian census). Based on number of households in Instacart’s active delivery-enabled or pickup zones as of June 30, 2023.</w:t>
      </w:r>
    </w:p>
    <w:p>
      <w:pPr>
        <w:ind w:left="1020" w:hanging="392"/>
        <w:spacing w:after="0" w:line="223" w:lineRule="auto"/>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As of June 30, 2023. Includes paying Instacart+ members only and excludes free trial members.</w:t>
      </w:r>
    </w:p>
    <w:p>
      <w:pPr>
        <w:ind w:left="1020" w:hanging="392"/>
        <w:spacing w:after="0"/>
        <w:tabs>
          <w:tab w:leader="none" w:pos="1020" w:val="left"/>
        </w:tabs>
        <w:numPr>
          <w:ilvl w:val="0"/>
          <w:numId w:val="15"/>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0"/>
          </w:cols>
          <w:pgMar w:left="320" w:top="440" w:right="97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601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66535" cy="5601335"/>
                    </a:xfrm>
                    <a:prstGeom prst="rect">
                      <a:avLst/>
                    </a:prstGeom>
                    <a:noFill/>
                  </pic:spPr>
                </pic:pic>
              </a:graphicData>
            </a:graphic>
          </wp:anchor>
        </w:drawing>
      </w:r>
    </w:p>
    <w:p>
      <w:pPr>
        <w:spacing w:after="0" w:line="292" w:lineRule="exact"/>
        <w:rPr>
          <w:sz w:val="20"/>
          <w:szCs w:val="20"/>
          <w:color w:val="auto"/>
        </w:rPr>
      </w:pPr>
    </w:p>
    <w:p>
      <w:pPr>
        <w:ind w:left="1520" w:right="80"/>
        <w:spacing w:after="0" w:line="207" w:lineRule="auto"/>
        <w:rPr>
          <w:sz w:val="20"/>
          <w:szCs w:val="20"/>
          <w:color w:val="auto"/>
        </w:rPr>
      </w:pPr>
      <w:r>
        <w:rPr>
          <w:rFonts w:ascii="Arial" w:cs="Arial" w:eastAsia="Arial" w:hAnsi="Arial"/>
          <w:sz w:val="17"/>
          <w:szCs w:val="17"/>
          <w:color w:val="auto"/>
        </w:rPr>
        <w:t>that, for our brand partners.</w:t>
      </w:r>
      <w:r>
        <w:rPr>
          <w:rFonts w:ascii="Arial" w:cs="Arial" w:eastAsia="Arial" w:hAnsi="Arial"/>
          <w:sz w:val="25"/>
          <w:szCs w:val="25"/>
          <w:color w:val="auto"/>
          <w:vertAlign w:val="superscript"/>
        </w:rPr>
        <w:t>29</w:t>
      </w:r>
      <w:r>
        <w:rPr>
          <w:rFonts w:ascii="Arial" w:cs="Arial" w:eastAsia="Arial" w:hAnsi="Arial"/>
          <w:sz w:val="17"/>
          <w:szCs w:val="17"/>
          <w:color w:val="auto"/>
        </w:rPr>
        <w:t xml:space="preserve"> Our brand partners include household brands such as Campbell’s and Nestlé and emerging brands such as Banza, Chloe’s Fruit Pops, and Whisps.</w:t>
      </w:r>
    </w:p>
    <w:p>
      <w:pPr>
        <w:spacing w:after="0" w:line="103" w:lineRule="exact"/>
        <w:rPr>
          <w:sz w:val="20"/>
          <w:szCs w:val="20"/>
          <w:color w:val="auto"/>
        </w:rPr>
      </w:pPr>
    </w:p>
    <w:p>
      <w:pPr>
        <w:ind w:left="1500" w:right="260" w:hanging="479"/>
        <w:spacing w:after="0" w:line="230" w:lineRule="auto"/>
        <w:tabs>
          <w:tab w:leader="none" w:pos="15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Shoppers</w:t>
      </w:r>
      <w:r>
        <w:rPr>
          <w:rFonts w:ascii="Arial" w:cs="Arial" w:eastAsia="Arial" w:hAnsi="Arial"/>
          <w:sz w:val="17"/>
          <w:szCs w:val="17"/>
          <w:color w:val="auto"/>
        </w:rPr>
        <w:t>. We offer over 600,000 shoppers an immediate, flexible earnings opportunity that allows them to choose when and how</w:t>
      </w:r>
      <w:r>
        <w:rPr>
          <w:rFonts w:ascii="Arial" w:cs="Arial" w:eastAsia="Arial" w:hAnsi="Arial"/>
          <w:sz w:val="17"/>
          <w:szCs w:val="17"/>
          <w:i w:val="1"/>
          <w:iCs w:val="1"/>
          <w:color w:val="auto"/>
        </w:rPr>
        <w:t xml:space="preserve"> </w:t>
      </w:r>
      <w:r>
        <w:rPr>
          <w:rFonts w:ascii="Arial" w:cs="Arial" w:eastAsia="Arial" w:hAnsi="Arial"/>
          <w:sz w:val="17"/>
          <w:szCs w:val="17"/>
          <w:color w:val="auto"/>
        </w:rPr>
        <w:t>much to work.</w:t>
      </w:r>
      <w:r>
        <w:rPr>
          <w:rFonts w:ascii="Arial" w:cs="Arial" w:eastAsia="Arial" w:hAnsi="Arial"/>
          <w:sz w:val="25"/>
          <w:szCs w:val="25"/>
          <w:color w:val="auto"/>
          <w:vertAlign w:val="superscript"/>
        </w:rPr>
        <w:t>30</w:t>
      </w:r>
      <w:r>
        <w:rPr>
          <w:rFonts w:ascii="Arial" w:cs="Arial" w:eastAsia="Arial" w:hAnsi="Arial"/>
          <w:sz w:val="17"/>
          <w:szCs w:val="17"/>
          <w:color w:val="auto"/>
        </w:rPr>
        <w:t xml:space="preserve"> Because the most important part of the job is picking the right products for customers, Instacart tends to attract people who use empathy, efficiency, communication, and problem-solving to pick, pack, and deliver an order. Shoppers are deeply valued members of the Instacart community, and we strive to make the shopping experience as seamless as possible and protect shoppers while they work.</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Business Model</w:t>
      </w:r>
    </w:p>
    <w:p>
      <w:pPr>
        <w:spacing w:after="0" w:line="108" w:lineRule="exact"/>
        <w:rPr>
          <w:sz w:val="20"/>
          <w:szCs w:val="20"/>
          <w:color w:val="auto"/>
        </w:rPr>
      </w:pPr>
    </w:p>
    <w:p>
      <w:pPr>
        <w:ind w:left="620" w:right="20" w:firstLine="399"/>
        <w:spacing w:after="0" w:line="269" w:lineRule="auto"/>
        <w:rPr>
          <w:sz w:val="20"/>
          <w:szCs w:val="20"/>
          <w:color w:val="auto"/>
        </w:rPr>
      </w:pPr>
      <w:r>
        <w:rPr>
          <w:rFonts w:ascii="Arial" w:cs="Arial" w:eastAsia="Arial" w:hAnsi="Arial"/>
          <w:sz w:val="16"/>
          <w:szCs w:val="16"/>
          <w:color w:val="auto"/>
        </w:rPr>
        <w:t>We believe that every Instacart order benefits retailers, customers, brands, and shoppers. The success of our business relies on the success of all these constituents. As more customers increase engagement, we benefit from more orders and GTV that generate diversified revenue streams and improve operational efficiencies. Our revenue consists of transaction revenue, primarily from fees paid on each order by retail partners and customers, as well as advertising and other revenue, primarily from advertising fees paid by brand partners. In 2022 and the six months ended June 30, 2023, our transaction revenue and advertising and other revenue were approximately 6.3% and 2.6% and 7.2% and 2.7%, respectively, of GTV. Since grocery is one of the largest recurring monthly household expenses, we have high average order values, which allows us to keep fees as a percent of GTV lower for retailers and customers relative to other on-demand delivery platforms and enables us to allocate certain costs, such as shopper earnings and hosting expenses, across a larger base.</w:t>
      </w:r>
    </w:p>
    <w:p>
      <w:pPr>
        <w:spacing w:after="0" w:line="174" w:lineRule="exact"/>
        <w:rPr>
          <w:sz w:val="20"/>
          <w:szCs w:val="20"/>
          <w:color w:val="auto"/>
        </w:rPr>
      </w:pPr>
    </w:p>
    <w:p>
      <w:pPr>
        <w:ind w:left="620" w:right="80" w:firstLine="399"/>
        <w:spacing w:after="0" w:line="256" w:lineRule="auto"/>
        <w:rPr>
          <w:sz w:val="20"/>
          <w:szCs w:val="20"/>
          <w:color w:val="auto"/>
        </w:rPr>
      </w:pPr>
      <w:r>
        <w:rPr>
          <w:rFonts w:ascii="Arial" w:cs="Arial" w:eastAsia="Arial" w:hAnsi="Arial"/>
          <w:sz w:val="17"/>
          <w:szCs w:val="17"/>
          <w:color w:val="auto"/>
        </w:rPr>
        <w:t>By growing advertising and other revenue and making fulfillment more efficient at scale, we have historically been able to increase gross profit consistently faster than GTV. Expanding gross profit as a percent of GTV contributes to our improving unit economics. This, in turn, allows us to reinvest in our business, particularly in research and development to build new technologies for retailers and in sales and marketing to help attract and engage customers to grow orders and GTV.</w:t>
      </w:r>
    </w:p>
    <w:p>
      <w:pPr>
        <w:spacing w:after="0" w:line="179" w:lineRule="exact"/>
        <w:rPr>
          <w:sz w:val="20"/>
          <w:szCs w:val="20"/>
          <w:color w:val="auto"/>
        </w:rPr>
      </w:pPr>
    </w:p>
    <w:p>
      <w:pPr>
        <w:ind w:left="620" w:right="220" w:firstLine="399"/>
        <w:spacing w:after="0" w:line="311" w:lineRule="auto"/>
        <w:rPr>
          <w:sz w:val="20"/>
          <w:szCs w:val="20"/>
          <w:color w:val="auto"/>
        </w:rPr>
      </w:pPr>
      <w:r>
        <w:rPr>
          <w:rFonts w:ascii="Arial" w:cs="Arial" w:eastAsia="Arial" w:hAnsi="Arial"/>
          <w:sz w:val="15"/>
          <w:szCs w:val="15"/>
          <w:color w:val="auto"/>
        </w:rPr>
        <w:t>Since our founding, we have achieved substantial growth and an improved margin. Starting in March 2020 and through the first quarter of 2022, our growth was significantly accelerated by the COVID-19 pandemic. While we do not expect our pandemic-accelerated growth rates to recur in future periods, our growth during this period helped establish a business with much greater scale and much higher gross profit.</w:t>
      </w:r>
    </w:p>
    <w:p>
      <w:pPr>
        <w:spacing w:after="0" w:line="51" w:lineRule="exact"/>
        <w:rPr>
          <w:sz w:val="20"/>
          <w:szCs w:val="20"/>
          <w:color w:val="auto"/>
        </w:rPr>
      </w:pPr>
    </w:p>
    <w:p>
      <w:pPr>
        <w:ind w:left="1500" w:right="40" w:hanging="479"/>
        <w:spacing w:after="0" w:line="272" w:lineRule="auto"/>
        <w:tabs>
          <w:tab w:leader="none" w:pos="1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Orders grew from 223.4 million in 2021 to 262.6 million in 2022, an increase of 18%, and remained consistent from 132.3 million for the six months ended June 30, 2022 to 132.9 million for the six months ended June 30, 2023;</w:t>
      </w:r>
    </w:p>
    <w:p>
      <w:pPr>
        <w:spacing w:after="0" w:line="76" w:lineRule="exact"/>
        <w:rPr>
          <w:rFonts w:ascii="Arial" w:cs="Arial" w:eastAsia="Arial" w:hAnsi="Arial"/>
          <w:sz w:val="17"/>
          <w:szCs w:val="17"/>
          <w:color w:val="auto"/>
        </w:rPr>
      </w:pPr>
    </w:p>
    <w:p>
      <w:pPr>
        <w:ind w:left="1500" w:hanging="479"/>
        <w:spacing w:after="0" w:line="272" w:lineRule="auto"/>
        <w:tabs>
          <w:tab w:leader="none" w:pos="1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GTV grew from $24,909 million in 2021 to $28,826 million in 2022, an increase of 16%, and from $14,356 million for the six months ended June 30, 2022 to $14,937 million for the six months ended June 30, 2023, an increase of 4%;</w:t>
      </w:r>
    </w:p>
    <w:p>
      <w:pPr>
        <w:spacing w:after="0" w:line="76" w:lineRule="exact"/>
        <w:rPr>
          <w:rFonts w:ascii="Arial" w:cs="Arial" w:eastAsia="Arial" w:hAnsi="Arial"/>
          <w:sz w:val="17"/>
          <w:szCs w:val="17"/>
          <w:color w:val="auto"/>
        </w:rPr>
      </w:pPr>
    </w:p>
    <w:p>
      <w:pPr>
        <w:ind w:left="1500" w:right="220" w:hanging="479"/>
        <w:spacing w:after="0" w:line="303" w:lineRule="auto"/>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revenue grew from $1,834 million in 2021 to $2,551 million in 2022, an increase of 39%, and from $1,126 million for the six months ended June 30, 2022 to $1,475 million for the six months ended June 30, 2023, an increase of 31%;</w:t>
      </w:r>
    </w:p>
    <w:p>
      <w:pPr>
        <w:spacing w:after="0" w:line="54" w:lineRule="exact"/>
        <w:rPr>
          <w:rFonts w:ascii="Arial" w:cs="Arial" w:eastAsia="Arial" w:hAnsi="Arial"/>
          <w:sz w:val="16"/>
          <w:szCs w:val="16"/>
          <w:color w:val="auto"/>
        </w:rPr>
      </w:pPr>
    </w:p>
    <w:p>
      <w:pPr>
        <w:ind w:left="1500" w:right="80" w:hanging="479"/>
        <w:spacing w:after="0" w:line="260" w:lineRule="auto"/>
        <w:tabs>
          <w:tab w:leader="none" w:pos="1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Transaction revenue grew from $1,262 million (or 69% of total revenue) in 2021 to $1,811 million (or 71% of total revenue) in 2022, an increase of 44%, and from $799 million (or 71% of total revenue) for the six months ended June 30, 2022 to $1,069 million (or 72% of total revenue) for the six months ended June 30, 2023, an increase of 34%;</w:t>
      </w:r>
    </w:p>
    <w:p>
      <w:pPr>
        <w:spacing w:after="0" w:line="144" w:lineRule="exact"/>
        <w:rPr>
          <w:sz w:val="20"/>
          <w:szCs w:val="20"/>
          <w:color w:val="auto"/>
        </w:rPr>
      </w:pPr>
    </w:p>
    <w:p>
      <w:pPr>
        <w:ind w:left="1020" w:right="240" w:hanging="392"/>
        <w:spacing w:after="0" w:line="233" w:lineRule="auto"/>
        <w:tabs>
          <w:tab w:leader="none" w:pos="1020" w:val="left"/>
        </w:tabs>
        <w:numPr>
          <w:ilvl w:val="0"/>
          <w:numId w:val="18"/>
        </w:numPr>
        <w:rPr>
          <w:rFonts w:ascii="Arial" w:cs="Arial" w:eastAsia="Arial" w:hAnsi="Arial"/>
          <w:sz w:val="10"/>
          <w:szCs w:val="10"/>
          <w:color w:val="auto"/>
        </w:rPr>
      </w:pPr>
      <w:r>
        <w:rPr>
          <w:rFonts w:ascii="Arial" w:cs="Arial" w:eastAsia="Arial" w:hAnsi="Arial"/>
          <w:sz w:val="13"/>
          <w:szCs w:val="13"/>
          <w:color w:val="auto"/>
        </w:rPr>
        <w:t>Based on internal tests run across all brand partners using our Sponsored Product ads offering in the quarter ended June 30, 2023 and individual tests run for select brands or types of brands.</w:t>
      </w:r>
    </w:p>
    <w:p>
      <w:pPr>
        <w:ind w:left="1020" w:hanging="392"/>
        <w:spacing w:after="0"/>
        <w:tabs>
          <w:tab w:leader="none" w:pos="1020" w:val="left"/>
        </w:tabs>
        <w:numPr>
          <w:ilvl w:val="0"/>
          <w:numId w:val="18"/>
        </w:numPr>
        <w:rPr>
          <w:rFonts w:ascii="Arial" w:cs="Arial" w:eastAsia="Arial" w:hAnsi="Arial"/>
          <w:sz w:val="10"/>
          <w:szCs w:val="10"/>
          <w:color w:val="auto"/>
        </w:rPr>
      </w:pPr>
      <w:r>
        <w:rPr>
          <w:rFonts w:ascii="Arial" w:cs="Arial" w:eastAsia="Arial" w:hAnsi="Arial"/>
          <w:sz w:val="13"/>
          <w:szCs w:val="13"/>
          <w:color w:val="auto"/>
        </w:rPr>
        <w:t>Based on shoppers who completed at least one order during the month ended June 30, 2023.</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320" w:top="440" w:right="9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6019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6535" cy="6019800"/>
                    </a:xfrm>
                    <a:prstGeom prst="rect">
                      <a:avLst/>
                    </a:prstGeom>
                    <a:noFill/>
                  </pic:spPr>
                </pic:pic>
              </a:graphicData>
            </a:graphic>
          </wp:anchor>
        </w:drawing>
      </w:r>
    </w:p>
    <w:p>
      <w:pPr>
        <w:spacing w:after="0" w:line="292" w:lineRule="exact"/>
        <w:rPr>
          <w:sz w:val="20"/>
          <w:szCs w:val="20"/>
          <w:color w:val="auto"/>
        </w:rPr>
      </w:pPr>
    </w:p>
    <w:p>
      <w:pPr>
        <w:ind w:left="1500" w:hanging="479"/>
        <w:spacing w:after="0" w:line="260" w:lineRule="auto"/>
        <w:tabs>
          <w:tab w:leader="none" w:pos="1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Advertising and other revenue grew from $572 million (or 31% of total revenue) in 2021 to $740 million (or 29% of total revenue) in 2022, an increase of 29%, and from $327 million (or 29% of total revenue) for the six months ended June 30, 2022 to $406 million (or 28% of total revenue) for the six months ended June 30, 2023, an increase of 24%;</w:t>
      </w:r>
    </w:p>
    <w:p>
      <w:pPr>
        <w:spacing w:after="0" w:line="86" w:lineRule="exact"/>
        <w:rPr>
          <w:rFonts w:ascii="Arial" w:cs="Arial" w:eastAsia="Arial" w:hAnsi="Arial"/>
          <w:sz w:val="17"/>
          <w:szCs w:val="17"/>
          <w:color w:val="auto"/>
        </w:rPr>
      </w:pPr>
    </w:p>
    <w:p>
      <w:pPr>
        <w:ind w:left="1500" w:right="460" w:hanging="479"/>
        <w:spacing w:after="0" w:line="303" w:lineRule="auto"/>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Gross profit grew from $1,226 million in 2021 to $1,831 million in 2022, an increase of 49%, and from $769 million for the six months ended June 30, 2022 to $1,109 million for the six months ended June 30, 2023, an increase of 44%;</w:t>
      </w:r>
    </w:p>
    <w:p>
      <w:pPr>
        <w:spacing w:after="0" w:line="54" w:lineRule="exact"/>
        <w:rPr>
          <w:rFonts w:ascii="Arial" w:cs="Arial" w:eastAsia="Arial" w:hAnsi="Arial"/>
          <w:sz w:val="16"/>
          <w:szCs w:val="16"/>
          <w:color w:val="auto"/>
        </w:rPr>
      </w:pPr>
    </w:p>
    <w:p>
      <w:pPr>
        <w:ind w:left="1500" w:right="20" w:hanging="479"/>
        <w:spacing w:after="0" w:line="253" w:lineRule="auto"/>
        <w:tabs>
          <w:tab w:leader="none" w:pos="1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income (loss) improved from $(73) million in 2021 to $428 million in 2022 (including a $358 million benefit from the release of our valuation allowance on our deferred tax assets in the United States) and grew as a percent of GTV from (0.3)% in 2021 to 1.5% in 2022, and from $(74) million for the six months ended June 30, 2022 to $242 million for the six months ended June 30, 2023 and grew as a percent of GTV from (0.5)% for the six months ended June 30, 2022 to 1.6% for the six months ended June 30, 2023. We have a history of losses and have only recently began generating profit, and as of June 30, 2023, we had an accumulated deficit of $735 million; and</w:t>
      </w:r>
    </w:p>
    <w:p>
      <w:pPr>
        <w:spacing w:after="0" w:line="93" w:lineRule="exact"/>
        <w:rPr>
          <w:rFonts w:ascii="Arial" w:cs="Arial" w:eastAsia="Arial" w:hAnsi="Arial"/>
          <w:sz w:val="17"/>
          <w:szCs w:val="17"/>
          <w:color w:val="auto"/>
        </w:rPr>
      </w:pPr>
    </w:p>
    <w:p>
      <w:pPr>
        <w:ind w:left="1500" w:right="240" w:hanging="479"/>
        <w:spacing w:after="0" w:line="290" w:lineRule="auto"/>
        <w:tabs>
          <w:tab w:leader="none" w:pos="15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EBITDA grew as a percent of GTV from 0.1% in 2021 to 0.6% in 2022, and Adjusted EBITDA margin grew from 2% in 2021 to 7% in 2022, and from (0.1)% for the six months ended June 30, 2022 to 1.9% for the six months ended June 30, 2023 and</w:t>
      </w:r>
    </w:p>
    <w:p>
      <w:pPr>
        <w:ind w:left="1500" w:right="140"/>
        <w:spacing w:after="0" w:line="257" w:lineRule="auto"/>
        <w:rPr>
          <w:rFonts w:ascii="Arial" w:cs="Arial" w:eastAsia="Arial" w:hAnsi="Arial"/>
          <w:sz w:val="15"/>
          <w:szCs w:val="15"/>
          <w:color w:val="auto"/>
        </w:rPr>
      </w:pPr>
      <w:r>
        <w:rPr>
          <w:rFonts w:ascii="Arial" w:cs="Arial" w:eastAsia="Arial" w:hAnsi="Arial"/>
          <w:sz w:val="17"/>
          <w:szCs w:val="17"/>
          <w:color w:val="auto"/>
        </w:rPr>
        <w:t>(2)% for the six months ended June 30, 2022 to 19% for the six months ended June 30, 2023, respectively, demonstrating significant operating leverage.</w:t>
      </w:r>
    </w:p>
    <w:p>
      <w:pPr>
        <w:spacing w:after="0" w:line="376"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Our Industry</w:t>
      </w:r>
    </w:p>
    <w:p>
      <w:pPr>
        <w:spacing w:after="0" w:line="214" w:lineRule="exact"/>
        <w:rPr>
          <w:sz w:val="20"/>
          <w:szCs w:val="20"/>
          <w:color w:val="auto"/>
        </w:rPr>
      </w:pPr>
    </w:p>
    <w:p>
      <w:pPr>
        <w:ind w:left="620" w:right="60" w:firstLine="399"/>
        <w:spacing w:after="0" w:line="274" w:lineRule="auto"/>
        <w:rPr>
          <w:sz w:val="20"/>
          <w:szCs w:val="20"/>
          <w:color w:val="auto"/>
        </w:rPr>
      </w:pPr>
      <w:r>
        <w:rPr>
          <w:rFonts w:ascii="Arial" w:cs="Arial" w:eastAsia="Arial" w:hAnsi="Arial"/>
          <w:sz w:val="15"/>
          <w:szCs w:val="15"/>
          <w:color w:val="auto"/>
        </w:rPr>
        <w:t>Grocery has one of the lowest levels of digitization of any industry. Grocery retailers in the United States spent an estimated $14.2 billion on enterprise IT in 2022,</w:t>
      </w:r>
      <w:r>
        <w:rPr>
          <w:rFonts w:ascii="Arial" w:cs="Arial" w:eastAsia="Arial" w:hAnsi="Arial"/>
          <w:sz w:val="22"/>
          <w:szCs w:val="22"/>
          <w:color w:val="auto"/>
          <w:vertAlign w:val="superscript"/>
        </w:rPr>
        <w:t>31</w:t>
      </w:r>
      <w:r>
        <w:rPr>
          <w:rFonts w:ascii="Arial" w:cs="Arial" w:eastAsia="Arial" w:hAnsi="Arial"/>
          <w:sz w:val="15"/>
          <w:szCs w:val="15"/>
          <w:color w:val="auto"/>
        </w:rPr>
        <w:t xml:space="preserve"> which represents approximately 1% of their total sales.</w:t>
      </w:r>
      <w:r>
        <w:rPr>
          <w:rFonts w:ascii="Arial" w:cs="Arial" w:eastAsia="Arial" w:hAnsi="Arial"/>
          <w:sz w:val="22"/>
          <w:szCs w:val="22"/>
          <w:color w:val="auto"/>
          <w:vertAlign w:val="superscript"/>
        </w:rPr>
        <w:t>32</w:t>
      </w:r>
      <w:r>
        <w:rPr>
          <w:rFonts w:ascii="Arial" w:cs="Arial" w:eastAsia="Arial" w:hAnsi="Arial"/>
          <w:sz w:val="15"/>
          <w:szCs w:val="15"/>
          <w:color w:val="auto"/>
        </w:rPr>
        <w:t xml:space="preserve"> This compares to average estimated technology budgets as a percent of revenue of approximately 25% for telecommunications, 11% for air travel, and 4% for hospital services for the same year.</w:t>
      </w:r>
      <w:r>
        <w:rPr>
          <w:rFonts w:ascii="Arial" w:cs="Arial" w:eastAsia="Arial" w:hAnsi="Arial"/>
          <w:sz w:val="22"/>
          <w:szCs w:val="22"/>
          <w:color w:val="auto"/>
          <w:vertAlign w:val="superscript"/>
        </w:rPr>
        <w:t>33</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Complexities of Grocery Retail</w:t>
      </w:r>
    </w:p>
    <w:p>
      <w:pPr>
        <w:spacing w:after="0" w:line="108" w:lineRule="exact"/>
        <w:rPr>
          <w:sz w:val="20"/>
          <w:szCs w:val="20"/>
          <w:color w:val="auto"/>
        </w:rPr>
      </w:pPr>
    </w:p>
    <w:p>
      <w:pPr>
        <w:ind w:left="620" w:right="600" w:firstLine="399"/>
        <w:spacing w:after="0" w:line="272" w:lineRule="auto"/>
        <w:rPr>
          <w:sz w:val="20"/>
          <w:szCs w:val="20"/>
          <w:color w:val="auto"/>
        </w:rPr>
      </w:pPr>
      <w:r>
        <w:rPr>
          <w:rFonts w:ascii="Arial" w:cs="Arial" w:eastAsia="Arial" w:hAnsi="Arial"/>
          <w:sz w:val="17"/>
          <w:szCs w:val="17"/>
          <w:color w:val="auto"/>
        </w:rPr>
        <w:t>The grocery industry has attributes not found in other consumer retail categories due to inherent market structure differences and the uniqueness of grocery operations: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Market Structure</w:t>
      </w:r>
    </w:p>
    <w:p>
      <w:pPr>
        <w:spacing w:after="0" w:line="121" w:lineRule="exact"/>
        <w:rPr>
          <w:sz w:val="20"/>
          <w:szCs w:val="20"/>
          <w:color w:val="auto"/>
        </w:rPr>
      </w:pPr>
    </w:p>
    <w:p>
      <w:pPr>
        <w:ind w:left="1500" w:right="120" w:hanging="479"/>
        <w:spacing w:after="0" w:line="204" w:lineRule="auto"/>
        <w:tabs>
          <w:tab w:leader="none" w:pos="15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Enterprise Market Structure. </w:t>
      </w:r>
      <w:r>
        <w:rPr>
          <w:rFonts w:ascii="Arial" w:cs="Arial" w:eastAsia="Arial" w:hAnsi="Arial"/>
          <w:sz w:val="17"/>
          <w:szCs w:val="17"/>
          <w:color w:val="auto"/>
        </w:rPr>
        <w:t>In the United States, there are over 3,000 companies in grocery retail</w:t>
      </w:r>
      <w:r>
        <w:rPr>
          <w:rFonts w:ascii="Arial" w:cs="Arial" w:eastAsia="Arial" w:hAnsi="Arial"/>
          <w:sz w:val="25"/>
          <w:szCs w:val="25"/>
          <w:color w:val="auto"/>
          <w:vertAlign w:val="superscript"/>
        </w:rPr>
        <w:t>34</w:t>
      </w:r>
      <w:r>
        <w:rPr>
          <w:rFonts w:ascii="Arial" w:cs="Arial" w:eastAsia="Arial" w:hAnsi="Arial"/>
          <w:sz w:val="17"/>
          <w:szCs w:val="17"/>
          <w:i w:val="1"/>
          <w:iCs w:val="1"/>
          <w:color w:val="auto"/>
        </w:rPr>
        <w:t xml:space="preserve"> </w:t>
      </w:r>
      <w:r>
        <w:rPr>
          <w:rFonts w:ascii="Arial" w:cs="Arial" w:eastAsia="Arial" w:hAnsi="Arial"/>
          <w:sz w:val="17"/>
          <w:szCs w:val="17"/>
          <w:color w:val="auto"/>
        </w:rPr>
        <w:t>that collectively manage tens of</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thousands of store locations.</w:t>
      </w:r>
      <w:r>
        <w:rPr>
          <w:rFonts w:ascii="Arial" w:cs="Arial" w:eastAsia="Arial" w:hAnsi="Arial"/>
          <w:sz w:val="25"/>
          <w:szCs w:val="25"/>
          <w:color w:val="auto"/>
          <w:vertAlign w:val="superscript"/>
        </w:rPr>
        <w:t>35</w:t>
      </w:r>
      <w:r>
        <w:rPr>
          <w:rFonts w:ascii="Arial" w:cs="Arial" w:eastAsia="Arial" w:hAnsi="Arial"/>
          <w:sz w:val="17"/>
          <w:szCs w:val="17"/>
          <w:color w:val="auto"/>
        </w:rPr>
        <w:t xml:space="preserve"> 68% of the total U.S. grocery market comes from the top 20 grocers,</w:t>
      </w:r>
      <w:r>
        <w:rPr>
          <w:rFonts w:ascii="Arial" w:cs="Arial" w:eastAsia="Arial" w:hAnsi="Arial"/>
          <w:sz w:val="25"/>
          <w:szCs w:val="25"/>
          <w:color w:val="auto"/>
          <w:vertAlign w:val="superscript"/>
        </w:rPr>
        <w:t>36</w:t>
      </w:r>
      <w:r>
        <w:rPr>
          <w:rFonts w:ascii="Arial" w:cs="Arial" w:eastAsia="Arial" w:hAnsi="Arial"/>
          <w:sz w:val="17"/>
          <w:szCs w:val="17"/>
          <w:color w:val="auto"/>
        </w:rPr>
        <w:t xml:space="preserve"> yet market share significantly differs by region within the United States. The largest retailers operate multiple banners, across hundreds of locations, and require nationwide integration.</w:t>
      </w:r>
    </w:p>
    <w:p>
      <w:pPr>
        <w:spacing w:after="0" w:line="103" w:lineRule="exact"/>
        <w:rPr>
          <w:rFonts w:ascii="Arial" w:cs="Arial" w:eastAsia="Arial" w:hAnsi="Arial"/>
          <w:sz w:val="17"/>
          <w:szCs w:val="17"/>
          <w:color w:val="auto"/>
        </w:rPr>
      </w:pPr>
    </w:p>
    <w:p>
      <w:pPr>
        <w:jc w:val="both"/>
        <w:ind w:left="1500" w:right="700" w:hanging="479"/>
        <w:spacing w:after="0" w:line="260" w:lineRule="auto"/>
        <w:tabs>
          <w:tab w:leader="none" w:pos="15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Disaggregated Supply Chain. </w:t>
      </w:r>
      <w:r>
        <w:rPr>
          <w:rFonts w:ascii="Arial" w:cs="Arial" w:eastAsia="Arial" w:hAnsi="Arial"/>
          <w:sz w:val="17"/>
          <w:szCs w:val="17"/>
          <w:color w:val="auto"/>
        </w:rPr>
        <w:t>There are multiple participants in the grocery supply chain, including food producers,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wholesalers, and distributors, each of whom capture a considerable portion of the value chain and introduce operational complexity.</w:t>
      </w:r>
    </w:p>
    <w:p>
      <w:pPr>
        <w:spacing w:after="0" w:line="144" w:lineRule="exact"/>
        <w:rPr>
          <w:sz w:val="20"/>
          <w:szCs w:val="20"/>
          <w:color w:val="auto"/>
        </w:rPr>
      </w:pPr>
    </w:p>
    <w:p>
      <w:pPr>
        <w:ind w:left="1020" w:hanging="392"/>
        <w:spacing w:after="0"/>
        <w:tabs>
          <w:tab w:leader="none" w:pos="1020" w:val="left"/>
        </w:tabs>
        <w:numPr>
          <w:ilvl w:val="0"/>
          <w:numId w:val="21"/>
        </w:numPr>
        <w:rPr>
          <w:rFonts w:ascii="Arial" w:cs="Arial" w:eastAsia="Arial" w:hAnsi="Arial"/>
          <w:sz w:val="10"/>
          <w:szCs w:val="10"/>
          <w:color w:val="auto"/>
        </w:rPr>
      </w:pPr>
      <w:r>
        <w:rPr>
          <w:rFonts w:ascii="Arial" w:cs="Arial" w:eastAsia="Arial" w:hAnsi="Arial"/>
          <w:sz w:val="13"/>
          <w:szCs w:val="13"/>
          <w:color w:val="auto"/>
        </w:rPr>
        <w:t>Gartner.</w:t>
      </w:r>
    </w:p>
    <w:p>
      <w:pPr>
        <w:spacing w:after="0" w:line="1" w:lineRule="exact"/>
        <w:rPr>
          <w:rFonts w:ascii="Arial" w:cs="Arial" w:eastAsia="Arial" w:hAnsi="Arial"/>
          <w:sz w:val="10"/>
          <w:szCs w:val="10"/>
          <w:color w:val="auto"/>
        </w:rPr>
      </w:pPr>
    </w:p>
    <w:p>
      <w:pPr>
        <w:ind w:left="1020" w:hanging="392"/>
        <w:spacing w:after="0" w:line="223" w:lineRule="auto"/>
        <w:tabs>
          <w:tab w:leader="none" w:pos="1020" w:val="left"/>
        </w:tabs>
        <w:numPr>
          <w:ilvl w:val="0"/>
          <w:numId w:val="21"/>
        </w:numPr>
        <w:rPr>
          <w:rFonts w:ascii="Arial" w:cs="Arial" w:eastAsia="Arial" w:hAnsi="Arial"/>
          <w:sz w:val="10"/>
          <w:szCs w:val="10"/>
          <w:color w:val="auto"/>
        </w:rPr>
      </w:pPr>
      <w:r>
        <w:rPr>
          <w:rFonts w:ascii="Arial" w:cs="Arial" w:eastAsia="Arial" w:hAnsi="Arial"/>
          <w:sz w:val="13"/>
          <w:szCs w:val="13"/>
          <w:color w:val="auto"/>
        </w:rPr>
        <w:t>Incisiv.</w:t>
      </w:r>
    </w:p>
    <w:p>
      <w:pPr>
        <w:ind w:left="1020" w:hanging="392"/>
        <w:spacing w:after="0" w:line="223" w:lineRule="auto"/>
        <w:tabs>
          <w:tab w:leader="none" w:pos="1020" w:val="left"/>
        </w:tabs>
        <w:numPr>
          <w:ilvl w:val="0"/>
          <w:numId w:val="21"/>
        </w:numPr>
        <w:rPr>
          <w:rFonts w:ascii="Arial" w:cs="Arial" w:eastAsia="Arial" w:hAnsi="Arial"/>
          <w:sz w:val="10"/>
          <w:szCs w:val="10"/>
          <w:color w:val="auto"/>
        </w:rPr>
      </w:pPr>
      <w:r>
        <w:rPr>
          <w:rFonts w:ascii="Arial" w:cs="Arial" w:eastAsia="Arial" w:hAnsi="Arial"/>
          <w:sz w:val="13"/>
          <w:szCs w:val="13"/>
          <w:color w:val="auto"/>
        </w:rPr>
        <w:t>Gartner.</w:t>
      </w:r>
    </w:p>
    <w:p>
      <w:pPr>
        <w:ind w:left="1020" w:hanging="392"/>
        <w:spacing w:after="0" w:line="223" w:lineRule="auto"/>
        <w:tabs>
          <w:tab w:leader="none" w:pos="1020" w:val="left"/>
        </w:tabs>
        <w:numPr>
          <w:ilvl w:val="0"/>
          <w:numId w:val="21"/>
        </w:numPr>
        <w:rPr>
          <w:rFonts w:ascii="Arial" w:cs="Arial" w:eastAsia="Arial" w:hAnsi="Arial"/>
          <w:sz w:val="10"/>
          <w:szCs w:val="10"/>
          <w:color w:val="auto"/>
        </w:rPr>
      </w:pPr>
      <w:r>
        <w:rPr>
          <w:rFonts w:ascii="Arial" w:cs="Arial" w:eastAsia="Arial" w:hAnsi="Arial"/>
          <w:sz w:val="13"/>
          <w:szCs w:val="13"/>
          <w:color w:val="auto"/>
        </w:rPr>
        <w:t>In 2021. FactSet.</w:t>
      </w:r>
    </w:p>
    <w:p>
      <w:pPr>
        <w:ind w:left="1020" w:hanging="392"/>
        <w:spacing w:after="0" w:line="223" w:lineRule="auto"/>
        <w:tabs>
          <w:tab w:leader="none" w:pos="1020" w:val="left"/>
        </w:tabs>
        <w:numPr>
          <w:ilvl w:val="0"/>
          <w:numId w:val="21"/>
        </w:numPr>
        <w:rPr>
          <w:rFonts w:ascii="Arial" w:cs="Arial" w:eastAsia="Arial" w:hAnsi="Arial"/>
          <w:sz w:val="10"/>
          <w:szCs w:val="10"/>
          <w:color w:val="auto"/>
        </w:rPr>
      </w:pPr>
      <w:r>
        <w:rPr>
          <w:rFonts w:ascii="Arial" w:cs="Arial" w:eastAsia="Arial" w:hAnsi="Arial"/>
          <w:sz w:val="13"/>
          <w:szCs w:val="13"/>
          <w:color w:val="auto"/>
        </w:rPr>
        <w:t>In 2022. IBISWorld.</w:t>
      </w:r>
    </w:p>
    <w:p>
      <w:pPr>
        <w:ind w:left="1020" w:right="280" w:hanging="392"/>
        <w:spacing w:after="0"/>
        <w:tabs>
          <w:tab w:leader="none" w:pos="1020" w:val="left"/>
        </w:tabs>
        <w:numPr>
          <w:ilvl w:val="0"/>
          <w:numId w:val="21"/>
        </w:numPr>
        <w:rPr>
          <w:rFonts w:ascii="Arial" w:cs="Arial" w:eastAsia="Arial" w:hAnsi="Arial"/>
          <w:sz w:val="10"/>
          <w:szCs w:val="10"/>
          <w:color w:val="auto"/>
        </w:rPr>
      </w:pPr>
      <w:r>
        <w:rPr>
          <w:rFonts w:ascii="Arial" w:cs="Arial" w:eastAsia="Arial" w:hAnsi="Arial"/>
          <w:sz w:val="13"/>
          <w:szCs w:val="13"/>
          <w:color w:val="auto"/>
        </w:rPr>
        <w:t xml:space="preserve">In 2022. Euromonitor, </w:t>
      </w:r>
      <w:r>
        <w:rPr>
          <w:rFonts w:ascii="Arial" w:cs="Arial" w:eastAsia="Arial" w:hAnsi="Arial"/>
          <w:sz w:val="13"/>
          <w:szCs w:val="13"/>
          <w:i w:val="1"/>
          <w:iCs w:val="1"/>
          <w:color w:val="auto"/>
        </w:rPr>
        <w:t>Retail</w:t>
      </w:r>
      <w:r>
        <w:rPr>
          <w:rFonts w:ascii="Arial" w:cs="Arial" w:eastAsia="Arial" w:hAnsi="Arial"/>
          <w:sz w:val="13"/>
          <w:szCs w:val="13"/>
          <w:color w:val="auto"/>
        </w:rPr>
        <w:t xml:space="preserve"> (2023 edition), category: Grocery Retailers; retail value RSP in USD, excluding sales tax, calculated as a percentage of total Grocery Retailers retail value RSP in the United States in 2022 in USD, excluding sales tax.</w:t>
      </w:r>
    </w:p>
    <w:p>
      <w:pPr>
        <w:spacing w:after="0" w:line="2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80"/>
          </w:cols>
          <w:pgMar w:left="320" w:top="440" w:right="99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6212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6535" cy="6212840"/>
                    </a:xfrm>
                    <a:prstGeom prst="rect">
                      <a:avLst/>
                    </a:prstGeom>
                    <a:noFill/>
                  </pic:spPr>
                </pic:pic>
              </a:graphicData>
            </a:graphic>
          </wp:anchor>
        </w:drawing>
      </w:r>
    </w:p>
    <w:p>
      <w:pPr>
        <w:spacing w:after="0" w:line="292" w:lineRule="exact"/>
        <w:rPr>
          <w:sz w:val="20"/>
          <w:szCs w:val="20"/>
          <w:color w:val="auto"/>
        </w:rPr>
      </w:pPr>
    </w:p>
    <w:p>
      <w:pPr>
        <w:ind w:left="1500" w:right="80" w:hanging="479"/>
        <w:spacing w:after="0" w:line="340" w:lineRule="auto"/>
        <w:tabs>
          <w:tab w:leader="none" w:pos="150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 xml:space="preserve">Intense Competition from Digital-First Platforms. </w:t>
      </w:r>
      <w:r>
        <w:rPr>
          <w:rFonts w:ascii="Arial" w:cs="Arial" w:eastAsia="Arial" w:hAnsi="Arial"/>
          <w:sz w:val="15"/>
          <w:szCs w:val="15"/>
          <w:color w:val="auto"/>
        </w:rPr>
        <w:t>Digital-first platforms and quick delivery disruptors are investing large amounts of</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to create online experiences and develop in-store technology to compete with traditional retailers for consumer wallet share.</w:t>
      </w:r>
    </w:p>
    <w:p>
      <w:pPr>
        <w:spacing w:after="0" w:line="30" w:lineRule="exact"/>
        <w:rPr>
          <w:rFonts w:ascii="Arial" w:cs="Arial" w:eastAsia="Arial" w:hAnsi="Arial"/>
          <w:sz w:val="15"/>
          <w:szCs w:val="15"/>
          <w:color w:val="auto"/>
        </w:rPr>
      </w:pPr>
    </w:p>
    <w:p>
      <w:pPr>
        <w:ind w:left="1500" w:right="420" w:hanging="479"/>
        <w:spacing w:after="0" w:line="272" w:lineRule="auto"/>
        <w:tabs>
          <w:tab w:leader="none" w:pos="15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Regulations. </w:t>
      </w:r>
      <w:r>
        <w:rPr>
          <w:rFonts w:ascii="Arial" w:cs="Arial" w:eastAsia="Arial" w:hAnsi="Arial"/>
          <w:sz w:val="17"/>
          <w:szCs w:val="17"/>
          <w:color w:val="auto"/>
        </w:rPr>
        <w:t>The grocery industry is highly regulated, particularly in categories such as alcohol, prescriptions, and supplemental</w:t>
      </w:r>
      <w:r>
        <w:rPr>
          <w:rFonts w:ascii="Arial" w:cs="Arial" w:eastAsia="Arial" w:hAnsi="Arial"/>
          <w:sz w:val="17"/>
          <w:szCs w:val="17"/>
          <w:i w:val="1"/>
          <w:iCs w:val="1"/>
          <w:color w:val="auto"/>
        </w:rPr>
        <w:t xml:space="preserve"> </w:t>
      </w:r>
      <w:r>
        <w:rPr>
          <w:rFonts w:ascii="Arial" w:cs="Arial" w:eastAsia="Arial" w:hAnsi="Arial"/>
          <w:sz w:val="17"/>
          <w:szCs w:val="17"/>
          <w:color w:val="auto"/>
        </w:rPr>
        <w:t>nutrition assistance programs.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Grocery Operations</w:t>
      </w:r>
    </w:p>
    <w:p>
      <w:pPr>
        <w:spacing w:after="0" w:line="121" w:lineRule="exact"/>
        <w:rPr>
          <w:sz w:val="20"/>
          <w:szCs w:val="20"/>
          <w:color w:val="auto"/>
        </w:rPr>
      </w:pPr>
    </w:p>
    <w:p>
      <w:pPr>
        <w:ind w:left="1500" w:hanging="479"/>
        <w:spacing w:after="0"/>
        <w:tabs>
          <w:tab w:leader="none" w:pos="15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Expansive and Diverse Product Assortment</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2500" w:right="40" w:hanging="479"/>
        <w:spacing w:after="0" w:line="264" w:lineRule="auto"/>
        <w:tabs>
          <w:tab w:leader="none" w:pos="250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Diversity of Products</w:t>
      </w:r>
      <w:r>
        <w:rPr>
          <w:rFonts w:ascii="Arial" w:cs="Arial" w:eastAsia="Arial" w:hAnsi="Arial"/>
          <w:sz w:val="17"/>
          <w:szCs w:val="17"/>
          <w:color w:val="auto"/>
        </w:rPr>
        <w:t>. The average grocer carries over 31,000 products in a single store location across a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w:t>
      </w:r>
      <w:r>
        <w:rPr>
          <w:rFonts w:ascii="Arial" w:cs="Arial" w:eastAsia="Arial" w:hAnsi="Arial"/>
          <w:sz w:val="25"/>
          <w:szCs w:val="25"/>
          <w:color w:val="auto"/>
          <w:vertAlign w:val="superscript"/>
        </w:rPr>
        <w:t>37</w:t>
      </w:r>
    </w:p>
    <w:p>
      <w:pPr>
        <w:spacing w:after="0" w:line="1" w:lineRule="exact"/>
        <w:rPr>
          <w:rFonts w:ascii="Arial" w:cs="Arial" w:eastAsia="Arial" w:hAnsi="Arial"/>
          <w:sz w:val="17"/>
          <w:szCs w:val="17"/>
          <w:color w:val="auto"/>
        </w:rPr>
      </w:pPr>
    </w:p>
    <w:p>
      <w:pPr>
        <w:ind w:left="2500" w:right="80" w:hanging="479"/>
        <w:spacing w:after="0" w:line="251" w:lineRule="auto"/>
        <w:tabs>
          <w:tab w:leader="none" w:pos="250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High Inventory Turnover</w:t>
      </w:r>
      <w:r>
        <w:rPr>
          <w:rFonts w:ascii="Arial" w:cs="Arial" w:eastAsia="Arial" w:hAnsi="Arial"/>
          <w:sz w:val="17"/>
          <w:szCs w:val="17"/>
          <w:color w:val="auto"/>
        </w:rPr>
        <w:t>. Grocery inventory turns over in real time with high velocity. Inventory forecasting and SKU</w:t>
      </w:r>
      <w:r>
        <w:rPr>
          <w:rFonts w:ascii="Arial" w:cs="Arial" w:eastAsia="Arial" w:hAnsi="Arial"/>
          <w:sz w:val="17"/>
          <w:szCs w:val="17"/>
          <w:i w:val="1"/>
          <w:iCs w:val="1"/>
          <w:color w:val="auto"/>
        </w:rPr>
        <w:t xml:space="preserve"> </w:t>
      </w:r>
      <w:r>
        <w:rPr>
          <w:rFonts w:ascii="Arial" w:cs="Arial" w:eastAsia="Arial" w:hAnsi="Arial"/>
          <w:sz w:val="17"/>
          <w:szCs w:val="17"/>
          <w:color w:val="auto"/>
        </w:rPr>
        <w:t>rationalization, as well as evaluating which products to sell or discontinue, are critical to maximizing sales and profitability.</w:t>
      </w:r>
    </w:p>
    <w:p>
      <w:pPr>
        <w:spacing w:after="0" w:line="94" w:lineRule="exact"/>
        <w:rPr>
          <w:rFonts w:ascii="Arial" w:cs="Arial" w:eastAsia="Arial" w:hAnsi="Arial"/>
          <w:sz w:val="17"/>
          <w:szCs w:val="17"/>
          <w:color w:val="auto"/>
        </w:rPr>
      </w:pPr>
    </w:p>
    <w:p>
      <w:pPr>
        <w:ind w:left="2500" w:right="100" w:hanging="479"/>
        <w:spacing w:after="0" w:line="219" w:lineRule="auto"/>
        <w:tabs>
          <w:tab w:leader="none" w:pos="250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Large Portion of Perishables</w:t>
      </w:r>
      <w:r>
        <w:rPr>
          <w:rFonts w:ascii="Arial" w:cs="Arial" w:eastAsia="Arial" w:hAnsi="Arial"/>
          <w:sz w:val="17"/>
          <w:szCs w:val="17"/>
          <w:color w:val="auto"/>
        </w:rPr>
        <w:t>. Perishables account for 16% of North American grocery sales.</w:t>
      </w:r>
      <w:r>
        <w:rPr>
          <w:rFonts w:ascii="Arial" w:cs="Arial" w:eastAsia="Arial" w:hAnsi="Arial"/>
          <w:sz w:val="25"/>
          <w:szCs w:val="25"/>
          <w:color w:val="auto"/>
          <w:vertAlign w:val="superscript"/>
        </w:rPr>
        <w:t>38</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it is</w:t>
      </w:r>
      <w:r>
        <w:rPr>
          <w:rFonts w:ascii="Arial" w:cs="Arial" w:eastAsia="Arial" w:hAnsi="Arial"/>
          <w:sz w:val="17"/>
          <w:szCs w:val="17"/>
          <w:i w:val="1"/>
          <w:iCs w:val="1"/>
          <w:color w:val="auto"/>
        </w:rPr>
        <w:t xml:space="preserve"> </w:t>
      </w:r>
      <w:r>
        <w:rPr>
          <w:rFonts w:ascii="Arial" w:cs="Arial" w:eastAsia="Arial" w:hAnsi="Arial"/>
          <w:sz w:val="17"/>
          <w:szCs w:val="17"/>
          <w:color w:val="auto"/>
        </w:rPr>
        <w:t>imperative for grocers to manage this inventory carefully and maintain specific temperatures to reduce food waste and operational inefficiencies.</w:t>
      </w:r>
    </w:p>
    <w:p>
      <w:pPr>
        <w:spacing w:after="0" w:line="102" w:lineRule="exact"/>
        <w:rPr>
          <w:rFonts w:ascii="Arial" w:cs="Arial" w:eastAsia="Arial" w:hAnsi="Arial"/>
          <w:sz w:val="17"/>
          <w:szCs w:val="17"/>
          <w:color w:val="auto"/>
        </w:rPr>
      </w:pPr>
    </w:p>
    <w:p>
      <w:pPr>
        <w:jc w:val="both"/>
        <w:ind w:left="1500" w:right="100" w:hanging="479"/>
        <w:spacing w:after="0" w:line="260" w:lineRule="auto"/>
        <w:tabs>
          <w:tab w:leader="none" w:pos="15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Breadth of Fulfillment Options</w:t>
      </w:r>
      <w:r>
        <w:rPr>
          <w:rFonts w:ascii="Arial" w:cs="Arial" w:eastAsia="Arial" w:hAnsi="Arial"/>
          <w:sz w:val="17"/>
          <w:szCs w:val="17"/>
          <w:color w:val="auto"/>
        </w:rPr>
        <w:t>. Whether a consumer chooses pickup, scheduled delivery, or on-demand delivery, each order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picking and packing. Picking is complex due to the sheer scale of grocery stores and a number of factors that require quality control, such as accuracy of the item, preferred replacement, and product freshness.</w:t>
      </w:r>
    </w:p>
    <w:p>
      <w:pPr>
        <w:spacing w:after="0" w:line="86" w:lineRule="exact"/>
        <w:rPr>
          <w:rFonts w:ascii="Arial" w:cs="Arial" w:eastAsia="Arial" w:hAnsi="Arial"/>
          <w:sz w:val="17"/>
          <w:szCs w:val="17"/>
          <w:color w:val="auto"/>
        </w:rPr>
      </w:pPr>
    </w:p>
    <w:p>
      <w:pPr>
        <w:ind w:left="1500" w:right="240" w:hanging="479"/>
        <w:spacing w:after="0" w:line="264" w:lineRule="auto"/>
        <w:tabs>
          <w:tab w:leader="none" w:pos="15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Competition for Technical Talent</w:t>
      </w:r>
      <w:r>
        <w:rPr>
          <w:rFonts w:ascii="Arial" w:cs="Arial" w:eastAsia="Arial" w:hAnsi="Arial"/>
          <w:sz w:val="17"/>
          <w:szCs w:val="17"/>
          <w:color w:val="auto"/>
        </w:rPr>
        <w:t>. In a survey, more than half of respondents in the grocery industry reported they believe it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 to attract the necessary talent to support digital growth in the next five years.</w:t>
      </w:r>
      <w:r>
        <w:rPr>
          <w:rFonts w:ascii="Arial" w:cs="Arial" w:eastAsia="Arial" w:hAnsi="Arial"/>
          <w:sz w:val="25"/>
          <w:szCs w:val="25"/>
          <w:color w:val="auto"/>
          <w:vertAlign w:val="superscript"/>
        </w:rPr>
        <w:t>39</w:t>
      </w:r>
    </w:p>
    <w:p>
      <w:pPr>
        <w:spacing w:after="0" w:line="1" w:lineRule="exact"/>
        <w:rPr>
          <w:rFonts w:ascii="Arial" w:cs="Arial" w:eastAsia="Arial" w:hAnsi="Arial"/>
          <w:sz w:val="17"/>
          <w:szCs w:val="17"/>
          <w:color w:val="auto"/>
        </w:rPr>
      </w:pPr>
    </w:p>
    <w:p>
      <w:pPr>
        <w:ind w:left="1500" w:right="100" w:hanging="479"/>
        <w:spacing w:after="0" w:line="254" w:lineRule="auto"/>
        <w:tabs>
          <w:tab w:leader="none" w:pos="15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Limited Personalization</w:t>
      </w:r>
      <w:r>
        <w:rPr>
          <w:rFonts w:ascii="Arial" w:cs="Arial" w:eastAsia="Arial" w:hAnsi="Arial"/>
          <w:sz w:val="17"/>
          <w:szCs w:val="17"/>
          <w:color w:val="auto"/>
        </w:rPr>
        <w:t>. Grocers have historically lacked access to a solution to aggregate and analyze data across online and offline</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provide actionable insights, and help create personalized experiences for customers.</w:t>
      </w:r>
    </w:p>
    <w:p>
      <w:pPr>
        <w:spacing w:after="0" w:line="91" w:lineRule="exact"/>
        <w:rPr>
          <w:rFonts w:ascii="Arial" w:cs="Arial" w:eastAsia="Arial" w:hAnsi="Arial"/>
          <w:sz w:val="17"/>
          <w:szCs w:val="17"/>
          <w:color w:val="auto"/>
        </w:rPr>
      </w:pPr>
    </w:p>
    <w:p>
      <w:pPr>
        <w:ind w:left="1500" w:right="100" w:hanging="479"/>
        <w:spacing w:after="0" w:line="260" w:lineRule="auto"/>
        <w:tabs>
          <w:tab w:leader="none" w:pos="15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Lack of Technology Custom-Built for Online Grocery. </w:t>
      </w:r>
      <w:r>
        <w:rPr>
          <w:rFonts w:ascii="Arial" w:cs="Arial" w:eastAsia="Arial" w:hAnsi="Arial"/>
          <w:sz w:val="17"/>
          <w:szCs w:val="17"/>
          <w:color w:val="auto"/>
        </w:rPr>
        <w:t>The industry has historically lacked a unified technology solution built</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for grocers. With operations spread across multiple products with varying technology capabilities, many grocers struggle to manage their businesses while simultaneously providing a seamless experience for their customers.</w:t>
      </w:r>
    </w:p>
    <w:p>
      <w:pPr>
        <w:spacing w:after="0" w:line="86" w:lineRule="exact"/>
        <w:rPr>
          <w:rFonts w:ascii="Arial" w:cs="Arial" w:eastAsia="Arial" w:hAnsi="Arial"/>
          <w:sz w:val="17"/>
          <w:szCs w:val="17"/>
          <w:color w:val="auto"/>
        </w:rPr>
      </w:pPr>
    </w:p>
    <w:p>
      <w:pPr>
        <w:ind w:left="1500" w:right="160" w:hanging="479"/>
        <w:spacing w:after="0" w:line="238" w:lineRule="auto"/>
        <w:tabs>
          <w:tab w:leader="none" w:pos="15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Low Operating Margins and High Fixed Costs</w:t>
      </w:r>
      <w:r>
        <w:rPr>
          <w:rFonts w:ascii="Arial" w:cs="Arial" w:eastAsia="Arial" w:hAnsi="Arial"/>
          <w:sz w:val="16"/>
          <w:szCs w:val="16"/>
          <w:color w:val="auto"/>
        </w:rPr>
        <w:t>. The typical grocery retail operating margin is 6%,</w:t>
      </w:r>
      <w:r>
        <w:rPr>
          <w:rFonts w:ascii="Arial" w:cs="Arial" w:eastAsia="Arial" w:hAnsi="Arial"/>
          <w:sz w:val="24"/>
          <w:szCs w:val="24"/>
          <w:color w:val="auto"/>
          <w:vertAlign w:val="superscript"/>
        </w:rPr>
        <w:t>40</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lower than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categories. Many grocery retailers are also burdened by a high fixed cost base that is sensitive to market share gains and losses. We believe these factors, taken together, increase the importance of operational efficiencies and limit most grocers’ ability to deploy capital for digital transformation, which is key for competitive differentiation.</w:t>
      </w:r>
    </w:p>
    <w:p>
      <w:pPr>
        <w:spacing w:after="0" w:line="29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Diverse Consumer Use Cases</w:t>
      </w:r>
    </w:p>
    <w:p>
      <w:pPr>
        <w:spacing w:after="0" w:line="108" w:lineRule="exact"/>
        <w:rPr>
          <w:sz w:val="20"/>
          <w:szCs w:val="20"/>
          <w:color w:val="auto"/>
        </w:rPr>
      </w:pPr>
    </w:p>
    <w:p>
      <w:pPr>
        <w:ind w:left="620" w:right="80" w:firstLine="399"/>
        <w:spacing w:after="0" w:line="284" w:lineRule="auto"/>
        <w:rPr>
          <w:sz w:val="20"/>
          <w:szCs w:val="20"/>
          <w:color w:val="auto"/>
        </w:rPr>
      </w:pPr>
      <w:r>
        <w:rPr>
          <w:rFonts w:ascii="Arial" w:cs="Arial" w:eastAsia="Arial" w:hAnsi="Arial"/>
          <w:sz w:val="17"/>
          <w:szCs w:val="17"/>
          <w:color w:val="auto"/>
        </w:rPr>
        <w:t>Grocery is a large, recurring, non-discretionary, and high frequency consumer category. Americans shop for groceries 1.6 times per week on average,</w:t>
      </w:r>
      <w:r>
        <w:rPr>
          <w:rFonts w:ascii="Arial" w:cs="Arial" w:eastAsia="Arial" w:hAnsi="Arial"/>
          <w:sz w:val="25"/>
          <w:szCs w:val="25"/>
          <w:color w:val="auto"/>
          <w:vertAlign w:val="superscript"/>
        </w:rPr>
        <w:t>41</w:t>
      </w:r>
      <w:r>
        <w:rPr>
          <w:rFonts w:ascii="Arial" w:cs="Arial" w:eastAsia="Arial" w:hAnsi="Arial"/>
          <w:sz w:val="17"/>
          <w:szCs w:val="17"/>
          <w:color w:val="auto"/>
        </w:rPr>
        <w:t xml:space="preserve"> spend $438 per month on groceries on average,</w:t>
      </w:r>
      <w:r>
        <w:rPr>
          <w:rFonts w:ascii="Arial" w:cs="Arial" w:eastAsia="Arial" w:hAnsi="Arial"/>
          <w:sz w:val="25"/>
          <w:szCs w:val="25"/>
          <w:color w:val="auto"/>
          <w:vertAlign w:val="superscript"/>
        </w:rPr>
        <w:t>42</w:t>
      </w:r>
      <w:r>
        <w:rPr>
          <w:rFonts w:ascii="Arial" w:cs="Arial" w:eastAsia="Arial" w:hAnsi="Arial"/>
          <w:sz w:val="17"/>
          <w:szCs w:val="17"/>
          <w:color w:val="auto"/>
        </w:rPr>
        <w:t xml:space="preserve"> and have a wide</w:t>
      </w:r>
    </w:p>
    <w:p>
      <w:pPr>
        <w:spacing w:after="0" w:line="5" w:lineRule="exact"/>
        <w:rPr>
          <w:sz w:val="20"/>
          <w:szCs w:val="20"/>
          <w:color w:val="auto"/>
        </w:rPr>
      </w:pPr>
    </w:p>
    <w:p>
      <w:pPr>
        <w:ind w:left="1020" w:hanging="392"/>
        <w:spacing w:after="0"/>
        <w:tabs>
          <w:tab w:leader="none" w:pos="1020" w:val="left"/>
        </w:tabs>
        <w:numPr>
          <w:ilvl w:val="0"/>
          <w:numId w:val="24"/>
        </w:numPr>
        <w:rPr>
          <w:rFonts w:ascii="Arial" w:cs="Arial" w:eastAsia="Arial" w:hAnsi="Arial"/>
          <w:sz w:val="10"/>
          <w:szCs w:val="10"/>
          <w:color w:val="auto"/>
        </w:rPr>
      </w:pPr>
      <w:r>
        <w:rPr>
          <w:rFonts w:ascii="Arial" w:cs="Arial" w:eastAsia="Arial" w:hAnsi="Arial"/>
          <w:sz w:val="13"/>
          <w:szCs w:val="13"/>
          <w:color w:val="auto"/>
        </w:rPr>
        <w:t xml:space="preserve">In 2019. FMI, </w:t>
      </w:r>
      <w:r>
        <w:rPr>
          <w:rFonts w:ascii="Arial" w:cs="Arial" w:eastAsia="Arial" w:hAnsi="Arial"/>
          <w:sz w:val="13"/>
          <w:szCs w:val="13"/>
          <w:i w:val="1"/>
          <w:iCs w:val="1"/>
          <w:color w:val="auto"/>
        </w:rPr>
        <w:t>Supermarket Facts</w:t>
      </w:r>
      <w:r>
        <w:rPr>
          <w:rFonts w:ascii="Arial" w:cs="Arial" w:eastAsia="Arial" w:hAnsi="Arial"/>
          <w:sz w:val="13"/>
          <w:szCs w:val="13"/>
          <w:color w:val="auto"/>
        </w:rPr>
        <w:t>.</w:t>
      </w:r>
    </w:p>
    <w:p>
      <w:pPr>
        <w:spacing w:after="0" w:line="1" w:lineRule="exact"/>
        <w:rPr>
          <w:rFonts w:ascii="Arial" w:cs="Arial" w:eastAsia="Arial" w:hAnsi="Arial"/>
          <w:sz w:val="10"/>
          <w:szCs w:val="10"/>
          <w:color w:val="auto"/>
        </w:rPr>
      </w:pPr>
    </w:p>
    <w:p>
      <w:pPr>
        <w:ind w:left="1020" w:hanging="392"/>
        <w:spacing w:after="0" w:line="223" w:lineRule="auto"/>
        <w:tabs>
          <w:tab w:leader="none" w:pos="1020" w:val="left"/>
        </w:tabs>
        <w:numPr>
          <w:ilvl w:val="0"/>
          <w:numId w:val="24"/>
        </w:numPr>
        <w:rPr>
          <w:rFonts w:ascii="Arial" w:cs="Arial" w:eastAsia="Arial" w:hAnsi="Arial"/>
          <w:sz w:val="10"/>
          <w:szCs w:val="10"/>
          <w:color w:val="auto"/>
        </w:rPr>
      </w:pPr>
      <w:r>
        <w:rPr>
          <w:rFonts w:ascii="Arial" w:cs="Arial" w:eastAsia="Arial" w:hAnsi="Arial"/>
          <w:sz w:val="13"/>
          <w:szCs w:val="13"/>
          <w:color w:val="auto"/>
        </w:rPr>
        <w:t xml:space="preserve">In 2022. Euromonitor, </w:t>
      </w:r>
      <w:r>
        <w:rPr>
          <w:rFonts w:ascii="Arial" w:cs="Arial" w:eastAsia="Arial" w:hAnsi="Arial"/>
          <w:sz w:val="13"/>
          <w:szCs w:val="13"/>
          <w:i w:val="1"/>
          <w:iCs w:val="1"/>
          <w:color w:val="auto"/>
        </w:rPr>
        <w:t>Retail</w:t>
      </w:r>
      <w:r>
        <w:rPr>
          <w:rFonts w:ascii="Arial" w:cs="Arial" w:eastAsia="Arial" w:hAnsi="Arial"/>
          <w:sz w:val="13"/>
          <w:szCs w:val="13"/>
          <w:color w:val="auto"/>
        </w:rPr>
        <w:t xml:space="preserve"> (2023 edition), </w:t>
      </w:r>
      <w:r>
        <w:rPr>
          <w:rFonts w:ascii="Arial" w:cs="Arial" w:eastAsia="Arial" w:hAnsi="Arial"/>
          <w:sz w:val="13"/>
          <w:szCs w:val="13"/>
          <w:i w:val="1"/>
          <w:iCs w:val="1"/>
          <w:color w:val="auto"/>
        </w:rPr>
        <w:t>Fresh Food</w:t>
      </w:r>
      <w:r>
        <w:rPr>
          <w:rFonts w:ascii="Arial" w:cs="Arial" w:eastAsia="Arial" w:hAnsi="Arial"/>
          <w:sz w:val="13"/>
          <w:szCs w:val="13"/>
          <w:color w:val="auto"/>
        </w:rPr>
        <w:t xml:space="preserve"> (2023 edition). Fresh Food retail value RSP in North America in 2022 in USD, including sales tax, current terms, calculated as a percentage of total Grocery Retailers and Food E-Commerce and Drinks and Tobacco E-Commerce retail value RSP in North America in 2022 in USD, including sales tax, current terms.</w:t>
      </w:r>
    </w:p>
    <w:p>
      <w:pPr>
        <w:spacing w:after="0" w:line="1" w:lineRule="exact"/>
        <w:rPr>
          <w:rFonts w:ascii="Arial" w:cs="Arial" w:eastAsia="Arial" w:hAnsi="Arial"/>
          <w:sz w:val="10"/>
          <w:szCs w:val="10"/>
          <w:color w:val="auto"/>
        </w:rPr>
      </w:pPr>
    </w:p>
    <w:p>
      <w:pPr>
        <w:ind w:left="1020" w:hanging="392"/>
        <w:spacing w:after="0" w:line="223" w:lineRule="auto"/>
        <w:tabs>
          <w:tab w:leader="none" w:pos="1020" w:val="left"/>
        </w:tabs>
        <w:numPr>
          <w:ilvl w:val="0"/>
          <w:numId w:val="24"/>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ind w:left="1020" w:hanging="392"/>
        <w:spacing w:after="0" w:line="223" w:lineRule="auto"/>
        <w:tabs>
          <w:tab w:leader="none" w:pos="1020" w:val="left"/>
        </w:tabs>
        <w:numPr>
          <w:ilvl w:val="0"/>
          <w:numId w:val="24"/>
        </w:numPr>
        <w:rPr>
          <w:rFonts w:ascii="Arial" w:cs="Arial" w:eastAsia="Arial" w:hAnsi="Arial"/>
          <w:sz w:val="10"/>
          <w:szCs w:val="10"/>
          <w:color w:val="auto"/>
        </w:rPr>
      </w:pPr>
      <w:r>
        <w:rPr>
          <w:rFonts w:ascii="Arial" w:cs="Arial" w:eastAsia="Arial" w:hAnsi="Arial"/>
          <w:sz w:val="13"/>
          <w:szCs w:val="13"/>
          <w:color w:val="auto"/>
        </w:rPr>
        <w:t>Instacart estimate based on publicly available information of five leading grocers with business in the United States.</w:t>
      </w:r>
    </w:p>
    <w:p>
      <w:pPr>
        <w:ind w:left="1020" w:hanging="392"/>
        <w:spacing w:after="0" w:line="223" w:lineRule="auto"/>
        <w:tabs>
          <w:tab w:leader="none" w:pos="1020" w:val="left"/>
        </w:tabs>
        <w:numPr>
          <w:ilvl w:val="0"/>
          <w:numId w:val="24"/>
        </w:numPr>
        <w:rPr>
          <w:rFonts w:ascii="Arial" w:cs="Arial" w:eastAsia="Arial" w:hAnsi="Arial"/>
          <w:sz w:val="10"/>
          <w:szCs w:val="10"/>
          <w:color w:val="auto"/>
        </w:rPr>
      </w:pPr>
      <w:r>
        <w:rPr>
          <w:rFonts w:ascii="Arial" w:cs="Arial" w:eastAsia="Arial" w:hAnsi="Arial"/>
          <w:sz w:val="13"/>
          <w:szCs w:val="13"/>
          <w:color w:val="auto"/>
        </w:rPr>
        <w:t>In 2022. Statista; based on 2,091 respondents interviewed through online survey.</w:t>
      </w:r>
    </w:p>
    <w:p>
      <w:pPr>
        <w:ind w:left="1020" w:hanging="392"/>
        <w:spacing w:after="0"/>
        <w:tabs>
          <w:tab w:leader="none" w:pos="1020" w:val="left"/>
        </w:tabs>
        <w:numPr>
          <w:ilvl w:val="0"/>
          <w:numId w:val="24"/>
        </w:numPr>
        <w:rPr>
          <w:rFonts w:ascii="Arial" w:cs="Arial" w:eastAsia="Arial" w:hAnsi="Arial"/>
          <w:sz w:val="10"/>
          <w:szCs w:val="10"/>
          <w:color w:val="auto"/>
        </w:rPr>
      </w:pPr>
      <w:r>
        <w:rPr>
          <w:rFonts w:ascii="Arial" w:cs="Arial" w:eastAsia="Arial" w:hAnsi="Arial"/>
          <w:sz w:val="13"/>
          <w:szCs w:val="13"/>
          <w:color w:val="auto"/>
        </w:rPr>
        <w:t>U.S. Bureau of Labor Statistics; based on consumer expenditures in 2021.</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80"/>
          </w:cols>
          <w:pgMar w:left="320" w:top="440" w:right="99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480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6535" cy="5480685"/>
                    </a:xfrm>
                    <a:prstGeom prst="rect">
                      <a:avLst/>
                    </a:prstGeom>
                    <a:noFill/>
                  </pic:spPr>
                </pic:pic>
              </a:graphicData>
            </a:graphic>
          </wp:anchor>
        </w:drawing>
      </w:r>
    </w:p>
    <w:p>
      <w:pPr>
        <w:spacing w:after="0" w:line="292" w:lineRule="exact"/>
        <w:rPr>
          <w:sz w:val="20"/>
          <w:szCs w:val="20"/>
          <w:color w:val="auto"/>
        </w:rPr>
      </w:pPr>
    </w:p>
    <w:p>
      <w:pPr>
        <w:ind w:left="620" w:right="320"/>
        <w:spacing w:after="0" w:line="303" w:lineRule="auto"/>
        <w:rPr>
          <w:sz w:val="20"/>
          <w:szCs w:val="20"/>
          <w:color w:val="auto"/>
        </w:rPr>
      </w:pPr>
      <w:r>
        <w:rPr>
          <w:rFonts w:ascii="Arial" w:cs="Arial" w:eastAsia="Arial" w:hAnsi="Arial"/>
          <w:sz w:val="16"/>
          <w:szCs w:val="16"/>
          <w:color w:val="auto"/>
        </w:rPr>
        <w:t>range of brand and retailer loyalties. Given grocery is a non-discretionary expense, it touches a broad demographic of consumers, and value is critical. Urgency varies each time a consumer shops. We categorize consumer shopping occasions as follows:</w:t>
      </w:r>
    </w:p>
    <w:p>
      <w:pPr>
        <w:spacing w:after="0" w:line="55" w:lineRule="exact"/>
        <w:rPr>
          <w:sz w:val="20"/>
          <w:szCs w:val="20"/>
          <w:color w:val="auto"/>
        </w:rPr>
      </w:pPr>
    </w:p>
    <w:p>
      <w:pPr>
        <w:ind w:left="1500" w:right="120" w:hanging="479"/>
        <w:spacing w:after="0" w:line="256" w:lineRule="auto"/>
        <w:tabs>
          <w:tab w:leader="none" w:pos="15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Weekly shop </w:t>
      </w:r>
      <w:r>
        <w:rPr>
          <w:rFonts w:ascii="Arial" w:cs="Arial" w:eastAsia="Arial" w:hAnsi="Arial"/>
          <w:sz w:val="17"/>
          <w:szCs w:val="17"/>
          <w:color w:val="auto"/>
        </w:rPr>
        <w:t>is a recurring, planned shop to buy groceries and household items. We believe that weekly grocery shopping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largest portion of the market and has historically been the most common consumer use case, balancing the optimal mix of selection, quality, value, and convenience. We started by solving for the weekly shop and have expanded to serve broader needs for our retail partners and their customers.</w:t>
      </w:r>
    </w:p>
    <w:p>
      <w:pPr>
        <w:spacing w:after="0" w:line="90" w:lineRule="exact"/>
        <w:rPr>
          <w:rFonts w:ascii="Arial" w:cs="Arial" w:eastAsia="Arial" w:hAnsi="Arial"/>
          <w:sz w:val="17"/>
          <w:szCs w:val="17"/>
          <w:color w:val="auto"/>
        </w:rPr>
      </w:pPr>
    </w:p>
    <w:p>
      <w:pPr>
        <w:ind w:left="1500" w:hanging="479"/>
        <w:spacing w:after="0"/>
        <w:tabs>
          <w:tab w:leader="none" w:pos="15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Bulk stock-up </w:t>
      </w:r>
      <w:r>
        <w:rPr>
          <w:rFonts w:ascii="Arial" w:cs="Arial" w:eastAsia="Arial" w:hAnsi="Arial"/>
          <w:sz w:val="17"/>
          <w:szCs w:val="17"/>
          <w:color w:val="auto"/>
        </w:rPr>
        <w:t>is a less frequent shop for groceries and household items in large quantities.</w:t>
      </w:r>
    </w:p>
    <w:p>
      <w:pPr>
        <w:spacing w:after="0" w:line="121" w:lineRule="exact"/>
        <w:rPr>
          <w:rFonts w:ascii="Arial" w:cs="Arial" w:eastAsia="Arial" w:hAnsi="Arial"/>
          <w:sz w:val="17"/>
          <w:szCs w:val="17"/>
          <w:color w:val="auto"/>
        </w:rPr>
      </w:pPr>
    </w:p>
    <w:p>
      <w:pPr>
        <w:ind w:left="1500" w:hanging="479"/>
        <w:spacing w:after="0"/>
        <w:tabs>
          <w:tab w:leader="none" w:pos="15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Convenience </w:t>
      </w:r>
      <w:r>
        <w:rPr>
          <w:rFonts w:ascii="Arial" w:cs="Arial" w:eastAsia="Arial" w:hAnsi="Arial"/>
          <w:sz w:val="17"/>
          <w:szCs w:val="17"/>
          <w:color w:val="auto"/>
        </w:rPr>
        <w:t>is a frequent top-up shop to replenish items.</w:t>
      </w:r>
    </w:p>
    <w:p>
      <w:pPr>
        <w:spacing w:after="0" w:line="121" w:lineRule="exact"/>
        <w:rPr>
          <w:rFonts w:ascii="Arial" w:cs="Arial" w:eastAsia="Arial" w:hAnsi="Arial"/>
          <w:sz w:val="17"/>
          <w:szCs w:val="17"/>
          <w:color w:val="auto"/>
        </w:rPr>
      </w:pPr>
    </w:p>
    <w:p>
      <w:pPr>
        <w:ind w:left="1500" w:hanging="479"/>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Special occasion </w:t>
      </w:r>
      <w:r>
        <w:rPr>
          <w:rFonts w:ascii="Arial" w:cs="Arial" w:eastAsia="Arial" w:hAnsi="Arial"/>
          <w:sz w:val="16"/>
          <w:szCs w:val="16"/>
          <w:color w:val="auto"/>
        </w:rPr>
        <w:t>is a planned shop for a known event, like a holiday or a gift, often requiring special items on a tight schedule.</w:t>
      </w:r>
    </w:p>
    <w:p>
      <w:pPr>
        <w:spacing w:after="0" w:line="3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Challenges for CPG Brands</w:t>
      </w:r>
    </w:p>
    <w:p>
      <w:pPr>
        <w:spacing w:after="0" w:line="108" w:lineRule="exact"/>
        <w:rPr>
          <w:sz w:val="20"/>
          <w:szCs w:val="20"/>
          <w:color w:val="auto"/>
        </w:rPr>
      </w:pPr>
    </w:p>
    <w:p>
      <w:pPr>
        <w:ind w:left="620" w:right="20" w:firstLine="399"/>
        <w:spacing w:after="0" w:line="274" w:lineRule="auto"/>
        <w:rPr>
          <w:sz w:val="20"/>
          <w:szCs w:val="20"/>
          <w:color w:val="auto"/>
        </w:rPr>
      </w:pPr>
      <w:r>
        <w:rPr>
          <w:rFonts w:ascii="Arial" w:cs="Arial" w:eastAsia="Arial" w:hAnsi="Arial"/>
          <w:sz w:val="16"/>
          <w:szCs w:val="16"/>
          <w:color w:val="auto"/>
        </w:rPr>
        <w:t>As grocery moves online, CPG brands increasingly need to drive sales through digital channels. Brands have lacked access to a solution that runs a full-funnel marketing strategy purpose-built for online grocery. This is relevant for brands of all sizes, as even the most established brands must maintain mind share as consumers move online or risk being disrupted by emerging digital-first brands. Emerging brands face their own unique challenges in driving discovery through the traditional in-store model. Brands have historically lacked access to omni-channel insights to drive product development decisions, such as which items are selling and what consumers are searching for.</w:t>
      </w:r>
    </w:p>
    <w:p>
      <w:pPr>
        <w:spacing w:after="0" w:line="364"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Instacart Technology</w:t>
      </w:r>
    </w:p>
    <w:p>
      <w:pPr>
        <w:spacing w:after="0" w:line="214" w:lineRule="exact"/>
        <w:rPr>
          <w:sz w:val="20"/>
          <w:szCs w:val="20"/>
          <w:color w:val="auto"/>
        </w:rPr>
      </w:pPr>
    </w:p>
    <w:p>
      <w:pPr>
        <w:ind w:left="620" w:firstLine="399"/>
        <w:spacing w:after="0" w:line="254" w:lineRule="auto"/>
        <w:rPr>
          <w:sz w:val="20"/>
          <w:szCs w:val="20"/>
          <w:color w:val="auto"/>
        </w:rPr>
      </w:pPr>
      <w:r>
        <w:rPr>
          <w:rFonts w:ascii="Arial" w:cs="Arial" w:eastAsia="Arial" w:hAnsi="Arial"/>
          <w:sz w:val="16"/>
          <w:szCs w:val="16"/>
          <w:color w:val="auto"/>
        </w:rPr>
        <w:t>We built Instacart to serve the entire grocery ecosystem. The key pillars of our technology are Instacart Marketplace, Instacart Enterprise Platform, and Instacart Ads. Our solutions are underpinned by a shared foundation of technology, infrastructure, data insights, and fulfillment that leverages our scale and expertise specific to the grocery category. Our technology solutions are better together. Instacart Marketplace is the largest online grocery marketplace in North America and has powered hundreds of millions of orders placed by millions of customers.</w:t>
      </w:r>
      <w:r>
        <w:rPr>
          <w:rFonts w:ascii="Arial" w:cs="Arial" w:eastAsia="Arial" w:hAnsi="Arial"/>
          <w:sz w:val="24"/>
          <w:szCs w:val="24"/>
          <w:color w:val="auto"/>
          <w:vertAlign w:val="superscript"/>
        </w:rPr>
        <w:t>43</w:t>
      </w:r>
      <w:r>
        <w:rPr>
          <w:rFonts w:ascii="Arial" w:cs="Arial" w:eastAsia="Arial" w:hAnsi="Arial"/>
          <w:sz w:val="16"/>
          <w:szCs w:val="16"/>
          <w:color w:val="auto"/>
        </w:rPr>
        <w:t xml:space="preserve"> This scale gives us unique insights into customer buying behavior, needs, and trends across the entire grocery industry in North America. We then utilize these insights to enhance Instacart Enterprise Platform, ensuring retailers can best meet their customers’ needs across their owned and operated online and physical storefronts. Similarly, Instacart Enterprise Platform enhances Instacart Marketplace, as our deep integration with retailers allows us to expand marketplace capabilities for our customers. For example, as we integrate more deeply with our retail partners, we give them the ability to offer more fulfillment options, get more control over their brand, generate new revenue streams via Carrot Ads and Marketing Solutions, and integrate their own loyalty program.</w:t>
      </w:r>
    </w:p>
    <w:p>
      <w:pPr>
        <w:spacing w:after="0" w:line="184" w:lineRule="exact"/>
        <w:rPr>
          <w:sz w:val="20"/>
          <w:szCs w:val="20"/>
          <w:color w:val="auto"/>
        </w:rPr>
      </w:pPr>
    </w:p>
    <w:p>
      <w:pPr>
        <w:ind w:left="620" w:right="220" w:firstLine="399"/>
        <w:spacing w:after="0" w:line="254" w:lineRule="auto"/>
        <w:rPr>
          <w:sz w:val="20"/>
          <w:szCs w:val="20"/>
          <w:color w:val="auto"/>
        </w:rPr>
      </w:pPr>
      <w:r>
        <w:rPr>
          <w:rFonts w:ascii="Arial" w:cs="Arial" w:eastAsia="Arial" w:hAnsi="Arial"/>
          <w:sz w:val="17"/>
          <w:szCs w:val="17"/>
          <w:color w:val="auto"/>
        </w:rPr>
        <w:t>As we continue to scale and refine our technology and data insights across Instacart Marketplace and Instacart Enterprise Platform, our algorithms also continue to improve to provide significant benefits, including better search results, intelligent replacements, and more seamless checkout flows, among others. Many of these benefits also enhance the value delivered to our brand partners by enabling more measurable and targeted ads offerings that deliver higher returns for brand partners. This draws more brands to Instacart Ads, which yields benefits for Instacart Marketplace and Instacart Enterprise Platform.</w:t>
      </w:r>
    </w:p>
    <w:p>
      <w:pPr>
        <w:spacing w:after="0" w:line="150" w:lineRule="exact"/>
        <w:rPr>
          <w:sz w:val="20"/>
          <w:szCs w:val="20"/>
          <w:color w:val="auto"/>
        </w:rPr>
      </w:pPr>
    </w:p>
    <w:p>
      <w:pPr>
        <w:ind w:left="1020" w:hanging="392"/>
        <w:spacing w:after="0"/>
        <w:tabs>
          <w:tab w:leader="none" w:pos="1020" w:val="left"/>
        </w:tabs>
        <w:numPr>
          <w:ilvl w:val="0"/>
          <w:numId w:val="26"/>
        </w:numPr>
        <w:rPr>
          <w:rFonts w:ascii="Arial" w:cs="Arial" w:eastAsia="Arial" w:hAnsi="Arial"/>
          <w:sz w:val="10"/>
          <w:szCs w:val="10"/>
          <w:color w:val="auto"/>
        </w:rPr>
      </w:pPr>
      <w:r>
        <w:rPr>
          <w:rFonts w:ascii="Arial" w:cs="Arial" w:eastAsia="Arial" w:hAnsi="Arial"/>
          <w:sz w:val="13"/>
          <w:szCs w:val="13"/>
          <w:color w:val="auto"/>
        </w:rPr>
        <w:t>Based on GTV generated on Instacart and total grocery sales in 2022.</w:t>
      </w:r>
    </w:p>
    <w:p>
      <w:pPr>
        <w:spacing w:after="0" w:line="3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40"/>
          </w:cols>
          <w:pgMar w:left="320" w:top="440" w:right="10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4489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6535" cy="5448935"/>
                    </a:xfrm>
                    <a:prstGeom prst="rect">
                      <a:avLst/>
                    </a:prstGeom>
                    <a:noFill/>
                  </pic:spPr>
                </pic:pic>
              </a:graphicData>
            </a:graphic>
          </wp:anchor>
        </w:drawing>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Instacart Marketplace</w:t>
      </w:r>
    </w:p>
    <w:p>
      <w:pPr>
        <w:spacing w:after="0" w:line="108" w:lineRule="exact"/>
        <w:rPr>
          <w:sz w:val="20"/>
          <w:szCs w:val="20"/>
          <w:color w:val="auto"/>
        </w:rPr>
      </w:pPr>
    </w:p>
    <w:p>
      <w:pPr>
        <w:ind w:left="620" w:right="20" w:firstLine="399"/>
        <w:spacing w:after="0" w:line="250" w:lineRule="auto"/>
        <w:rPr>
          <w:sz w:val="20"/>
          <w:szCs w:val="20"/>
          <w:color w:val="auto"/>
        </w:rPr>
      </w:pPr>
      <w:r>
        <w:rPr>
          <w:rFonts w:ascii="Arial" w:cs="Arial" w:eastAsia="Arial" w:hAnsi="Arial"/>
          <w:sz w:val="16"/>
          <w:szCs w:val="16"/>
          <w:color w:val="auto"/>
        </w:rPr>
        <w:t>We launched Instacart Marketplace in 2012 and quickly became the first company to make online grocery shopping affordable and accessible to households across North America. Over the next decade, we built partnerships with more than 1,400 retail banners with more than 80,000 stores serving millions of households with same-day delivery.</w:t>
      </w:r>
      <w:r>
        <w:rPr>
          <w:rFonts w:ascii="Arial" w:cs="Arial" w:eastAsia="Arial" w:hAnsi="Arial"/>
          <w:sz w:val="24"/>
          <w:szCs w:val="24"/>
          <w:color w:val="auto"/>
          <w:vertAlign w:val="superscript"/>
        </w:rPr>
        <w:t>44</w:t>
      </w:r>
      <w:r>
        <w:rPr>
          <w:rFonts w:ascii="Arial" w:cs="Arial" w:eastAsia="Arial" w:hAnsi="Arial"/>
          <w:sz w:val="16"/>
          <w:szCs w:val="16"/>
          <w:color w:val="auto"/>
        </w:rPr>
        <w:t xml:space="preserve"> We focused on allowing customers to shop from grocers they trust while creating a differentiated customer experience. Today, through Instacart Marketplace, we help customers find their favorite products, provide an innovative ad business that inspires people to try new brands, connect customers to our dedicated shopper community, and help retailers and customers build deeper relationships. We help retailers serve their customers’ needs as to how and where they want to shop by supporting a wide array of fulfillment options, shopping occasions, and categories.</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Instacart Enterprise Platform</w:t>
      </w:r>
    </w:p>
    <w:p>
      <w:pPr>
        <w:spacing w:after="0" w:line="108" w:lineRule="exact"/>
        <w:rPr>
          <w:sz w:val="20"/>
          <w:szCs w:val="20"/>
          <w:color w:val="auto"/>
        </w:rPr>
      </w:pPr>
    </w:p>
    <w:p>
      <w:pPr>
        <w:ind w:left="620" w:right="100" w:firstLine="399"/>
        <w:spacing w:after="0" w:line="256" w:lineRule="auto"/>
        <w:rPr>
          <w:sz w:val="20"/>
          <w:szCs w:val="20"/>
          <w:color w:val="auto"/>
        </w:rPr>
      </w:pPr>
      <w:r>
        <w:rPr>
          <w:rFonts w:ascii="Arial" w:cs="Arial" w:eastAsia="Arial" w:hAnsi="Arial"/>
          <w:sz w:val="17"/>
          <w:szCs w:val="17"/>
          <w:color w:val="auto"/>
        </w:rPr>
        <w:t>Instacart Enterprise Platform is an end-to-end technology solution that powers retailers across all aspects of their business. Our offerings are modular, allowing retail partners to pick and choose which technologies best fit their needs. These solutions work seamlessly together, so retailers can more efficiently integrate with Instacart than they can with multiple separate technologies. Key components of Instacart Enterprise Platform include:</w:t>
      </w:r>
    </w:p>
    <w:p>
      <w:pPr>
        <w:sectPr>
          <w:pgSz w:w="11900" w:h="16838" w:orient="portrait"/>
          <w:cols w:equalWidth="0" w:num="1">
            <w:col w:w="10600"/>
          </w:cols>
          <w:pgMar w:left="320" w:top="440" w:right="979" w:bottom="1440" w:gutter="0" w:footer="0" w:header="0"/>
        </w:sectPr>
      </w:pPr>
    </w:p>
    <w:p>
      <w:pPr>
        <w:spacing w:after="0" w:line="9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340" w:lineRule="auto"/>
        <w:rPr>
          <w:sz w:val="20"/>
          <w:szCs w:val="20"/>
          <w:color w:val="auto"/>
        </w:rPr>
      </w:pPr>
      <w:r>
        <w:rPr>
          <w:rFonts w:ascii="Arial" w:cs="Arial" w:eastAsia="Arial" w:hAnsi="Arial"/>
          <w:sz w:val="15"/>
          <w:szCs w:val="15"/>
          <w:i w:val="1"/>
          <w:iCs w:val="1"/>
          <w:color w:val="auto"/>
        </w:rPr>
        <w:t>eCommerce</w:t>
      </w:r>
      <w:r>
        <w:rPr>
          <w:rFonts w:ascii="Arial" w:cs="Arial" w:eastAsia="Arial" w:hAnsi="Arial"/>
          <w:sz w:val="15"/>
          <w:szCs w:val="15"/>
          <w:color w:val="auto"/>
        </w:rPr>
        <w:t>. We power world class eCommerce storefronts for more than 550 retail banners,</w:t>
      </w:r>
      <w:r>
        <w:rPr>
          <w:rFonts w:ascii="Arial" w:cs="Arial" w:eastAsia="Arial" w:hAnsi="Arial"/>
          <w:sz w:val="11"/>
          <w:szCs w:val="11"/>
          <w:color w:val="auto"/>
        </w:rPr>
        <w:t>45</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discovery tools, to merchandising, to different payment models, to loyalty-as-a-service.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 and services, from</w:t>
      </w:r>
    </w:p>
    <w:p>
      <w:pPr>
        <w:spacing w:after="0" w:line="347" w:lineRule="exact"/>
        <w:rPr>
          <w:sz w:val="20"/>
          <w:szCs w:val="20"/>
          <w:color w:val="auto"/>
        </w:rPr>
      </w:pPr>
    </w:p>
    <w:p>
      <w:pPr>
        <w:sectPr>
          <w:pgSz w:w="11900" w:h="16838" w:orient="portrait"/>
          <w:cols w:equalWidth="0" w:num="3">
            <w:col w:w="1080" w:space="420"/>
            <w:col w:w="7060" w:space="720"/>
            <w:col w:w="1320"/>
          </w:cols>
          <w:pgMar w:left="320" w:top="440" w:right="979" w:bottom="1440" w:gutter="0" w:footer="0" w:header="0"/>
          <w:type w:val="continuous"/>
        </w:sectPr>
      </w:pPr>
    </w:p>
    <w:p>
      <w:pPr>
        <w:ind w:left="1500" w:right="60" w:hanging="479"/>
        <w:spacing w:after="0" w:line="277" w:lineRule="auto"/>
        <w:tabs>
          <w:tab w:leader="none" w:pos="15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Fulfillment</w:t>
      </w:r>
      <w:r>
        <w:rPr>
          <w:rFonts w:ascii="Arial" w:cs="Arial" w:eastAsia="Arial" w:hAnsi="Arial"/>
          <w:sz w:val="16"/>
          <w:szCs w:val="16"/>
          <w:color w:val="auto"/>
        </w:rPr>
        <w:t>. We help retailers fulfill grocery orders directly from their stores through our community of dedicated shoppers. Retailers</w:t>
      </w:r>
      <w:r>
        <w:rPr>
          <w:rFonts w:ascii="Arial" w:cs="Arial" w:eastAsia="Arial" w:hAnsi="Arial"/>
          <w:sz w:val="16"/>
          <w:szCs w:val="16"/>
          <w:i w:val="1"/>
          <w:iCs w:val="1"/>
          <w:color w:val="auto"/>
        </w:rPr>
        <w:t xml:space="preserve"> </w:t>
      </w:r>
      <w:r>
        <w:rPr>
          <w:rFonts w:ascii="Arial" w:cs="Arial" w:eastAsia="Arial" w:hAnsi="Arial"/>
          <w:sz w:val="16"/>
          <w:szCs w:val="16"/>
          <w:color w:val="auto"/>
        </w:rPr>
        <w:t>can leverage our fulfillment application programming interfaces, or API, to help fulfill orders that are placed through their owned and operated online storefronts. In most instances, Instacart shoppers pick, pack, and deliver these orders, but retailers can also use our technology to enable orders that are picked and packed by their own employees.</w:t>
      </w:r>
    </w:p>
    <w:p>
      <w:pPr>
        <w:spacing w:after="0" w:line="75" w:lineRule="exact"/>
        <w:rPr>
          <w:rFonts w:ascii="Arial" w:cs="Arial" w:eastAsia="Arial" w:hAnsi="Arial"/>
          <w:sz w:val="16"/>
          <w:szCs w:val="16"/>
          <w:color w:val="auto"/>
        </w:rPr>
      </w:pPr>
    </w:p>
    <w:p>
      <w:pPr>
        <w:ind w:left="1500" w:right="380" w:hanging="479"/>
        <w:spacing w:after="0" w:line="340" w:lineRule="auto"/>
        <w:tabs>
          <w:tab w:leader="none" w:pos="150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Connected Stores. </w:t>
      </w:r>
      <w:r>
        <w:rPr>
          <w:rFonts w:ascii="Arial" w:cs="Arial" w:eastAsia="Arial" w:hAnsi="Arial"/>
          <w:sz w:val="15"/>
          <w:szCs w:val="15"/>
          <w:color w:val="auto"/>
        </w:rPr>
        <w:t>Instacart helps retailers create a unified, seamless, and personalized experience across their online and in-store</w:t>
      </w:r>
      <w:r>
        <w:rPr>
          <w:rFonts w:ascii="Arial" w:cs="Arial" w:eastAsia="Arial" w:hAnsi="Arial"/>
          <w:sz w:val="15"/>
          <w:szCs w:val="15"/>
          <w:i w:val="1"/>
          <w:iCs w:val="1"/>
          <w:color w:val="auto"/>
        </w:rPr>
        <w:t xml:space="preserve"> </w:t>
      </w:r>
      <w:r>
        <w:rPr>
          <w:rFonts w:ascii="Arial" w:cs="Arial" w:eastAsia="Arial" w:hAnsi="Arial"/>
          <w:sz w:val="15"/>
          <w:szCs w:val="15"/>
          <w:color w:val="auto"/>
        </w:rPr>
        <w:t>footprints by leveraging technologies like Caper Carts, Scan &amp; Pay, Lists, Carrot Tags, FoodStorm, and Out of Stock Insights.</w:t>
      </w:r>
    </w:p>
    <w:p>
      <w:pPr>
        <w:spacing w:after="0" w:line="30" w:lineRule="exact"/>
        <w:rPr>
          <w:rFonts w:ascii="Arial" w:cs="Arial" w:eastAsia="Arial" w:hAnsi="Arial"/>
          <w:sz w:val="15"/>
          <w:szCs w:val="15"/>
          <w:color w:val="auto"/>
        </w:rPr>
      </w:pPr>
    </w:p>
    <w:p>
      <w:pPr>
        <w:ind w:left="1500" w:right="220" w:hanging="479"/>
        <w:spacing w:after="0" w:line="272" w:lineRule="auto"/>
        <w:tabs>
          <w:tab w:leader="none" w:pos="1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Ads</w:t>
      </w:r>
      <w:r>
        <w:rPr>
          <w:rFonts w:ascii="Arial" w:cs="Arial" w:eastAsia="Arial" w:hAnsi="Arial"/>
          <w:sz w:val="17"/>
          <w:szCs w:val="17"/>
          <w:color w:val="auto"/>
        </w:rPr>
        <w:t>. Carrot Ads, our enterprise ads offering, brings the best of Instacart Ads to retailers’ owned and operated online storefronts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apps. This opens up new revenue streams for retailers and increases the profitability of online orders.</w:t>
      </w:r>
    </w:p>
    <w:p>
      <w:pPr>
        <w:spacing w:after="0" w:line="76" w:lineRule="exact"/>
        <w:rPr>
          <w:rFonts w:ascii="Arial" w:cs="Arial" w:eastAsia="Arial" w:hAnsi="Arial"/>
          <w:sz w:val="17"/>
          <w:szCs w:val="17"/>
          <w:color w:val="auto"/>
        </w:rPr>
      </w:pPr>
    </w:p>
    <w:p>
      <w:pPr>
        <w:ind w:left="1500" w:right="240" w:hanging="479"/>
        <w:spacing w:after="0" w:line="260" w:lineRule="auto"/>
        <w:tabs>
          <w:tab w:leader="none" w:pos="1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Insights</w:t>
      </w:r>
      <w:r>
        <w:rPr>
          <w:rFonts w:ascii="Arial" w:cs="Arial" w:eastAsia="Arial" w:hAnsi="Arial"/>
          <w:sz w:val="17"/>
          <w:szCs w:val="17"/>
          <w:color w:val="auto"/>
        </w:rPr>
        <w:t>. Insights gives retailers near real-time visibility into their operations. By enabling visibility into key metrics like item</w:t>
      </w:r>
      <w:r>
        <w:rPr>
          <w:rFonts w:ascii="Arial" w:cs="Arial" w:eastAsia="Arial" w:hAnsi="Arial"/>
          <w:sz w:val="17"/>
          <w:szCs w:val="17"/>
          <w:i w:val="1"/>
          <w:iCs w:val="1"/>
          <w:color w:val="auto"/>
        </w:rPr>
        <w:t xml:space="preserve"> </w:t>
      </w:r>
      <w:r>
        <w:rPr>
          <w:rFonts w:ascii="Arial" w:cs="Arial" w:eastAsia="Arial" w:hAnsi="Arial"/>
          <w:sz w:val="17"/>
          <w:szCs w:val="17"/>
          <w:color w:val="auto"/>
        </w:rPr>
        <w:t>popularity, inventory levels and availability, order sizes, delivery times, delivery ratings, and sales, Insights helps retailers optimize operations and provide better customer experiences.</w:t>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Instacart Ads</w:t>
      </w:r>
    </w:p>
    <w:p>
      <w:pPr>
        <w:spacing w:after="0" w:line="108" w:lineRule="exact"/>
        <w:rPr>
          <w:sz w:val="20"/>
          <w:szCs w:val="20"/>
          <w:color w:val="auto"/>
        </w:rPr>
      </w:pPr>
    </w:p>
    <w:p>
      <w:pPr>
        <w:ind w:left="620" w:right="40" w:firstLine="399"/>
        <w:spacing w:after="0" w:line="301" w:lineRule="auto"/>
        <w:rPr>
          <w:sz w:val="20"/>
          <w:szCs w:val="20"/>
          <w:color w:val="auto"/>
        </w:rPr>
      </w:pPr>
      <w:r>
        <w:rPr>
          <w:rFonts w:ascii="Arial" w:cs="Arial" w:eastAsia="Arial" w:hAnsi="Arial"/>
          <w:sz w:val="15"/>
          <w:szCs w:val="15"/>
          <w:color w:val="auto"/>
        </w:rPr>
        <w:t>Instacart Ads combines the best of digital advertising — precision, actionability, and measurability — with the ability to directly move products off the shelves at stores, getting these products into the hands of customers within hours. Because it offers CPG brands a way to reach customers at the point of purchase and within minutes of delivery and consumption, our solution delivers highly measurable and strong ROI across all parts of the customer shopping journey, from awareness to consideration to purchase. We have a wide breadth of advertising</w:t>
      </w:r>
    </w:p>
    <w:p>
      <w:pPr>
        <w:spacing w:after="0" w:line="117" w:lineRule="exact"/>
        <w:rPr>
          <w:sz w:val="20"/>
          <w:szCs w:val="20"/>
          <w:color w:val="auto"/>
        </w:rPr>
      </w:pPr>
    </w:p>
    <w:p>
      <w:pPr>
        <w:ind w:left="1020" w:hanging="392"/>
        <w:spacing w:after="0"/>
        <w:tabs>
          <w:tab w:leader="none" w:pos="1020" w:val="left"/>
        </w:tabs>
        <w:numPr>
          <w:ilvl w:val="0"/>
          <w:numId w:val="28"/>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1020" w:hanging="392"/>
        <w:spacing w:after="0"/>
        <w:tabs>
          <w:tab w:leader="none" w:pos="1020" w:val="left"/>
        </w:tabs>
        <w:numPr>
          <w:ilvl w:val="0"/>
          <w:numId w:val="28"/>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00"/>
          </w:cols>
          <w:pgMar w:left="320" w:top="440" w:right="9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915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66535" cy="5915025"/>
                    </a:xfrm>
                    <a:prstGeom prst="rect">
                      <a:avLst/>
                    </a:prstGeom>
                    <a:noFill/>
                  </pic:spPr>
                </pic:pic>
              </a:graphicData>
            </a:graphic>
          </wp:anchor>
        </w:drawing>
      </w:r>
    </w:p>
    <w:p>
      <w:pPr>
        <w:spacing w:after="0" w:line="292" w:lineRule="exact"/>
        <w:rPr>
          <w:sz w:val="20"/>
          <w:szCs w:val="20"/>
          <w:color w:val="auto"/>
        </w:rPr>
      </w:pPr>
    </w:p>
    <w:p>
      <w:pPr>
        <w:ind w:left="620" w:right="60"/>
        <w:spacing w:after="0" w:line="340" w:lineRule="auto"/>
        <w:rPr>
          <w:sz w:val="20"/>
          <w:szCs w:val="20"/>
          <w:color w:val="auto"/>
        </w:rPr>
      </w:pPr>
      <w:r>
        <w:rPr>
          <w:rFonts w:ascii="Arial" w:cs="Arial" w:eastAsia="Arial" w:hAnsi="Arial"/>
          <w:sz w:val="15"/>
          <w:szCs w:val="15"/>
          <w:color w:val="auto"/>
        </w:rPr>
        <w:t>solutions, including sponsored product, display ads, brand pages, and coupons, to meet all of our brand partners’ needs. Instacart Ads also enables brands to fully track customer behavior from discovery to purchase, offering valuable insights about how to optimize their advertising spend.</w:t>
      </w:r>
    </w:p>
    <w:p>
      <w:pPr>
        <w:spacing w:after="0" w:line="119" w:lineRule="exact"/>
        <w:rPr>
          <w:sz w:val="20"/>
          <w:szCs w:val="20"/>
          <w:color w:val="auto"/>
        </w:rPr>
      </w:pPr>
    </w:p>
    <w:p>
      <w:pPr>
        <w:jc w:val="both"/>
        <w:ind w:left="620" w:right="300" w:firstLine="399"/>
        <w:spacing w:after="0" w:line="301" w:lineRule="auto"/>
        <w:rPr>
          <w:sz w:val="20"/>
          <w:szCs w:val="20"/>
          <w:color w:val="auto"/>
        </w:rPr>
      </w:pPr>
      <w:r>
        <w:rPr>
          <w:rFonts w:ascii="Arial" w:cs="Arial" w:eastAsia="Arial" w:hAnsi="Arial"/>
          <w:sz w:val="15"/>
          <w:szCs w:val="15"/>
          <w:color w:val="auto"/>
        </w:rPr>
        <w:t>We are not only building our advertising solutions to benefit brands, but also customers and retailers. We believe Instacart Ads delivers a superior shopping experience and pricing for customers by giving them access to thousands of deals and discounts, which in turn drives larger average order values for our retail partners. Retailers are also able to leverage Carrot Ads, an Instacart Enterprise Platform product that brings Instacart Ads to retailers’ own eCommerce sites and expands the customer reach available to our brand partners.</w:t>
      </w:r>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Our Strengths</w:t>
      </w:r>
    </w:p>
    <w:p>
      <w:pPr>
        <w:spacing w:after="0" w:line="214" w:lineRule="exact"/>
        <w:rPr>
          <w:sz w:val="20"/>
          <w:szCs w:val="20"/>
          <w:color w:val="auto"/>
        </w:rPr>
      </w:pPr>
    </w:p>
    <w:p>
      <w:pPr>
        <w:ind w:left="620" w:right="640" w:firstLine="399"/>
        <w:spacing w:after="0" w:line="272" w:lineRule="auto"/>
        <w:rPr>
          <w:sz w:val="20"/>
          <w:szCs w:val="20"/>
          <w:color w:val="auto"/>
        </w:rPr>
      </w:pPr>
      <w:r>
        <w:rPr>
          <w:rFonts w:ascii="Arial" w:cs="Arial" w:eastAsia="Arial" w:hAnsi="Arial"/>
          <w:sz w:val="17"/>
          <w:szCs w:val="17"/>
          <w:color w:val="auto"/>
        </w:rPr>
        <w:t>We believe the following strengths represent key strategic advantages for Instacart and have allowed us to build the leading grocery technology company in North America:</w:t>
      </w:r>
    </w:p>
    <w:p>
      <w:pPr>
        <w:spacing w:after="0" w:line="76" w:lineRule="exact"/>
        <w:rPr>
          <w:sz w:val="20"/>
          <w:szCs w:val="20"/>
          <w:color w:val="auto"/>
        </w:rPr>
      </w:pPr>
    </w:p>
    <w:p>
      <w:pPr>
        <w:ind w:left="1500" w:right="20" w:hanging="479"/>
        <w:spacing w:after="0" w:line="217" w:lineRule="auto"/>
        <w:tabs>
          <w:tab w:leader="none" w:pos="15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Deep Partnerships with Grocers that Represent more than 85% of the U.S. Grocery Industry. </w:t>
      </w:r>
      <w:r>
        <w:rPr>
          <w:rFonts w:ascii="Arial" w:cs="Arial" w:eastAsia="Arial" w:hAnsi="Arial"/>
          <w:sz w:val="17"/>
          <w:szCs w:val="17"/>
          <w:color w:val="auto"/>
        </w:rPr>
        <w:t>Today, more than 1,400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regional, and local retail banners</w:t>
      </w:r>
      <w:r>
        <w:rPr>
          <w:rFonts w:ascii="Arial" w:cs="Arial" w:eastAsia="Arial" w:hAnsi="Arial"/>
          <w:sz w:val="25"/>
          <w:szCs w:val="25"/>
          <w:color w:val="auto"/>
          <w:vertAlign w:val="superscript"/>
        </w:rPr>
        <w:t>46</w:t>
      </w:r>
      <w:r>
        <w:rPr>
          <w:rFonts w:ascii="Arial" w:cs="Arial" w:eastAsia="Arial" w:hAnsi="Arial"/>
          <w:sz w:val="17"/>
          <w:szCs w:val="17"/>
          <w:color w:val="auto"/>
        </w:rPr>
        <w:t xml:space="preserve"> that collectively represent more than 85% of the U.S. grocery industry partner with Instacart.</w:t>
      </w:r>
      <w:r>
        <w:rPr>
          <w:rFonts w:ascii="Arial" w:cs="Arial" w:eastAsia="Arial" w:hAnsi="Arial"/>
          <w:sz w:val="25"/>
          <w:szCs w:val="25"/>
          <w:color w:val="auto"/>
          <w:vertAlign w:val="superscript"/>
        </w:rPr>
        <w:t>47</w:t>
      </w:r>
      <w:r>
        <w:rPr>
          <w:rFonts w:ascii="Arial" w:cs="Arial" w:eastAsia="Arial" w:hAnsi="Arial"/>
          <w:sz w:val="17"/>
          <w:szCs w:val="17"/>
          <w:color w:val="auto"/>
        </w:rPr>
        <w:t xml:space="preserve"> We believe this represents the broadest selection of grocers on a marketplace in North America, providing customers with a superior online grocery shopping experience. Beyond Instacart Marketplace, we also power many of our retail partners’ owned and operated online storefronts through Instacart Enterprise Platform, positioning us as an increasingly integral part of our retail partners’ future growth.</w:t>
      </w:r>
    </w:p>
    <w:p>
      <w:pPr>
        <w:spacing w:after="0" w:line="102" w:lineRule="exact"/>
        <w:rPr>
          <w:rFonts w:ascii="Arial" w:cs="Arial" w:eastAsia="Arial" w:hAnsi="Arial"/>
          <w:sz w:val="17"/>
          <w:szCs w:val="17"/>
          <w:color w:val="auto"/>
        </w:rPr>
      </w:pPr>
    </w:p>
    <w:p>
      <w:pPr>
        <w:ind w:left="1500" w:hanging="479"/>
        <w:spacing w:after="0" w:line="269" w:lineRule="auto"/>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Trusted Technology Partner to the Grocery Industry. </w:t>
      </w:r>
      <w:r>
        <w:rPr>
          <w:rFonts w:ascii="Arial" w:cs="Arial" w:eastAsia="Arial" w:hAnsi="Arial"/>
          <w:sz w:val="16"/>
          <w:szCs w:val="16"/>
          <w:color w:val="auto"/>
        </w:rPr>
        <w:t>We are investing more in technology custom-built for online grocery than any</w:t>
      </w:r>
      <w:r>
        <w:rPr>
          <w:rFonts w:ascii="Arial" w:cs="Arial" w:eastAsia="Arial" w:hAnsi="Arial"/>
          <w:sz w:val="16"/>
          <w:szCs w:val="16"/>
          <w:i w:val="1"/>
          <w:iCs w:val="1"/>
          <w:color w:val="auto"/>
        </w:rPr>
        <w:t xml:space="preserve"> </w:t>
      </w:r>
      <w:r>
        <w:rPr>
          <w:rFonts w:ascii="Arial" w:cs="Arial" w:eastAsia="Arial" w:hAnsi="Arial"/>
          <w:sz w:val="16"/>
          <w:szCs w:val="16"/>
          <w:color w:val="auto"/>
        </w:rPr>
        <w:t>single grocer could on their own. Our machine learning algorithms process billions of data points each day to optimize a range of decisions and tasks, including basket building, merchandising, replacements, personalization, ads quality, demand forecasting, order fulfillment, shopper fleet mobilization, dispatching, and routing. Whenever a relevant new technology emerges, we work to adapt this technology for the specific needs of the grocery industry and make it available to our retail partners in short order — both online and in-store. We believe this incentivizes grocers to partner with Instacart, as they know that our technology will enable them to transform their businesses and enhance omni-channel customer experiences. Because we do not own inventory, we do not compete with our retail partners. We believe this combination puts us in a unique position to foster greater trust between grocers and Instacart, making us the preferred technology partner.</w:t>
      </w:r>
    </w:p>
    <w:p>
      <w:pPr>
        <w:spacing w:after="0" w:line="81" w:lineRule="exact"/>
        <w:rPr>
          <w:rFonts w:ascii="Arial" w:cs="Arial" w:eastAsia="Arial" w:hAnsi="Arial"/>
          <w:sz w:val="16"/>
          <w:szCs w:val="16"/>
          <w:color w:val="auto"/>
        </w:rPr>
      </w:pPr>
    </w:p>
    <w:p>
      <w:pPr>
        <w:ind w:left="1500" w:right="20" w:hanging="479"/>
        <w:spacing w:after="0" w:line="250" w:lineRule="auto"/>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Scale Benefits for Instacart as well as Our Retail Partners and Brands. </w:t>
      </w:r>
      <w:r>
        <w:rPr>
          <w:rFonts w:ascii="Arial" w:cs="Arial" w:eastAsia="Arial" w:hAnsi="Arial"/>
          <w:sz w:val="16"/>
          <w:szCs w:val="16"/>
          <w:color w:val="auto"/>
        </w:rPr>
        <w:t>We believe that we have the greatest breadth of grocer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over 1,400 retail banners that operate more than 80,000 stores.</w:t>
      </w:r>
      <w:r>
        <w:rPr>
          <w:rFonts w:ascii="Arial" w:cs="Arial" w:eastAsia="Arial" w:hAnsi="Arial"/>
          <w:sz w:val="24"/>
          <w:szCs w:val="24"/>
          <w:color w:val="auto"/>
          <w:vertAlign w:val="superscript"/>
        </w:rPr>
        <w:t>48</w:t>
      </w:r>
      <w:r>
        <w:rPr>
          <w:rFonts w:ascii="Arial" w:cs="Arial" w:eastAsia="Arial" w:hAnsi="Arial"/>
          <w:sz w:val="16"/>
          <w:szCs w:val="16"/>
          <w:color w:val="auto"/>
        </w:rPr>
        <w:t xml:space="preserve"> We have fulfilled hundreds of millions of orders, a scale that is necessary to realize the operational expertise and efficiencies that drive profitability and underpin our attractive financial model. Our scale also allows us to offer our customers the best selection, quality, value, and convenience, which attracts more customers and drives higher engagement. This results in more orders and increased customer wallet share for our retail partners, driving compelling economics for both retailers and Instacart. When brands advertise with us, they can reach their target audience more efficiently and at greater scale than is possible through other online channels.</w:t>
      </w:r>
    </w:p>
    <w:p>
      <w:pPr>
        <w:spacing w:after="0" w:line="94" w:lineRule="exact"/>
        <w:rPr>
          <w:rFonts w:ascii="Arial" w:cs="Arial" w:eastAsia="Arial" w:hAnsi="Arial"/>
          <w:sz w:val="16"/>
          <w:szCs w:val="16"/>
          <w:color w:val="auto"/>
        </w:rPr>
      </w:pPr>
    </w:p>
    <w:p>
      <w:pPr>
        <w:ind w:left="1500" w:right="40" w:hanging="479"/>
        <w:spacing w:after="0" w:line="256" w:lineRule="auto"/>
        <w:tabs>
          <w:tab w:leader="none" w:pos="15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Synergies from the Unique Combination of Marketplace and Enterprise Platform. </w:t>
      </w:r>
      <w:r>
        <w:rPr>
          <w:rFonts w:ascii="Arial" w:cs="Arial" w:eastAsia="Arial" w:hAnsi="Arial"/>
          <w:sz w:val="17"/>
          <w:szCs w:val="17"/>
          <w:color w:val="auto"/>
        </w:rPr>
        <w:t>We create powerful synergies by combining</w:t>
      </w:r>
      <w:r>
        <w:rPr>
          <w:rFonts w:ascii="Arial" w:cs="Arial" w:eastAsia="Arial" w:hAnsi="Arial"/>
          <w:sz w:val="17"/>
          <w:szCs w:val="17"/>
          <w:i w:val="1"/>
          <w:iCs w:val="1"/>
          <w:color w:val="auto"/>
        </w:rPr>
        <w:t xml:space="preserve"> </w:t>
      </w:r>
      <w:r>
        <w:rPr>
          <w:rFonts w:ascii="Arial" w:cs="Arial" w:eastAsia="Arial" w:hAnsi="Arial"/>
          <w:sz w:val="17"/>
          <w:szCs w:val="17"/>
          <w:color w:val="auto"/>
        </w:rPr>
        <w:t>Instacart Marketplace and Instacart Enterprise Platform. Our high-intent customers, their deep engagement with our marketplace, and our deep understanding of customer shopping behavior and preferences enable us to develop the best enterprise technology solutions to</w:t>
      </w:r>
    </w:p>
    <w:p>
      <w:pPr>
        <w:spacing w:after="0" w:line="148" w:lineRule="exact"/>
        <w:rPr>
          <w:sz w:val="20"/>
          <w:szCs w:val="20"/>
          <w:color w:val="auto"/>
        </w:rPr>
      </w:pPr>
    </w:p>
    <w:p>
      <w:pPr>
        <w:ind w:left="1020" w:hanging="392"/>
        <w:spacing w:after="0"/>
        <w:tabs>
          <w:tab w:leader="none" w:pos="1020" w:val="left"/>
        </w:tabs>
        <w:numPr>
          <w:ilvl w:val="0"/>
          <w:numId w:val="30"/>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1020" w:hanging="392"/>
        <w:spacing w:after="0" w:line="223" w:lineRule="auto"/>
        <w:tabs>
          <w:tab w:leader="none" w:pos="1020" w:val="left"/>
        </w:tabs>
        <w:numPr>
          <w:ilvl w:val="0"/>
          <w:numId w:val="30"/>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1020" w:hanging="392"/>
        <w:spacing w:after="0"/>
        <w:tabs>
          <w:tab w:leader="none" w:pos="1020" w:val="left"/>
        </w:tabs>
        <w:numPr>
          <w:ilvl w:val="0"/>
          <w:numId w:val="30"/>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0"/>
          </w:cols>
          <w:pgMar w:left="320" w:top="440" w:right="101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930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6535" cy="5930900"/>
                    </a:xfrm>
                    <a:prstGeom prst="rect">
                      <a:avLst/>
                    </a:prstGeom>
                    <a:noFill/>
                  </pic:spPr>
                </pic:pic>
              </a:graphicData>
            </a:graphic>
          </wp:anchor>
        </w:drawing>
      </w:r>
    </w:p>
    <w:p>
      <w:pPr>
        <w:spacing w:after="0" w:line="292" w:lineRule="exact"/>
        <w:rPr>
          <w:sz w:val="20"/>
          <w:szCs w:val="20"/>
          <w:color w:val="auto"/>
        </w:rPr>
      </w:pPr>
    </w:p>
    <w:p>
      <w:pPr>
        <w:ind w:left="1520"/>
        <w:spacing w:after="0" w:line="253" w:lineRule="auto"/>
        <w:rPr>
          <w:sz w:val="20"/>
          <w:szCs w:val="20"/>
          <w:color w:val="auto"/>
        </w:rPr>
      </w:pPr>
      <w:r>
        <w:rPr>
          <w:rFonts w:ascii="Arial" w:cs="Arial" w:eastAsia="Arial" w:hAnsi="Arial"/>
          <w:sz w:val="17"/>
          <w:szCs w:val="17"/>
          <w:color w:val="auto"/>
        </w:rPr>
        <w:t>serve the grocery industry. We leverage data generated through Instacart Marketplace to continuously enhance our enterprise offerings and help our retail partners best meet their customers’ demands. In turn, as we continue to improve our enterprise offering and deepen our partnerships with retailers, our retail partners benefit from enhanced marketplace capabilities such as the ability to offer more fulfillment options, get more control over their brand, generate new revenue streams via Carrot Ads and Marketing Solutions, and integrate their own loyalty program. Our deeply integrated solutions provide a seamless and unmatched omni-channel experience for both our retail partners and our customers.</w:t>
      </w:r>
    </w:p>
    <w:p>
      <w:pPr>
        <w:spacing w:after="0" w:line="93" w:lineRule="exact"/>
        <w:rPr>
          <w:sz w:val="20"/>
          <w:szCs w:val="20"/>
          <w:color w:val="auto"/>
        </w:rPr>
      </w:pPr>
    </w:p>
    <w:p>
      <w:pPr>
        <w:ind w:left="1500" w:right="20" w:hanging="479"/>
        <w:spacing w:after="0" w:line="253" w:lineRule="auto"/>
        <w:tabs>
          <w:tab w:leader="none" w:pos="15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Breadth and Diversity of Grocery Use Cases. </w:t>
      </w:r>
      <w:r>
        <w:rPr>
          <w:rFonts w:ascii="Arial" w:cs="Arial" w:eastAsia="Arial" w:hAnsi="Arial"/>
          <w:sz w:val="17"/>
          <w:szCs w:val="17"/>
          <w:color w:val="auto"/>
        </w:rPr>
        <w:t>Instacart allows customers to place orders across a variety of use cases. For retailers, we</w:t>
      </w:r>
      <w:r>
        <w:rPr>
          <w:rFonts w:ascii="Arial" w:cs="Arial" w:eastAsia="Arial" w:hAnsi="Arial"/>
          <w:sz w:val="17"/>
          <w:szCs w:val="17"/>
          <w:i w:val="1"/>
          <w:iCs w:val="1"/>
          <w:color w:val="auto"/>
        </w:rPr>
        <w:t xml:space="preserve"> </w:t>
      </w:r>
      <w:r>
        <w:rPr>
          <w:rFonts w:ascii="Arial" w:cs="Arial" w:eastAsia="Arial" w:hAnsi="Arial"/>
          <w:sz w:val="17"/>
          <w:szCs w:val="17"/>
          <w:color w:val="auto"/>
        </w:rPr>
        <w:t>enable them to offer customers a full range of fulfillment options, from on-demand delivery in as fast as 30 minutes to two hours or next day. Our model is flexible and efficient, which allows us to help retailers serve all use cases of grocery, unlike other players that tend to focus on serving a particular use case. Because we serve this breadth of use cases, we are a better partner to retailers by helping them address consumer needs and drive engagement and a better partner to brands by creating more diverse and actionable advertising opportunities.</w:t>
      </w:r>
    </w:p>
    <w:p>
      <w:pPr>
        <w:spacing w:after="0" w:line="93" w:lineRule="exact"/>
        <w:rPr>
          <w:rFonts w:ascii="Arial" w:cs="Arial" w:eastAsia="Arial" w:hAnsi="Arial"/>
          <w:sz w:val="17"/>
          <w:szCs w:val="17"/>
          <w:color w:val="auto"/>
        </w:rPr>
      </w:pPr>
    </w:p>
    <w:p>
      <w:pPr>
        <w:ind w:left="1500" w:right="60" w:hanging="479"/>
        <w:spacing w:after="0" w:line="301" w:lineRule="auto"/>
        <w:tabs>
          <w:tab w:leader="none" w:pos="15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Ads Offerings that Combine Online Performance with the Ability to Move Products Off Shelves. </w:t>
      </w:r>
      <w:r>
        <w:rPr>
          <w:rFonts w:ascii="Arial" w:cs="Arial" w:eastAsia="Arial" w:hAnsi="Arial"/>
          <w:sz w:val="15"/>
          <w:szCs w:val="15"/>
          <w:color w:val="auto"/>
        </w:rPr>
        <w:t>Our grocery expertise has enabled us</w:t>
      </w:r>
      <w:r>
        <w:rPr>
          <w:rFonts w:ascii="Arial" w:cs="Arial" w:eastAsia="Arial" w:hAnsi="Arial"/>
          <w:sz w:val="15"/>
          <w:szCs w:val="15"/>
          <w:i w:val="1"/>
          <w:iCs w:val="1"/>
          <w:color w:val="auto"/>
        </w:rPr>
        <w:t xml:space="preserve"> </w:t>
      </w:r>
      <w:r>
        <w:rPr>
          <w:rFonts w:ascii="Arial" w:cs="Arial" w:eastAsia="Arial" w:hAnsi="Arial"/>
          <w:sz w:val="15"/>
          <w:szCs w:val="15"/>
          <w:color w:val="auto"/>
        </w:rPr>
        <w:t>to build differentiated advertising solutions and tools that allow CPG brands to reach and engage with high-intent customers at the point of purchase and within minutes of delivery and consumption. With our unique customer data and insights, we provide differentiated analytics for brands, allowing them to better optimize their advertising spend and grow their wallet share.</w:t>
      </w:r>
    </w:p>
    <w:p>
      <w:pPr>
        <w:spacing w:after="0" w:line="59" w:lineRule="exact"/>
        <w:rPr>
          <w:rFonts w:ascii="Arial" w:cs="Arial" w:eastAsia="Arial" w:hAnsi="Arial"/>
          <w:sz w:val="15"/>
          <w:szCs w:val="15"/>
          <w:color w:val="auto"/>
        </w:rPr>
      </w:pPr>
    </w:p>
    <w:p>
      <w:pPr>
        <w:ind w:left="1500" w:right="100" w:hanging="479"/>
        <w:spacing w:after="0" w:line="254" w:lineRule="auto"/>
        <w:tabs>
          <w:tab w:leader="none" w:pos="15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Capital Efficient, Flexible Model</w:t>
      </w:r>
      <w:r>
        <w:rPr>
          <w:rFonts w:ascii="Arial" w:cs="Arial" w:eastAsia="Arial" w:hAnsi="Arial"/>
          <w:sz w:val="17"/>
          <w:szCs w:val="17"/>
          <w:color w:val="auto"/>
        </w:rPr>
        <w:t>. Our technology helps retail partners expand the consumer use cases and fulfillment options they</w:t>
      </w:r>
      <w:r>
        <w:rPr>
          <w:rFonts w:ascii="Arial" w:cs="Arial" w:eastAsia="Arial" w:hAnsi="Arial"/>
          <w:sz w:val="17"/>
          <w:szCs w:val="17"/>
          <w:i w:val="1"/>
          <w:iCs w:val="1"/>
          <w:color w:val="auto"/>
        </w:rPr>
        <w:t xml:space="preserve"> </w:t>
      </w:r>
      <w:r>
        <w:rPr>
          <w:rFonts w:ascii="Arial" w:cs="Arial" w:eastAsia="Arial" w:hAnsi="Arial"/>
          <w:sz w:val="17"/>
          <w:szCs w:val="17"/>
          <w:color w:val="auto"/>
        </w:rPr>
        <w:t>offer using their existing store footprints. This allows retailers to transition from a brick-and-mortar business to a complete omni-channel offering within weeks, and for us to seamlessly add new retail partners to Instacart without significant capital investments or the need to take on any inventory risk. Our capital efficiency enables us and our retail partners to react quickly to changes in the industry and consumer preferences.</w:t>
      </w:r>
    </w:p>
    <w:p>
      <w:pPr>
        <w:spacing w:after="0" w:line="92" w:lineRule="exact"/>
        <w:rPr>
          <w:rFonts w:ascii="Arial" w:cs="Arial" w:eastAsia="Arial" w:hAnsi="Arial"/>
          <w:sz w:val="17"/>
          <w:szCs w:val="17"/>
          <w:color w:val="auto"/>
        </w:rPr>
      </w:pPr>
    </w:p>
    <w:p>
      <w:pPr>
        <w:ind w:left="1500" w:right="40" w:hanging="479"/>
        <w:spacing w:after="0" w:line="268" w:lineRule="auto"/>
        <w:tabs>
          <w:tab w:leader="none" w:pos="15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Compelling Financial Model Based on Shared Success. </w:t>
      </w:r>
      <w:r>
        <w:rPr>
          <w:rFonts w:ascii="Arial" w:cs="Arial" w:eastAsia="Arial" w:hAnsi="Arial"/>
          <w:sz w:val="16"/>
          <w:szCs w:val="16"/>
          <w:color w:val="auto"/>
        </w:rPr>
        <w:t>Our technology helps drive growth and strengthen operational efficiencies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retail partners, which in turn strengthens Instacart’s financial model. For example, our technology helps retail partners expand the consumer use cases and fulfillment options they offer. This drives new customer acquisition and greater customer engagement, resulting in growth for retailers, CPG brands, and Instacart. Our ads offerings not only provide high marketing ROI and drive incremental sales for our brand partners, but our retail partners also benefit from CPG brands’ incremental sales, whether the consumer is shopping on Instacart Marketplace or retailers’ owned and operated online storefronts powered by Instacart Enterprise Platform. In turn, we believe the success of our brand partners and retail partners increases highly profitable advertising and other revenue on Instacart, improving our unit economics. The success of our partners enables them to deliver a superior shopping experience for customers, who become more engaged and more valuable, benefiting all constituents in our ecosystem and driving our financial success. As a result, over the long term, we believe we can drive profitable growth with a focus on improving operating leverage.</w:t>
      </w:r>
    </w:p>
    <w:p>
      <w:pPr>
        <w:spacing w:after="0" w:line="370"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Our Value Proposition</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 Retailers</w:t>
      </w:r>
    </w:p>
    <w:p>
      <w:pPr>
        <w:spacing w:after="0" w:line="121" w:lineRule="exact"/>
        <w:rPr>
          <w:sz w:val="20"/>
          <w:szCs w:val="20"/>
          <w:color w:val="auto"/>
        </w:rPr>
      </w:pPr>
    </w:p>
    <w:p>
      <w:pPr>
        <w:ind w:left="1500" w:hanging="479"/>
        <w:spacing w:after="0"/>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End-to-End Technology Solution Custom-Built for Online Grocery</w:t>
      </w:r>
    </w:p>
    <w:p>
      <w:pPr>
        <w:spacing w:after="0" w:line="121" w:lineRule="exact"/>
        <w:rPr>
          <w:rFonts w:ascii="Arial" w:cs="Arial" w:eastAsia="Arial" w:hAnsi="Arial"/>
          <w:sz w:val="17"/>
          <w:szCs w:val="17"/>
          <w:color w:val="auto"/>
        </w:rPr>
      </w:pPr>
    </w:p>
    <w:p>
      <w:pPr>
        <w:ind w:left="2500" w:right="60" w:hanging="479"/>
        <w:spacing w:after="0" w:line="311" w:lineRule="auto"/>
        <w:tabs>
          <w:tab w:leader="none" w:pos="2500" w:val="left"/>
        </w:tabs>
        <w:numPr>
          <w:ilvl w:val="1"/>
          <w:numId w:val="32"/>
        </w:numPr>
        <w:rPr>
          <w:rFonts w:ascii="Arial" w:cs="Arial" w:eastAsia="Arial" w:hAnsi="Arial"/>
          <w:sz w:val="15"/>
          <w:szCs w:val="15"/>
          <w:color w:val="auto"/>
        </w:rPr>
      </w:pPr>
      <w:r>
        <w:rPr>
          <w:rFonts w:ascii="Arial" w:cs="Arial" w:eastAsia="Arial" w:hAnsi="Arial"/>
          <w:sz w:val="15"/>
          <w:szCs w:val="15"/>
          <w:color w:val="auto"/>
        </w:rPr>
        <w:t>Instacart powers eCommerce, fulfillment, and customer and shopper care for all of our retail partners through Instacart Marketplace. Instacart Enterprise Platform, our end-to-end technology solution, supports our retail partners on their owned and operated online storefronts through offerings like storefronts and mobile apps, fulfillment solutions, ads</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80"/>
          </w:cols>
          <w:pgMar w:left="320" w:top="440"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304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6535" cy="5304155"/>
                    </a:xfrm>
                    <a:prstGeom prst="rect">
                      <a:avLst/>
                    </a:prstGeom>
                    <a:noFill/>
                  </pic:spPr>
                </pic:pic>
              </a:graphicData>
            </a:graphic>
          </wp:anchor>
        </w:drawing>
      </w:r>
    </w:p>
    <w:p>
      <w:pPr>
        <w:spacing w:after="0" w:line="292" w:lineRule="exact"/>
        <w:rPr>
          <w:sz w:val="20"/>
          <w:szCs w:val="20"/>
          <w:color w:val="auto"/>
        </w:rPr>
      </w:pPr>
    </w:p>
    <w:p>
      <w:pPr>
        <w:ind w:left="2420" w:right="80"/>
        <w:spacing w:after="0" w:line="260" w:lineRule="auto"/>
        <w:rPr>
          <w:sz w:val="20"/>
          <w:szCs w:val="20"/>
          <w:color w:val="auto"/>
        </w:rPr>
      </w:pPr>
      <w:r>
        <w:rPr>
          <w:rFonts w:ascii="Arial" w:cs="Arial" w:eastAsia="Arial" w:hAnsi="Arial"/>
          <w:sz w:val="17"/>
          <w:szCs w:val="17"/>
          <w:color w:val="auto"/>
        </w:rPr>
        <w:t>offerings, in-store technologies, and business insights. Whenever a relevant new technology emerges, Instacart works to adapt this technology for the specific needs of the grocery industry and make it available to our retail partners in short order.</w:t>
      </w:r>
    </w:p>
    <w:p>
      <w:pPr>
        <w:spacing w:after="0" w:line="87" w:lineRule="exact"/>
        <w:rPr>
          <w:sz w:val="20"/>
          <w:szCs w:val="20"/>
          <w:color w:val="auto"/>
        </w:rPr>
      </w:pPr>
    </w:p>
    <w:p>
      <w:pPr>
        <w:ind w:left="2500" w:right="20" w:hanging="479"/>
        <w:spacing w:after="0" w:line="256" w:lineRule="auto"/>
        <w:tabs>
          <w:tab w:leader="none" w:pos="2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Our solutions are better together. Our enterprise solutions benefit from unique consumer and market insights that only a scaled marketplace can access. These insights inform the product development of our enterprise offerings. In turn, Instacart Enterprise Platform solutions allow for a deeper integration with retailers’ operations, and this provides retailers with more capabilities on Instacart Marketplace.</w:t>
      </w:r>
    </w:p>
    <w:p>
      <w:pPr>
        <w:spacing w:after="0" w:line="90" w:lineRule="exact"/>
        <w:rPr>
          <w:rFonts w:ascii="Arial" w:cs="Arial" w:eastAsia="Arial" w:hAnsi="Arial"/>
          <w:sz w:val="17"/>
          <w:szCs w:val="17"/>
          <w:color w:val="auto"/>
        </w:rPr>
      </w:pPr>
    </w:p>
    <w:p>
      <w:pPr>
        <w:ind w:left="2500" w:right="200" w:hanging="479"/>
        <w:spacing w:after="0" w:line="272" w:lineRule="auto"/>
        <w:tabs>
          <w:tab w:leader="none" w:pos="2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Our technology is modular, meaning retailers can use all of our offerings for a seamlessly integrated solution, or they may choose to select technologies à la carte, depending on which best fit their needs.</w:t>
      </w:r>
    </w:p>
    <w:p>
      <w:pPr>
        <w:spacing w:after="0" w:line="76" w:lineRule="exact"/>
        <w:rPr>
          <w:rFonts w:ascii="Arial" w:cs="Arial" w:eastAsia="Arial" w:hAnsi="Arial"/>
          <w:sz w:val="17"/>
          <w:szCs w:val="17"/>
          <w:color w:val="auto"/>
        </w:rPr>
      </w:pPr>
    </w:p>
    <w:p>
      <w:pPr>
        <w:ind w:left="1500" w:right="40" w:hanging="479"/>
        <w:spacing w:after="0" w:line="311" w:lineRule="auto"/>
        <w:tabs>
          <w:tab w:leader="none" w:pos="150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Advertising Capabilities</w:t>
      </w:r>
      <w:r>
        <w:rPr>
          <w:rFonts w:ascii="Arial" w:cs="Arial" w:eastAsia="Arial" w:hAnsi="Arial"/>
          <w:sz w:val="15"/>
          <w:szCs w:val="15"/>
          <w:color w:val="auto"/>
        </w:rPr>
        <w:t>. Retailers can leverage our ads offerings through their owned and operated online storefronts powered by</w:t>
      </w:r>
      <w:r>
        <w:rPr>
          <w:rFonts w:ascii="Arial" w:cs="Arial" w:eastAsia="Arial" w:hAnsi="Arial"/>
          <w:sz w:val="15"/>
          <w:szCs w:val="15"/>
          <w:i w:val="1"/>
          <w:iCs w:val="1"/>
          <w:color w:val="auto"/>
        </w:rPr>
        <w:t xml:space="preserve"> </w:t>
      </w:r>
      <w:r>
        <w:rPr>
          <w:rFonts w:ascii="Arial" w:cs="Arial" w:eastAsia="Arial" w:hAnsi="Arial"/>
          <w:sz w:val="15"/>
          <w:szCs w:val="15"/>
          <w:color w:val="auto"/>
        </w:rPr>
        <w:t>Instacart Enterprise Platform. We allow retailers to benefit from the scale advantages of Instacart Ads. By allowing retailers to use our turn-key ads offerings, they can avoid time and financial investment associated with building ad technology and sales.</w:t>
      </w:r>
    </w:p>
    <w:p>
      <w:pPr>
        <w:spacing w:after="0" w:line="51" w:lineRule="exact"/>
        <w:rPr>
          <w:rFonts w:ascii="Arial" w:cs="Arial" w:eastAsia="Arial" w:hAnsi="Arial"/>
          <w:sz w:val="15"/>
          <w:szCs w:val="15"/>
          <w:color w:val="auto"/>
        </w:rPr>
      </w:pPr>
    </w:p>
    <w:p>
      <w:pPr>
        <w:ind w:left="1500" w:hanging="479"/>
        <w:spacing w:after="0" w:line="274" w:lineRule="auto"/>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Customer Access</w:t>
      </w:r>
      <w:r>
        <w:rPr>
          <w:rFonts w:ascii="Arial" w:cs="Arial" w:eastAsia="Arial" w:hAnsi="Arial"/>
          <w:sz w:val="16"/>
          <w:szCs w:val="16"/>
          <w:color w:val="auto"/>
        </w:rPr>
        <w:t>. We help retailers reach millions of customers — consumers and businesses alike. We generate incremental sales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retail partners through Instacart Marketplace and help retailers meet online demand wherever customers are. We believe pickup generates incremental foot traffic and higher sales by providing customers with the ability to browse items, place orders wherever they are, and pick up their basket directly from local retailers. We also enable retailers to drive loyalty and engagement through branded online shopping experiences, personalization, and our membership program, Instacart+.</w:t>
      </w:r>
    </w:p>
    <w:p>
      <w:pPr>
        <w:spacing w:after="0" w:line="76" w:lineRule="exact"/>
        <w:rPr>
          <w:rFonts w:ascii="Arial" w:cs="Arial" w:eastAsia="Arial" w:hAnsi="Arial"/>
          <w:sz w:val="16"/>
          <w:szCs w:val="16"/>
          <w:color w:val="auto"/>
        </w:rPr>
      </w:pPr>
    </w:p>
    <w:p>
      <w:pPr>
        <w:ind w:left="1500" w:right="20" w:hanging="479"/>
        <w:spacing w:after="0" w:line="311" w:lineRule="auto"/>
        <w:tabs>
          <w:tab w:leader="none" w:pos="150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Breadth of Shopping and Fulfillment Options</w:t>
      </w:r>
      <w:r>
        <w:rPr>
          <w:rFonts w:ascii="Arial" w:cs="Arial" w:eastAsia="Arial" w:hAnsi="Arial"/>
          <w:sz w:val="15"/>
          <w:szCs w:val="15"/>
          <w:color w:val="auto"/>
        </w:rPr>
        <w:t>. We have expanded across in-store, delivery, and pickup to help retailers offer a variety</w:t>
      </w:r>
      <w:r>
        <w:rPr>
          <w:rFonts w:ascii="Arial" w:cs="Arial" w:eastAsia="Arial" w:hAnsi="Arial"/>
          <w:sz w:val="15"/>
          <w:szCs w:val="15"/>
          <w:i w:val="1"/>
          <w:iCs w:val="1"/>
          <w:color w:val="auto"/>
        </w:rPr>
        <w:t xml:space="preserve"> </w:t>
      </w:r>
      <w:r>
        <w:rPr>
          <w:rFonts w:ascii="Arial" w:cs="Arial" w:eastAsia="Arial" w:hAnsi="Arial"/>
          <w:sz w:val="15"/>
          <w:szCs w:val="15"/>
          <w:color w:val="auto"/>
        </w:rPr>
        <w:t>of fulfillment methods and speeds and address different shopping occasions and consumer categories. Because customers use different options based on the occasion, we help retailers offer a full portfolio of omni-channel eCommerce options.</w:t>
      </w:r>
    </w:p>
    <w:p>
      <w:pPr>
        <w:spacing w:after="0" w:line="51" w:lineRule="exact"/>
        <w:rPr>
          <w:rFonts w:ascii="Arial" w:cs="Arial" w:eastAsia="Arial" w:hAnsi="Arial"/>
          <w:sz w:val="15"/>
          <w:szCs w:val="15"/>
          <w:color w:val="auto"/>
        </w:rPr>
      </w:pPr>
    </w:p>
    <w:p>
      <w:pPr>
        <w:ind w:left="1500" w:right="160" w:hanging="479"/>
        <w:spacing w:after="0" w:line="254" w:lineRule="auto"/>
        <w:tabs>
          <w:tab w:leader="none" w:pos="15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Ability to Drive Operational Efficiencies</w:t>
      </w:r>
      <w:r>
        <w:rPr>
          <w:rFonts w:ascii="Arial" w:cs="Arial" w:eastAsia="Arial" w:hAnsi="Arial"/>
          <w:sz w:val="17"/>
          <w:szCs w:val="17"/>
          <w:color w:val="auto"/>
        </w:rPr>
        <w:t>. We are able to provide a lower cost of fulfillment for retailers due to efficiencies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our scale and frequency of large orders. We fulfill millions of orders every week, with many large orders coming into a single location at a given time. Our shopper base can leverage our technology-backed picking and batching abilities to efficiently fulfill these orders. We believe this allows retailers to improve operating efficiencies and reduce costs without compromising the customer experience.</w:t>
      </w:r>
    </w:p>
    <w:p>
      <w:pPr>
        <w:spacing w:after="0" w:line="92" w:lineRule="exact"/>
        <w:rPr>
          <w:rFonts w:ascii="Arial" w:cs="Arial" w:eastAsia="Arial" w:hAnsi="Arial"/>
          <w:sz w:val="17"/>
          <w:szCs w:val="17"/>
          <w:color w:val="auto"/>
        </w:rPr>
      </w:pPr>
    </w:p>
    <w:p>
      <w:pPr>
        <w:ind w:left="1500" w:right="20" w:hanging="479"/>
        <w:spacing w:after="0" w:line="291" w:lineRule="auto"/>
        <w:tabs>
          <w:tab w:leader="none" w:pos="150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Seamless Onboarding and Depth of Integration</w:t>
      </w:r>
      <w:r>
        <w:rPr>
          <w:rFonts w:ascii="Arial" w:cs="Arial" w:eastAsia="Arial" w:hAnsi="Arial"/>
          <w:sz w:val="15"/>
          <w:szCs w:val="15"/>
          <w:color w:val="auto"/>
        </w:rPr>
        <w:t>. We designed our technology to enable retailers’ transition from a brick-and-mortar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to a complete omni-channel offering within weeks. This process includes ingesting data on tens of thousands of products, enriching that baseline data with additional information for online merchandising, and optimizing item availability on retailers’ owned and operated online storefronts using our proprietary algorithms. Our enterprise solutions can integrate with existing operations to allow our retail partners to maintain existing loyalty and promotion programs. We help retailers optimize all aspects of their business by establishing data pipelines to help inform retailers’ store operations, merchandising, and marketing strategies. We also integrate physically in retailers’ stores including setting up dedicated staging areas to fulfill orders and a streamlined checkout process.</w:t>
      </w:r>
    </w:p>
    <w:p>
      <w:pPr>
        <w:spacing w:after="0" w:line="68" w:lineRule="exact"/>
        <w:rPr>
          <w:rFonts w:ascii="Arial" w:cs="Arial" w:eastAsia="Arial" w:hAnsi="Arial"/>
          <w:sz w:val="15"/>
          <w:szCs w:val="15"/>
          <w:color w:val="auto"/>
        </w:rPr>
      </w:pPr>
    </w:p>
    <w:p>
      <w:pPr>
        <w:jc w:val="both"/>
        <w:ind w:left="1500" w:right="340" w:hanging="479"/>
        <w:spacing w:after="0" w:line="260" w:lineRule="auto"/>
        <w:tabs>
          <w:tab w:leader="none" w:pos="15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Dedicated Support</w:t>
      </w:r>
      <w:r>
        <w:rPr>
          <w:rFonts w:ascii="Arial" w:cs="Arial" w:eastAsia="Arial" w:hAnsi="Arial"/>
          <w:sz w:val="17"/>
          <w:szCs w:val="17"/>
          <w:color w:val="auto"/>
        </w:rPr>
        <w:t>. We have teams of account managers who focus on helping retailers succeed. These relationships include deep</w:t>
      </w:r>
      <w:r>
        <w:rPr>
          <w:rFonts w:ascii="Arial" w:cs="Arial" w:eastAsia="Arial" w:hAnsi="Arial"/>
          <w:sz w:val="17"/>
          <w:szCs w:val="17"/>
          <w:i w:val="1"/>
          <w:iCs w:val="1"/>
          <w:color w:val="auto"/>
        </w:rPr>
        <w:t xml:space="preserve"> </w:t>
      </w:r>
      <w:r>
        <w:rPr>
          <w:rFonts w:ascii="Arial" w:cs="Arial" w:eastAsia="Arial" w:hAnsi="Arial"/>
          <w:sz w:val="17"/>
          <w:szCs w:val="17"/>
          <w:color w:val="auto"/>
        </w:rPr>
        <w:t>involvement with operational initiatives like store planning and optimizing eCommerce fulfillment and data interpretation on key metrics such as in-store inventory levels.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00"/>
          </w:cols>
          <w:pgMar w:left="320" w:top="440" w:right="97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497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66535" cy="5497195"/>
                    </a:xfrm>
                    <a:prstGeom prst="rect">
                      <a:avLst/>
                    </a:prstGeom>
                    <a:noFill/>
                  </pic:spPr>
                </pic:pic>
              </a:graphicData>
            </a:graphic>
          </wp:anchor>
        </w:drawing>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 Customers</w:t>
      </w:r>
    </w:p>
    <w:p>
      <w:pPr>
        <w:spacing w:after="0" w:line="121" w:lineRule="exact"/>
        <w:rPr>
          <w:sz w:val="20"/>
          <w:szCs w:val="20"/>
          <w:color w:val="auto"/>
        </w:rPr>
      </w:pPr>
    </w:p>
    <w:p>
      <w:pPr>
        <w:ind w:left="1500" w:hanging="479"/>
        <w:spacing w:after="0" w:line="225"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Selection</w:t>
      </w:r>
      <w:r>
        <w:rPr>
          <w:rFonts w:ascii="Arial" w:cs="Arial" w:eastAsia="Arial" w:hAnsi="Arial"/>
          <w:sz w:val="17"/>
          <w:szCs w:val="17"/>
          <w:color w:val="auto"/>
        </w:rPr>
        <w:t>. On Instacart Marketplace, a typical customer will see over 50 stores available on average on our mobile app or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ranging from national chains to regional and local retailers.</w:t>
      </w:r>
      <w:r>
        <w:rPr>
          <w:rFonts w:ascii="Arial" w:cs="Arial" w:eastAsia="Arial" w:hAnsi="Arial"/>
          <w:sz w:val="25"/>
          <w:szCs w:val="25"/>
          <w:color w:val="auto"/>
          <w:vertAlign w:val="superscript"/>
        </w:rPr>
        <w:t>49</w:t>
      </w:r>
      <w:r>
        <w:rPr>
          <w:rFonts w:ascii="Arial" w:cs="Arial" w:eastAsia="Arial" w:hAnsi="Arial"/>
          <w:sz w:val="17"/>
          <w:szCs w:val="17"/>
          <w:color w:val="auto"/>
        </w:rPr>
        <w:t xml:space="preserve"> Instacart Marketplace provides customers with a new way to shop over a million unique products all in one place sold by their favorite retailers, who can offer their full grocery catalogs of over tens of thousands of SKUs on Instacart.</w:t>
      </w:r>
    </w:p>
    <w:p>
      <w:pPr>
        <w:spacing w:after="0" w:line="105" w:lineRule="exact"/>
        <w:rPr>
          <w:rFonts w:ascii="Arial" w:cs="Arial" w:eastAsia="Arial" w:hAnsi="Arial"/>
          <w:sz w:val="17"/>
          <w:szCs w:val="17"/>
          <w:color w:val="auto"/>
        </w:rPr>
      </w:pPr>
    </w:p>
    <w:p>
      <w:pPr>
        <w:jc w:val="both"/>
        <w:ind w:left="1500" w:right="340" w:hanging="479"/>
        <w:spacing w:after="0" w:line="311" w:lineRule="auto"/>
        <w:tabs>
          <w:tab w:leader="none" w:pos="150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Breadth of Use Cases</w:t>
      </w:r>
      <w:r>
        <w:rPr>
          <w:rFonts w:ascii="Arial" w:cs="Arial" w:eastAsia="Arial" w:hAnsi="Arial"/>
          <w:sz w:val="15"/>
          <w:szCs w:val="15"/>
          <w:color w:val="auto"/>
        </w:rPr>
        <w:t>. We meet the customer wherever they want to shop, however they want to shop, across many use cases and</w:t>
      </w:r>
      <w:r>
        <w:rPr>
          <w:rFonts w:ascii="Arial" w:cs="Arial" w:eastAsia="Arial" w:hAnsi="Arial"/>
          <w:sz w:val="15"/>
          <w:szCs w:val="15"/>
          <w:i w:val="1"/>
          <w:iCs w:val="1"/>
          <w:color w:val="auto"/>
        </w:rPr>
        <w:t xml:space="preserve"> </w:t>
      </w:r>
      <w:r>
        <w:rPr>
          <w:rFonts w:ascii="Arial" w:cs="Arial" w:eastAsia="Arial" w:hAnsi="Arial"/>
          <w:sz w:val="15"/>
          <w:szCs w:val="15"/>
          <w:color w:val="auto"/>
        </w:rPr>
        <w:t>fulfillment options whether for personal or business needs. For certain customers who want quick delivery, we have continued to invest in our fulfillment technology to shorten delivery times without compromising quality and customer experience.</w:t>
      </w:r>
    </w:p>
    <w:p>
      <w:pPr>
        <w:spacing w:after="0" w:line="51" w:lineRule="exact"/>
        <w:rPr>
          <w:rFonts w:ascii="Arial" w:cs="Arial" w:eastAsia="Arial" w:hAnsi="Arial"/>
          <w:sz w:val="15"/>
          <w:szCs w:val="15"/>
          <w:color w:val="auto"/>
        </w:rPr>
      </w:pPr>
    </w:p>
    <w:p>
      <w:pPr>
        <w:ind w:left="1500" w:right="20" w:hanging="479"/>
        <w:spacing w:after="0" w:line="243" w:lineRule="auto"/>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Reclaim Time</w:t>
      </w:r>
      <w:r>
        <w:rPr>
          <w:rFonts w:ascii="Arial" w:cs="Arial" w:eastAsia="Arial" w:hAnsi="Arial"/>
          <w:sz w:val="16"/>
          <w:szCs w:val="16"/>
          <w:color w:val="auto"/>
        </w:rPr>
        <w:t>. Consumers who shop in-store spend on average approximately 60 hours per year shopping for groceries, in addition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spent commuting to and from stores.</w:t>
      </w:r>
      <w:r>
        <w:rPr>
          <w:rFonts w:ascii="Arial" w:cs="Arial" w:eastAsia="Arial" w:hAnsi="Arial"/>
          <w:sz w:val="24"/>
          <w:szCs w:val="24"/>
          <w:color w:val="auto"/>
          <w:vertAlign w:val="superscript"/>
        </w:rPr>
        <w:t>50</w:t>
      </w:r>
      <w:r>
        <w:rPr>
          <w:rFonts w:ascii="Arial" w:cs="Arial" w:eastAsia="Arial" w:hAnsi="Arial"/>
          <w:sz w:val="16"/>
          <w:szCs w:val="16"/>
          <w:color w:val="auto"/>
        </w:rPr>
        <w:t xml:space="preserve"> Across our entire footprint, customers can place an order in minutes and specify convenient delivery or pickup windows. Our in-store offerings also help customers save time and enjoy a seamless shopping experience, for example, our AI-powered Caper Carts in select stores allow customers to bag products as they shop, navigate the store efficiently, connect to their shopping lists, and self-checkout right from the cart.</w:t>
      </w:r>
    </w:p>
    <w:p>
      <w:pPr>
        <w:spacing w:after="0" w:line="102" w:lineRule="exact"/>
        <w:rPr>
          <w:rFonts w:ascii="Arial" w:cs="Arial" w:eastAsia="Arial" w:hAnsi="Arial"/>
          <w:sz w:val="16"/>
          <w:szCs w:val="16"/>
          <w:color w:val="auto"/>
        </w:rPr>
      </w:pPr>
    </w:p>
    <w:p>
      <w:pPr>
        <w:ind w:left="1500" w:right="20" w:hanging="479"/>
        <w:spacing w:after="0" w:line="230"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Value</w:t>
      </w:r>
      <w:r>
        <w:rPr>
          <w:rFonts w:ascii="Arial" w:cs="Arial" w:eastAsia="Arial" w:hAnsi="Arial"/>
          <w:sz w:val="17"/>
          <w:szCs w:val="17"/>
          <w:color w:val="auto"/>
        </w:rPr>
        <w:t>. We feature discount grocers on Instacart, offer EBT SNAP payments from more than 120 retail banners across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10,000 stores in the United States,</w:t>
      </w:r>
      <w:r>
        <w:rPr>
          <w:rFonts w:ascii="Arial" w:cs="Arial" w:eastAsia="Arial" w:hAnsi="Arial"/>
          <w:sz w:val="25"/>
          <w:szCs w:val="25"/>
          <w:color w:val="auto"/>
          <w:vertAlign w:val="superscript"/>
        </w:rPr>
        <w:t>51</w:t>
      </w:r>
      <w:r>
        <w:rPr>
          <w:rFonts w:ascii="Arial" w:cs="Arial" w:eastAsia="Arial" w:hAnsi="Arial"/>
          <w:sz w:val="17"/>
          <w:szCs w:val="17"/>
          <w:color w:val="auto"/>
        </w:rPr>
        <w:t xml:space="preserve"> and run exclusive coupons and benefits for tens of thousands of items that are all easily discoverable through “Stores to Help You Save” on our Marketplace home screen and the Deals tab. We leverage AI and machine learning to personalize the experience, including by showing customers targeted discounts based on past orders and highlighting more affordable options to price-conscious customers.</w:t>
      </w:r>
    </w:p>
    <w:p>
      <w:pPr>
        <w:spacing w:after="0" w:line="102" w:lineRule="exact"/>
        <w:rPr>
          <w:rFonts w:ascii="Arial" w:cs="Arial" w:eastAsia="Arial" w:hAnsi="Arial"/>
          <w:sz w:val="17"/>
          <w:szCs w:val="17"/>
          <w:color w:val="auto"/>
        </w:rPr>
      </w:pPr>
    </w:p>
    <w:p>
      <w:pPr>
        <w:ind w:left="1500" w:right="40" w:hanging="479"/>
        <w:spacing w:after="0" w:line="267" w:lineRule="auto"/>
        <w:tabs>
          <w:tab w:leader="none" w:pos="150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Member Benefits</w:t>
      </w:r>
      <w:r>
        <w:rPr>
          <w:rFonts w:ascii="Arial" w:cs="Arial" w:eastAsia="Arial" w:hAnsi="Arial"/>
          <w:sz w:val="15"/>
          <w:szCs w:val="15"/>
          <w:color w:val="auto"/>
        </w:rPr>
        <w:t>. With Instacart+, we provide customers with a membership program that lowers the cost of online grocery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waived delivery fees, lower service fees, and credit back on eligible pickup orders. On average, Instacart+ members enjoy more than $30 of monthly savings with these membership benefits compared to customers without Instacart+.</w:t>
      </w:r>
      <w:r>
        <w:rPr>
          <w:rFonts w:ascii="Arial" w:cs="Arial" w:eastAsia="Arial" w:hAnsi="Arial"/>
          <w:sz w:val="22"/>
          <w:szCs w:val="22"/>
          <w:color w:val="auto"/>
          <w:vertAlign w:val="superscript"/>
        </w:rPr>
        <w:t>52</w:t>
      </w:r>
      <w:r>
        <w:rPr>
          <w:rFonts w:ascii="Arial" w:cs="Arial" w:eastAsia="Arial" w:hAnsi="Arial"/>
          <w:sz w:val="15"/>
          <w:szCs w:val="15"/>
          <w:color w:val="auto"/>
        </w:rPr>
        <w:t xml:space="preserve"> In the first six months of 2023, Instacart+ members represented $8,533 million, or 57%, of our total GTV, including order costs and fees paid by Instacart+ members. We had approximately 5.1 million and 4.6 million Instacart+ members as of June 30, 2023 and June 30, 2022, respectively.</w:t>
      </w:r>
      <w:r>
        <w:rPr>
          <w:rFonts w:ascii="Arial" w:cs="Arial" w:eastAsia="Arial" w:hAnsi="Arial"/>
          <w:sz w:val="22"/>
          <w:szCs w:val="22"/>
          <w:color w:val="auto"/>
          <w:vertAlign w:val="superscript"/>
        </w:rPr>
        <w:t>53</w:t>
      </w:r>
    </w:p>
    <w:p>
      <w:pPr>
        <w:spacing w:after="0" w:line="2" w:lineRule="exact"/>
        <w:rPr>
          <w:rFonts w:ascii="Arial" w:cs="Arial" w:eastAsia="Arial" w:hAnsi="Arial"/>
          <w:sz w:val="15"/>
          <w:szCs w:val="15"/>
          <w:color w:val="auto"/>
        </w:rPr>
      </w:pPr>
    </w:p>
    <w:p>
      <w:pPr>
        <w:ind w:left="1500" w:right="80" w:hanging="479"/>
        <w:spacing w:after="0" w:line="269" w:lineRule="auto"/>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Personalization</w:t>
      </w:r>
      <w:r>
        <w:rPr>
          <w:rFonts w:ascii="Arial" w:cs="Arial" w:eastAsia="Arial" w:hAnsi="Arial"/>
          <w:sz w:val="16"/>
          <w:szCs w:val="16"/>
          <w:color w:val="auto"/>
        </w:rPr>
        <w:t>. Our personalization capabilities are underpinned by the hundreds of millions of large basket orders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over the past decade, and they improve the more customers interact with Instacart, the easier it is for us to power better personalization. As customers browse our selection and place orders, we continue to refine our understanding of customer tastes and preferences. This allows us to tailor new item recommendations and promotional coupons, make replacements that fit our customers’ needs when items are out of stock, and suggest “buy-it-again” items.</w:t>
      </w:r>
    </w:p>
    <w:p>
      <w:pPr>
        <w:spacing w:after="0" w:line="81" w:lineRule="exact"/>
        <w:rPr>
          <w:rFonts w:ascii="Arial" w:cs="Arial" w:eastAsia="Arial" w:hAnsi="Arial"/>
          <w:sz w:val="16"/>
          <w:szCs w:val="16"/>
          <w:color w:val="auto"/>
        </w:rPr>
      </w:pPr>
    </w:p>
    <w:p>
      <w:pPr>
        <w:ind w:left="1500" w:right="20" w:hanging="479"/>
        <w:spacing w:after="0" w:line="256" w:lineRule="auto"/>
        <w:tabs>
          <w:tab w:leader="none" w:pos="15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Quality</w:t>
      </w:r>
      <w:r>
        <w:rPr>
          <w:rFonts w:ascii="Arial" w:cs="Arial" w:eastAsia="Arial" w:hAnsi="Arial"/>
          <w:sz w:val="17"/>
          <w:szCs w:val="17"/>
          <w:color w:val="auto"/>
        </w:rPr>
        <w:t>. We have invested significant resources to make shopping online seamless, from improving search results to offering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by the unit versus the pound. We make it easy for customers and shoppers to chat, and our proprietary algorithm suggests high-quality replacements when needed. We also provide customer service to ensure every order meets the needs of our customers and delivers a high-quality experience.</w:t>
      </w:r>
    </w:p>
    <w:p>
      <w:pPr>
        <w:spacing w:after="0" w:line="148" w:lineRule="exact"/>
        <w:rPr>
          <w:sz w:val="20"/>
          <w:szCs w:val="20"/>
          <w:color w:val="auto"/>
        </w:rPr>
      </w:pPr>
    </w:p>
    <w:p>
      <w:pPr>
        <w:ind w:left="1020" w:hanging="392"/>
        <w:spacing w:after="0"/>
        <w:tabs>
          <w:tab w:leader="none" w:pos="1020" w:val="left"/>
        </w:tabs>
        <w:numPr>
          <w:ilvl w:val="0"/>
          <w:numId w:val="35"/>
        </w:numPr>
        <w:rPr>
          <w:rFonts w:ascii="Arial" w:cs="Arial" w:eastAsia="Arial" w:hAnsi="Arial"/>
          <w:sz w:val="10"/>
          <w:szCs w:val="10"/>
          <w:color w:val="auto"/>
        </w:rPr>
      </w:pPr>
      <w:r>
        <w:rPr>
          <w:rFonts w:ascii="Arial" w:cs="Arial" w:eastAsia="Arial" w:hAnsi="Arial"/>
          <w:sz w:val="13"/>
          <w:szCs w:val="13"/>
          <w:color w:val="auto"/>
        </w:rPr>
        <w:t>Instacart estimate based on the weighted average number of retail partners per monthly active orderer by geographic zone for the quarter ended June 30, 2023.</w:t>
      </w:r>
    </w:p>
    <w:p>
      <w:pPr>
        <w:spacing w:after="0" w:line="1" w:lineRule="exact"/>
        <w:rPr>
          <w:rFonts w:ascii="Arial" w:cs="Arial" w:eastAsia="Arial" w:hAnsi="Arial"/>
          <w:sz w:val="10"/>
          <w:szCs w:val="10"/>
          <w:color w:val="auto"/>
        </w:rPr>
      </w:pPr>
    </w:p>
    <w:p>
      <w:pPr>
        <w:ind w:left="1020" w:hanging="392"/>
        <w:spacing w:after="0"/>
        <w:tabs>
          <w:tab w:leader="none" w:pos="1020" w:val="left"/>
        </w:tabs>
        <w:numPr>
          <w:ilvl w:val="0"/>
          <w:numId w:val="35"/>
        </w:numPr>
        <w:rPr>
          <w:rFonts w:ascii="Arial" w:cs="Arial" w:eastAsia="Arial" w:hAnsi="Arial"/>
          <w:sz w:val="9"/>
          <w:szCs w:val="9"/>
          <w:color w:val="auto"/>
        </w:rPr>
      </w:pPr>
      <w:r>
        <w:rPr>
          <w:rFonts w:ascii="Arial" w:cs="Arial" w:eastAsia="Arial" w:hAnsi="Arial"/>
          <w:sz w:val="12"/>
          <w:szCs w:val="12"/>
          <w:color w:val="auto"/>
        </w:rPr>
        <w:t>Instacart estimate based on the average number of shopping trips per week and the average time spent shopping in-store per shopping trip in the United States in 2022.</w:t>
      </w:r>
    </w:p>
    <w:p>
      <w:pPr>
        <w:spacing w:after="0" w:line="1" w:lineRule="exact"/>
        <w:rPr>
          <w:rFonts w:ascii="Arial" w:cs="Arial" w:eastAsia="Arial" w:hAnsi="Arial"/>
          <w:sz w:val="9"/>
          <w:szCs w:val="9"/>
          <w:color w:val="auto"/>
        </w:rPr>
      </w:pPr>
    </w:p>
    <w:p>
      <w:pPr>
        <w:ind w:left="1020" w:hanging="392"/>
        <w:spacing w:after="0" w:line="223" w:lineRule="auto"/>
        <w:tabs>
          <w:tab w:leader="none" w:pos="1020" w:val="left"/>
        </w:tabs>
        <w:numPr>
          <w:ilvl w:val="0"/>
          <w:numId w:val="35"/>
        </w:numPr>
        <w:rPr>
          <w:rFonts w:ascii="Arial" w:cs="Arial" w:eastAsia="Arial" w:hAnsi="Arial"/>
          <w:sz w:val="10"/>
          <w:szCs w:val="10"/>
          <w:color w:val="auto"/>
        </w:rPr>
      </w:pPr>
      <w:r>
        <w:rPr>
          <w:rFonts w:ascii="Arial" w:cs="Arial" w:eastAsia="Arial" w:hAnsi="Arial"/>
          <w:sz w:val="13"/>
          <w:szCs w:val="13"/>
          <w:color w:val="auto"/>
        </w:rPr>
        <w:t>As of June 30, 2023.</w:t>
      </w:r>
    </w:p>
    <w:p>
      <w:pPr>
        <w:ind w:left="1020" w:hanging="392"/>
        <w:spacing w:after="0" w:line="223" w:lineRule="auto"/>
        <w:tabs>
          <w:tab w:leader="none" w:pos="1020" w:val="left"/>
        </w:tabs>
        <w:numPr>
          <w:ilvl w:val="0"/>
          <w:numId w:val="35"/>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ind w:left="1020" w:right="220" w:hanging="392"/>
        <w:spacing w:after="0"/>
        <w:tabs>
          <w:tab w:leader="none" w:pos="1020" w:val="left"/>
        </w:tabs>
        <w:numPr>
          <w:ilvl w:val="0"/>
          <w:numId w:val="35"/>
        </w:numPr>
        <w:rPr>
          <w:rFonts w:ascii="Arial" w:cs="Arial" w:eastAsia="Arial" w:hAnsi="Arial"/>
          <w:sz w:val="10"/>
          <w:szCs w:val="10"/>
          <w:color w:val="auto"/>
        </w:rPr>
      </w:pPr>
      <w:r>
        <w:rPr>
          <w:rFonts w:ascii="Arial" w:cs="Arial" w:eastAsia="Arial" w:hAnsi="Arial"/>
          <w:sz w:val="13"/>
          <w:szCs w:val="13"/>
          <w:color w:val="auto"/>
        </w:rPr>
        <w:t>Includes paying Instacart+ members only and excludes free trial members. Fluctuations in the number of Instacart+ members are not necessarily indicative of changes in our financial performance or contribution of Instacart+ members to GTV or orders over time.</w:t>
      </w:r>
    </w:p>
    <w:p>
      <w:pPr>
        <w:spacing w:after="0" w:line="29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80"/>
          </w:cols>
          <w:pgMar w:left="320" w:top="440" w:right="99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392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66535" cy="5392420"/>
                    </a:xfrm>
                    <a:prstGeom prst="rect">
                      <a:avLst/>
                    </a:prstGeom>
                    <a:noFill/>
                  </pic:spPr>
                </pic:pic>
              </a:graphicData>
            </a:graphic>
          </wp:anchor>
        </w:drawing>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 Brands</w:t>
      </w:r>
    </w:p>
    <w:p>
      <w:pPr>
        <w:spacing w:after="0" w:line="121" w:lineRule="exact"/>
        <w:rPr>
          <w:sz w:val="20"/>
          <w:szCs w:val="20"/>
          <w:color w:val="auto"/>
        </w:rPr>
      </w:pPr>
    </w:p>
    <w:p>
      <w:pPr>
        <w:ind w:left="1500" w:right="160" w:hanging="479"/>
        <w:spacing w:after="0" w:line="270" w:lineRule="auto"/>
        <w:tabs>
          <w:tab w:leader="none" w:pos="150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High ROI</w:t>
      </w:r>
      <w:r>
        <w:rPr>
          <w:rFonts w:ascii="Arial" w:cs="Arial" w:eastAsia="Arial" w:hAnsi="Arial"/>
          <w:sz w:val="15"/>
          <w:szCs w:val="15"/>
          <w:color w:val="auto"/>
        </w:rPr>
        <w:t>. We drive incremental sales for advertisers through our online advertising products purpose-built for grocery. We estimate</w:t>
      </w:r>
      <w:r>
        <w:rPr>
          <w:rFonts w:ascii="Arial" w:cs="Arial" w:eastAsia="Arial" w:hAnsi="Arial"/>
          <w:sz w:val="15"/>
          <w:szCs w:val="15"/>
          <w:i w:val="1"/>
          <w:iCs w:val="1"/>
          <w:color w:val="auto"/>
        </w:rPr>
        <w:t xml:space="preserve"> </w:t>
      </w:r>
      <w:r>
        <w:rPr>
          <w:rFonts w:ascii="Arial" w:cs="Arial" w:eastAsia="Arial" w:hAnsi="Arial"/>
          <w:sz w:val="15"/>
          <w:szCs w:val="15"/>
          <w:color w:val="auto"/>
        </w:rPr>
        <w:t>that on average, our ads deliver more than a 15% incremental sales lift, and in some cases twice that, for our brand partners.</w:t>
      </w:r>
      <w:r>
        <w:rPr>
          <w:rFonts w:ascii="Arial" w:cs="Arial" w:eastAsia="Arial" w:hAnsi="Arial"/>
          <w:sz w:val="22"/>
          <w:szCs w:val="22"/>
          <w:color w:val="auto"/>
          <w:vertAlign w:val="superscript"/>
        </w:rPr>
        <w:t>54</w:t>
      </w:r>
      <w:r>
        <w:rPr>
          <w:rFonts w:ascii="Arial" w:cs="Arial" w:eastAsia="Arial" w:hAnsi="Arial"/>
          <w:sz w:val="15"/>
          <w:szCs w:val="15"/>
          <w:color w:val="auto"/>
        </w:rPr>
        <w:t xml:space="preserve"> Our Sponsored Product ads offering, which uses a second-price cost-per-click auction, enables ads for relevant products to appear throughout the customer journey on Instacart. Our solutions offer optimized bidding to maximize sales and budget pacing, among many other features to drive higher ROI. Our data and insights dashboard provides advertisers with the comprehensive overview of customer behavior they need to maximize return on their spend. We help brands target the fastest growing segment of the grocery market, given retailers that partner with Instacart have generally grown their online sales faster than the market since 2018.</w:t>
      </w:r>
    </w:p>
    <w:p>
      <w:pPr>
        <w:spacing w:after="0" w:line="83" w:lineRule="exact"/>
        <w:rPr>
          <w:rFonts w:ascii="Arial" w:cs="Arial" w:eastAsia="Arial" w:hAnsi="Arial"/>
          <w:sz w:val="15"/>
          <w:szCs w:val="15"/>
          <w:color w:val="auto"/>
        </w:rPr>
      </w:pPr>
    </w:p>
    <w:p>
      <w:pPr>
        <w:ind w:left="1500" w:hanging="479"/>
        <w:spacing w:after="0" w:line="295" w:lineRule="auto"/>
        <w:tabs>
          <w:tab w:leader="none" w:pos="150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High-Intent Customers</w:t>
      </w:r>
      <w:r>
        <w:rPr>
          <w:rFonts w:ascii="Arial" w:cs="Arial" w:eastAsia="Arial" w:hAnsi="Arial"/>
          <w:sz w:val="15"/>
          <w:szCs w:val="15"/>
          <w:color w:val="auto"/>
        </w:rPr>
        <w:t>. We offer brands a differentiated opportunity to influence purchase behavior of high-intent customers and drive</w:t>
      </w:r>
      <w:r>
        <w:rPr>
          <w:rFonts w:ascii="Arial" w:cs="Arial" w:eastAsia="Arial" w:hAnsi="Arial"/>
          <w:sz w:val="15"/>
          <w:szCs w:val="15"/>
          <w:i w:val="1"/>
          <w:iCs w:val="1"/>
          <w:color w:val="auto"/>
        </w:rPr>
        <w:t xml:space="preserve"> </w:t>
      </w:r>
      <w:r>
        <w:rPr>
          <w:rFonts w:ascii="Arial" w:cs="Arial" w:eastAsia="Arial" w:hAnsi="Arial"/>
          <w:sz w:val="15"/>
          <w:szCs w:val="15"/>
          <w:color w:val="auto"/>
        </w:rPr>
        <w:t>market share gains. In the second quarter of 2023, we helped customers discover over 180 million items through recommendations. Our customers have ordered over 1.2 billion items, which underscores the large opportunity that brands have to reach customers.</w:t>
      </w:r>
      <w:r>
        <w:rPr>
          <w:rFonts w:ascii="Arial" w:cs="Arial" w:eastAsia="Arial" w:hAnsi="Arial"/>
          <w:sz w:val="22"/>
          <w:szCs w:val="22"/>
          <w:color w:val="auto"/>
          <w:vertAlign w:val="superscript"/>
        </w:rPr>
        <w:t>55</w:t>
      </w:r>
    </w:p>
    <w:p>
      <w:pPr>
        <w:ind w:left="1500" w:right="80" w:hanging="479"/>
        <w:spacing w:after="0" w:line="250" w:lineRule="auto"/>
        <w:tabs>
          <w:tab w:leader="none" w:pos="15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Actionability and Immediacy</w:t>
      </w:r>
      <w:r>
        <w:rPr>
          <w:rFonts w:ascii="Arial" w:cs="Arial" w:eastAsia="Arial" w:hAnsi="Arial"/>
          <w:sz w:val="17"/>
          <w:szCs w:val="17"/>
          <w:color w:val="auto"/>
        </w:rPr>
        <w:t>. CPG brands are seeking more opportunities to connect digital advertising investments directly to sales</w:t>
      </w:r>
      <w:r>
        <w:rPr>
          <w:rFonts w:ascii="Arial" w:cs="Arial" w:eastAsia="Arial" w:hAnsi="Arial"/>
          <w:sz w:val="17"/>
          <w:szCs w:val="17"/>
          <w:i w:val="1"/>
          <w:iCs w:val="1"/>
          <w:color w:val="auto"/>
        </w:rPr>
        <w:t xml:space="preserve"> </w:t>
      </w:r>
      <w:r>
        <w:rPr>
          <w:rFonts w:ascii="Arial" w:cs="Arial" w:eastAsia="Arial" w:hAnsi="Arial"/>
          <w:sz w:val="17"/>
          <w:szCs w:val="17"/>
          <w:color w:val="auto"/>
        </w:rPr>
        <w:t>impact. Instacart Ads offers CPG brands an opportunity to move products off of store shelves as a direct result of their ads on Instacart. We help them advertise their products in a way that can enable an immediate purchase that can be delivered to the customer within hours or even minutes. The real-time nature of purchase and consumption allows brands to optimize their targeting and messaging to achieve compelling returns on investment.</w:t>
      </w:r>
    </w:p>
    <w:p>
      <w:pPr>
        <w:spacing w:after="0" w:line="94" w:lineRule="exact"/>
        <w:rPr>
          <w:rFonts w:ascii="Arial" w:cs="Arial" w:eastAsia="Arial" w:hAnsi="Arial"/>
          <w:sz w:val="17"/>
          <w:szCs w:val="17"/>
          <w:color w:val="auto"/>
        </w:rPr>
      </w:pPr>
    </w:p>
    <w:p>
      <w:pPr>
        <w:ind w:left="1500" w:right="520" w:hanging="479"/>
        <w:spacing w:after="0" w:line="260" w:lineRule="auto"/>
        <w:tabs>
          <w:tab w:leader="none" w:pos="15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Self-Service Management</w:t>
      </w:r>
      <w:r>
        <w:rPr>
          <w:rFonts w:ascii="Arial" w:cs="Arial" w:eastAsia="Arial" w:hAnsi="Arial"/>
          <w:sz w:val="17"/>
          <w:szCs w:val="17"/>
          <w:color w:val="auto"/>
        </w:rPr>
        <w:t>. CPG brands can use our self-service Ads Manager to create, manage, monitor, and optimize their ad</w:t>
      </w:r>
      <w:r>
        <w:rPr>
          <w:rFonts w:ascii="Arial" w:cs="Arial" w:eastAsia="Arial" w:hAnsi="Arial"/>
          <w:sz w:val="17"/>
          <w:szCs w:val="17"/>
          <w:i w:val="1"/>
          <w:iCs w:val="1"/>
          <w:color w:val="auto"/>
        </w:rPr>
        <w:t xml:space="preserve"> </w:t>
      </w:r>
      <w:r>
        <w:rPr>
          <w:rFonts w:ascii="Arial" w:cs="Arial" w:eastAsia="Arial" w:hAnsi="Arial"/>
          <w:sz w:val="17"/>
          <w:szCs w:val="17"/>
          <w:color w:val="auto"/>
        </w:rPr>
        <w:t>campaigns on Instacart, and can choose to streamline eCommerce campaign management with API partners utilizing our API integration.</w:t>
      </w:r>
    </w:p>
    <w:p>
      <w:pPr>
        <w:spacing w:after="0" w:line="86" w:lineRule="exact"/>
        <w:rPr>
          <w:rFonts w:ascii="Arial" w:cs="Arial" w:eastAsia="Arial" w:hAnsi="Arial"/>
          <w:sz w:val="17"/>
          <w:szCs w:val="17"/>
          <w:color w:val="auto"/>
        </w:rPr>
      </w:pPr>
    </w:p>
    <w:p>
      <w:pPr>
        <w:ind w:left="1500" w:right="140" w:hanging="479"/>
        <w:spacing w:after="0" w:line="311" w:lineRule="auto"/>
        <w:tabs>
          <w:tab w:leader="none" w:pos="150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First-Party Data</w:t>
      </w:r>
      <w:r>
        <w:rPr>
          <w:rFonts w:ascii="Arial" w:cs="Arial" w:eastAsia="Arial" w:hAnsi="Arial"/>
          <w:sz w:val="15"/>
          <w:szCs w:val="15"/>
          <w:color w:val="auto"/>
        </w:rPr>
        <w:t>. To power Instacart Ads, we use first-party data collected through a customer’s activities on Instacart,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browsing, searching, purchasing, and choosing replacements. This gives us control over the data we use to optimize the performance of our ads offerings without reliance on third-party data that is susceptible to significant privacy and data sharing regulations.</w:t>
      </w:r>
    </w:p>
    <w:p>
      <w:pPr>
        <w:spacing w:after="0" w:line="51" w:lineRule="exact"/>
        <w:rPr>
          <w:rFonts w:ascii="Arial" w:cs="Arial" w:eastAsia="Arial" w:hAnsi="Arial"/>
          <w:sz w:val="15"/>
          <w:szCs w:val="15"/>
          <w:color w:val="auto"/>
        </w:rPr>
      </w:pPr>
    </w:p>
    <w:p>
      <w:pPr>
        <w:ind w:left="1500" w:right="120" w:hanging="479"/>
        <w:spacing w:after="0" w:line="272" w:lineRule="auto"/>
        <w:tabs>
          <w:tab w:leader="none" w:pos="15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Measurability</w:t>
      </w:r>
      <w:r>
        <w:rPr>
          <w:rFonts w:ascii="Arial" w:cs="Arial" w:eastAsia="Arial" w:hAnsi="Arial"/>
          <w:sz w:val="17"/>
          <w:szCs w:val="17"/>
          <w:color w:val="auto"/>
        </w:rPr>
        <w:t>. Since we leverage first-party data, our brand partners are able to measure ROI and performance with greater accuracy</w:t>
      </w:r>
      <w:r>
        <w:rPr>
          <w:rFonts w:ascii="Arial" w:cs="Arial" w:eastAsia="Arial" w:hAnsi="Arial"/>
          <w:sz w:val="17"/>
          <w:szCs w:val="17"/>
          <w:i w:val="1"/>
          <w:iCs w:val="1"/>
          <w:color w:val="auto"/>
        </w:rPr>
        <w:t xml:space="preserve"> </w:t>
      </w:r>
      <w:r>
        <w:rPr>
          <w:rFonts w:ascii="Arial" w:cs="Arial" w:eastAsia="Arial" w:hAnsi="Arial"/>
          <w:sz w:val="17"/>
          <w:szCs w:val="17"/>
          <w:color w:val="auto"/>
        </w:rPr>
        <w:t>and better understand the value of advertising on Instacart and how their spend drives purchases.</w:t>
      </w:r>
    </w:p>
    <w:p>
      <w:pPr>
        <w:spacing w:after="0" w:line="76" w:lineRule="exact"/>
        <w:rPr>
          <w:rFonts w:ascii="Arial" w:cs="Arial" w:eastAsia="Arial" w:hAnsi="Arial"/>
          <w:sz w:val="17"/>
          <w:szCs w:val="17"/>
          <w:color w:val="auto"/>
        </w:rPr>
      </w:pPr>
    </w:p>
    <w:p>
      <w:pPr>
        <w:ind w:left="1500" w:right="160" w:hanging="479"/>
        <w:spacing w:after="0" w:line="284" w:lineRule="auto"/>
        <w:tabs>
          <w:tab w:leader="none" w:pos="15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Impactful Insights</w:t>
      </w:r>
      <w:r>
        <w:rPr>
          <w:rFonts w:ascii="Arial" w:cs="Arial" w:eastAsia="Arial" w:hAnsi="Arial"/>
          <w:sz w:val="16"/>
          <w:szCs w:val="16"/>
          <w:color w:val="auto"/>
        </w:rPr>
        <w:t>. We provide our brand partners with actionable customer insights that are not available via traditional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channels, including their basket penetration, category share, and parent company and brand-level sales. Brands are able to leverage this data to expand their reach, drive sales with effective targeting, and optimize their advertising spend.</w:t>
      </w:r>
    </w:p>
    <w:p>
      <w:pPr>
        <w:spacing w:after="0" w:line="68" w:lineRule="exact"/>
        <w:rPr>
          <w:rFonts w:ascii="Arial" w:cs="Arial" w:eastAsia="Arial" w:hAnsi="Arial"/>
          <w:sz w:val="16"/>
          <w:szCs w:val="16"/>
          <w:color w:val="auto"/>
        </w:rPr>
      </w:pPr>
    </w:p>
    <w:p>
      <w:pPr>
        <w:ind w:left="1500" w:right="180" w:hanging="479"/>
        <w:spacing w:after="0" w:line="254" w:lineRule="auto"/>
        <w:tabs>
          <w:tab w:leader="none" w:pos="15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Broad Solution Set</w:t>
      </w:r>
      <w:r>
        <w:rPr>
          <w:rFonts w:ascii="Arial" w:cs="Arial" w:eastAsia="Arial" w:hAnsi="Arial"/>
          <w:sz w:val="17"/>
          <w:szCs w:val="17"/>
          <w:color w:val="auto"/>
        </w:rPr>
        <w:t>. We offer a broad set of solutions — from organic discovery of products through our search engine, to sponsored</w:t>
      </w:r>
      <w:r>
        <w:rPr>
          <w:rFonts w:ascii="Arial" w:cs="Arial" w:eastAsia="Arial" w:hAnsi="Arial"/>
          <w:sz w:val="17"/>
          <w:szCs w:val="17"/>
          <w:i w:val="1"/>
          <w:iCs w:val="1"/>
          <w:color w:val="auto"/>
        </w:rPr>
        <w:t xml:space="preserve"> </w:t>
      </w:r>
      <w:r>
        <w:rPr>
          <w:rFonts w:ascii="Arial" w:cs="Arial" w:eastAsia="Arial" w:hAnsi="Arial"/>
          <w:sz w:val="17"/>
          <w:szCs w:val="17"/>
          <w:color w:val="auto"/>
        </w:rPr>
        <w:t>search ad products, paid placements through our display ads, and promotions. Our solutions create more value for our entire ecosystem by providing savings for customers and helping drive larger average order values for our retail partners. Our unique data insights have also allowed us to build a powerful recommendation system and inspire customers to try new items and products on Instacart Marketplace.</w:t>
      </w:r>
    </w:p>
    <w:p>
      <w:pPr>
        <w:spacing w:after="0" w:line="150" w:lineRule="exact"/>
        <w:rPr>
          <w:sz w:val="20"/>
          <w:szCs w:val="20"/>
          <w:color w:val="auto"/>
        </w:rPr>
      </w:pPr>
    </w:p>
    <w:p>
      <w:pPr>
        <w:ind w:left="1020" w:right="260" w:hanging="392"/>
        <w:spacing w:after="0" w:line="233" w:lineRule="auto"/>
        <w:tabs>
          <w:tab w:leader="none" w:pos="1020" w:val="left"/>
        </w:tabs>
        <w:numPr>
          <w:ilvl w:val="0"/>
          <w:numId w:val="37"/>
        </w:numPr>
        <w:rPr>
          <w:rFonts w:ascii="Arial" w:cs="Arial" w:eastAsia="Arial" w:hAnsi="Arial"/>
          <w:sz w:val="10"/>
          <w:szCs w:val="10"/>
          <w:color w:val="auto"/>
        </w:rPr>
      </w:pPr>
      <w:r>
        <w:rPr>
          <w:rFonts w:ascii="Arial" w:cs="Arial" w:eastAsia="Arial" w:hAnsi="Arial"/>
          <w:sz w:val="13"/>
          <w:szCs w:val="13"/>
          <w:color w:val="auto"/>
        </w:rPr>
        <w:t>Based on internal tests run across all brand partners using our Sponsored Product ads offering in the quarter ended June 30, 2023 and individual tests run for select brands or types of brands.</w:t>
      </w:r>
    </w:p>
    <w:p>
      <w:pPr>
        <w:ind w:left="1020" w:hanging="392"/>
        <w:spacing w:after="0" w:line="223" w:lineRule="auto"/>
        <w:tabs>
          <w:tab w:leader="none" w:pos="1020" w:val="left"/>
        </w:tabs>
        <w:numPr>
          <w:ilvl w:val="0"/>
          <w:numId w:val="37"/>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ind w:left="1020" w:hanging="392"/>
        <w:spacing w:after="0"/>
        <w:tabs>
          <w:tab w:leader="none" w:pos="1020" w:val="left"/>
        </w:tabs>
        <w:numPr>
          <w:ilvl w:val="0"/>
          <w:numId w:val="37"/>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00"/>
          </w:cols>
          <w:pgMar w:left="320" w:top="440" w:right="97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883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6535" cy="5883275"/>
                    </a:xfrm>
                    <a:prstGeom prst="rect">
                      <a:avLst/>
                    </a:prstGeom>
                    <a:noFill/>
                  </pic:spPr>
                </pic:pic>
              </a:graphicData>
            </a:graphic>
          </wp:anchor>
        </w:drawing>
      </w:r>
    </w:p>
    <w:p>
      <w:pPr>
        <w:spacing w:after="0" w:line="292" w:lineRule="exact"/>
        <w:rPr>
          <w:sz w:val="20"/>
          <w:szCs w:val="20"/>
          <w:color w:val="auto"/>
        </w:rPr>
      </w:pPr>
    </w:p>
    <w:p>
      <w:pPr>
        <w:ind w:left="1500" w:right="160" w:hanging="479"/>
        <w:spacing w:after="0" w:line="260" w:lineRule="auto"/>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Nationwide Retailer Scale</w:t>
      </w:r>
      <w:r>
        <w:rPr>
          <w:rFonts w:ascii="Arial" w:cs="Arial" w:eastAsia="Arial" w:hAnsi="Arial"/>
          <w:sz w:val="17"/>
          <w:szCs w:val="17"/>
          <w:color w:val="auto"/>
        </w:rPr>
        <w:t>. Instacart provides brands with a single channel to optimize their portfolio of advertising spend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entire base of retailers on Instacart. Rather than managing hundreds of individual retailer accounts like they do offline, brands can scale and optimize their online spend in one centralized location.</w:t>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 Shoppers</w:t>
      </w:r>
    </w:p>
    <w:p>
      <w:pPr>
        <w:spacing w:after="0" w:line="121" w:lineRule="exact"/>
        <w:rPr>
          <w:sz w:val="20"/>
          <w:szCs w:val="20"/>
          <w:color w:val="auto"/>
        </w:rPr>
      </w:pPr>
    </w:p>
    <w:p>
      <w:pPr>
        <w:ind w:left="1500" w:right="80" w:hanging="479"/>
        <w:spacing w:after="0" w:line="225" w:lineRule="auto"/>
        <w:tabs>
          <w:tab w:leader="none" w:pos="15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Earnings Potential</w:t>
      </w:r>
      <w:r>
        <w:rPr>
          <w:rFonts w:ascii="Arial" w:cs="Arial" w:eastAsia="Arial" w:hAnsi="Arial"/>
          <w:sz w:val="17"/>
          <w:szCs w:val="17"/>
          <w:color w:val="auto"/>
        </w:rPr>
        <w:t>. Since our founding, shoppers have earned over $15 billion on Instacart.</w:t>
      </w:r>
      <w:r>
        <w:rPr>
          <w:rFonts w:ascii="Arial" w:cs="Arial" w:eastAsia="Arial" w:hAnsi="Arial"/>
          <w:sz w:val="25"/>
          <w:szCs w:val="25"/>
          <w:color w:val="auto"/>
          <w:vertAlign w:val="superscript"/>
        </w:rPr>
        <w:t>56</w:t>
      </w:r>
      <w:r>
        <w:rPr>
          <w:rFonts w:ascii="Arial" w:cs="Arial" w:eastAsia="Arial" w:hAnsi="Arial"/>
          <w:sz w:val="17"/>
          <w:szCs w:val="17"/>
          <w:i w:val="1"/>
          <w:iCs w:val="1"/>
          <w:color w:val="auto"/>
        </w:rPr>
        <w:t xml:space="preserve"> </w:t>
      </w:r>
      <w:r>
        <w:rPr>
          <w:rFonts w:ascii="Arial" w:cs="Arial" w:eastAsia="Arial" w:hAnsi="Arial"/>
          <w:sz w:val="17"/>
          <w:szCs w:val="17"/>
          <w:color w:val="auto"/>
        </w:rPr>
        <w:t>We provide shoppers with tools to</w:t>
      </w:r>
      <w:r>
        <w:rPr>
          <w:rFonts w:ascii="Arial" w:cs="Arial" w:eastAsia="Arial" w:hAnsi="Arial"/>
          <w:sz w:val="17"/>
          <w:szCs w:val="17"/>
          <w:i w:val="1"/>
          <w:iCs w:val="1"/>
          <w:color w:val="auto"/>
        </w:rPr>
        <w:t xml:space="preserve"> </w:t>
      </w:r>
      <w:r>
        <w:rPr>
          <w:rFonts w:ascii="Arial" w:cs="Arial" w:eastAsia="Arial" w:hAnsi="Arial"/>
          <w:sz w:val="17"/>
          <w:szCs w:val="17"/>
          <w:color w:val="auto"/>
        </w:rPr>
        <w:t>manage their earnings, providing estimated earnings for an individual batch. We also implemented a number of measures to increase and protect shopper earnings and offer Instant Cashout so shoppers can choose to withdraw earnings instantly or accumulate earnings for payout on a weekly cycle.</w:t>
      </w:r>
    </w:p>
    <w:p>
      <w:pPr>
        <w:spacing w:after="0" w:line="105" w:lineRule="exact"/>
        <w:rPr>
          <w:rFonts w:ascii="Arial" w:cs="Arial" w:eastAsia="Arial" w:hAnsi="Arial"/>
          <w:sz w:val="17"/>
          <w:szCs w:val="17"/>
          <w:color w:val="auto"/>
        </w:rPr>
      </w:pPr>
    </w:p>
    <w:p>
      <w:pPr>
        <w:ind w:left="1500" w:right="80" w:hanging="479"/>
        <w:spacing w:after="0" w:line="301" w:lineRule="auto"/>
        <w:tabs>
          <w:tab w:leader="none" w:pos="150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Flexibility</w:t>
      </w:r>
      <w:r>
        <w:rPr>
          <w:rFonts w:ascii="Arial" w:cs="Arial" w:eastAsia="Arial" w:hAnsi="Arial"/>
          <w:sz w:val="15"/>
          <w:szCs w:val="15"/>
          <w:color w:val="auto"/>
        </w:rPr>
        <w:t>. Shoppers can start earning with simply a mobile device and a car. We equip shoppers with information so they can choose</w:t>
      </w:r>
      <w:r>
        <w:rPr>
          <w:rFonts w:ascii="Arial" w:cs="Arial" w:eastAsia="Arial" w:hAnsi="Arial"/>
          <w:sz w:val="15"/>
          <w:szCs w:val="15"/>
          <w:i w:val="1"/>
          <w:iCs w:val="1"/>
          <w:color w:val="auto"/>
        </w:rPr>
        <w:t xml:space="preserve"> </w:t>
      </w:r>
      <w:r>
        <w:rPr>
          <w:rFonts w:ascii="Arial" w:cs="Arial" w:eastAsia="Arial" w:hAnsi="Arial"/>
          <w:sz w:val="15"/>
          <w:szCs w:val="15"/>
          <w:color w:val="auto"/>
        </w:rPr>
        <w:t>which batches they want to accept based on the characteristics of that batch, including the retailer, estimated effort, number of items, distance, potential earnings, and estimated customer tip. Shopping with Instacart is differentiated from other flexible alternatives, like rideshare or restaurant delivery, because nearly half of the time is spent in-store and the work can often be done throughout the day.</w:t>
      </w:r>
    </w:p>
    <w:p>
      <w:pPr>
        <w:spacing w:after="0" w:line="59" w:lineRule="exact"/>
        <w:rPr>
          <w:rFonts w:ascii="Arial" w:cs="Arial" w:eastAsia="Arial" w:hAnsi="Arial"/>
          <w:sz w:val="15"/>
          <w:szCs w:val="15"/>
          <w:color w:val="auto"/>
        </w:rPr>
      </w:pPr>
    </w:p>
    <w:p>
      <w:pPr>
        <w:ind w:left="1500" w:hanging="479"/>
        <w:spacing w:after="0" w:line="260" w:lineRule="auto"/>
        <w:tabs>
          <w:tab w:leader="none" w:pos="15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Safety and Care</w:t>
      </w:r>
      <w:r>
        <w:rPr>
          <w:rFonts w:ascii="Arial" w:cs="Arial" w:eastAsia="Arial" w:hAnsi="Arial"/>
          <w:sz w:val="17"/>
          <w:szCs w:val="17"/>
          <w:color w:val="auto"/>
        </w:rPr>
        <w:t>. We have always prioritized the care and safety of our shopper community. We facilitate shopper injury protection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offer in-app safety features such as safety alerts, incident reporting, and the ability to contact emergency services directly through the app.</w:t>
      </w:r>
    </w:p>
    <w:p>
      <w:pPr>
        <w:spacing w:after="0" w:line="86" w:lineRule="exact"/>
        <w:rPr>
          <w:rFonts w:ascii="Arial" w:cs="Arial" w:eastAsia="Arial" w:hAnsi="Arial"/>
          <w:sz w:val="17"/>
          <w:szCs w:val="17"/>
          <w:color w:val="auto"/>
        </w:rPr>
      </w:pPr>
    </w:p>
    <w:p>
      <w:pPr>
        <w:ind w:left="1500" w:right="20" w:hanging="479"/>
        <w:spacing w:after="0" w:line="260" w:lineRule="auto"/>
        <w:tabs>
          <w:tab w:leader="none" w:pos="15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Technology Tools</w:t>
      </w:r>
      <w:r>
        <w:rPr>
          <w:rFonts w:ascii="Arial" w:cs="Arial" w:eastAsia="Arial" w:hAnsi="Arial"/>
          <w:sz w:val="17"/>
          <w:szCs w:val="17"/>
          <w:color w:val="auto"/>
        </w:rPr>
        <w:t>. We make a variety of resources available to help shoppers enhance the efficiency of their work. Our batching</w:t>
      </w:r>
      <w:r>
        <w:rPr>
          <w:rFonts w:ascii="Arial" w:cs="Arial" w:eastAsia="Arial" w:hAnsi="Arial"/>
          <w:sz w:val="17"/>
          <w:szCs w:val="17"/>
          <w:i w:val="1"/>
          <w:iCs w:val="1"/>
          <w:color w:val="auto"/>
        </w:rPr>
        <w:t xml:space="preserve"> </w:t>
      </w:r>
      <w:r>
        <w:rPr>
          <w:rFonts w:ascii="Arial" w:cs="Arial" w:eastAsia="Arial" w:hAnsi="Arial"/>
          <w:sz w:val="17"/>
          <w:szCs w:val="17"/>
          <w:color w:val="auto"/>
        </w:rPr>
        <w:t>algorithm helps shoppers maximize earnings by taking multiple orders at once, while our routing algorithm optimizes a shopper’s path to, through, and from the store.</w:t>
      </w:r>
    </w:p>
    <w:p>
      <w:pPr>
        <w:spacing w:after="0" w:line="86" w:lineRule="exact"/>
        <w:rPr>
          <w:rFonts w:ascii="Arial" w:cs="Arial" w:eastAsia="Arial" w:hAnsi="Arial"/>
          <w:sz w:val="17"/>
          <w:szCs w:val="17"/>
          <w:color w:val="auto"/>
        </w:rPr>
      </w:pPr>
    </w:p>
    <w:p>
      <w:pPr>
        <w:ind w:left="1500" w:right="260" w:hanging="479"/>
        <w:spacing w:after="0" w:line="260" w:lineRule="auto"/>
        <w:tabs>
          <w:tab w:leader="none" w:pos="15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Incentives</w:t>
      </w:r>
      <w:r>
        <w:rPr>
          <w:rFonts w:ascii="Arial" w:cs="Arial" w:eastAsia="Arial" w:hAnsi="Arial"/>
          <w:sz w:val="17"/>
          <w:szCs w:val="17"/>
          <w:color w:val="auto"/>
        </w:rPr>
        <w:t>. We recognize hard work and reward shoppers with impactful incentives, such as priority access to batches, gas savings,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in the customer app, and discounted backup care, that help them stand out to their customers, increase their access to earnings, and reach their personal goals.</w:t>
      </w:r>
    </w:p>
    <w:p>
      <w:pPr>
        <w:spacing w:after="0" w:line="374"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Grow the Pie</w:t>
      </w:r>
    </w:p>
    <w:p>
      <w:pPr>
        <w:spacing w:after="0" w:line="214" w:lineRule="exact"/>
        <w:rPr>
          <w:sz w:val="20"/>
          <w:szCs w:val="20"/>
          <w:color w:val="auto"/>
        </w:rPr>
      </w:pPr>
    </w:p>
    <w:p>
      <w:pPr>
        <w:ind w:left="620" w:right="240" w:firstLine="399"/>
        <w:spacing w:after="0" w:line="260" w:lineRule="auto"/>
        <w:rPr>
          <w:sz w:val="20"/>
          <w:szCs w:val="20"/>
          <w:color w:val="auto"/>
        </w:rPr>
      </w:pPr>
      <w:r>
        <w:rPr>
          <w:rFonts w:ascii="Arial" w:cs="Arial" w:eastAsia="Arial" w:hAnsi="Arial"/>
          <w:sz w:val="17"/>
          <w:szCs w:val="17"/>
          <w:color w:val="auto"/>
        </w:rPr>
        <w:t>At Instacart, one of our core values is to “Grow the Pie” for each of our key constituents: retailers, customers, brands, and shoppers. We believe that every Instacart order represents a success for each of them. As our constituents succeed, so do we, and the entire ecosystem benefits from powerful network effects.</w:t>
      </w:r>
    </w:p>
    <w:p>
      <w:pPr>
        <w:spacing w:after="0" w:line="87" w:lineRule="exact"/>
        <w:rPr>
          <w:sz w:val="20"/>
          <w:szCs w:val="20"/>
          <w:color w:val="auto"/>
        </w:rPr>
      </w:pPr>
    </w:p>
    <w:p>
      <w:pPr>
        <w:ind w:left="1500" w:right="100" w:hanging="479"/>
        <w:spacing w:after="0" w:line="256" w:lineRule="auto"/>
        <w:tabs>
          <w:tab w:leader="none" w:pos="15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recognize the significant value we provide by enabling new use cases and fulfillment options across consumer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needs and through our end-to-end technology solution, unlocking greater growth and efficiencies. As retailers improve their omni-channel operations, they are able to reach more customers and bring new brands into their portfolio to meet the needs of this broader audience.</w:t>
      </w:r>
    </w:p>
    <w:p>
      <w:pPr>
        <w:spacing w:after="0" w:line="90" w:lineRule="exact"/>
        <w:rPr>
          <w:rFonts w:ascii="Arial" w:cs="Arial" w:eastAsia="Arial" w:hAnsi="Arial"/>
          <w:sz w:val="17"/>
          <w:szCs w:val="17"/>
          <w:color w:val="auto"/>
        </w:rPr>
      </w:pPr>
    </w:p>
    <w:p>
      <w:pPr>
        <w:ind w:left="1500" w:right="380" w:hanging="479"/>
        <w:spacing w:after="0" w:line="284" w:lineRule="auto"/>
        <w:tabs>
          <w:tab w:leader="none" w:pos="15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appreciate being able to shop online with their favorite national, regional, and local retailers, across use cases, desired</w:t>
      </w:r>
      <w:r>
        <w:rPr>
          <w:rFonts w:ascii="Arial" w:cs="Arial" w:eastAsia="Arial" w:hAnsi="Arial"/>
          <w:sz w:val="16"/>
          <w:szCs w:val="16"/>
          <w:i w:val="1"/>
          <w:iCs w:val="1"/>
          <w:color w:val="auto"/>
        </w:rPr>
        <w:t xml:space="preserve"> </w:t>
      </w:r>
      <w:r>
        <w:rPr>
          <w:rFonts w:ascii="Arial" w:cs="Arial" w:eastAsia="Arial" w:hAnsi="Arial"/>
          <w:sz w:val="16"/>
          <w:szCs w:val="16"/>
          <w:color w:val="auto"/>
        </w:rPr>
        <w:t>speeds, and payment methods, through an intuitive and personalized experience. Satisfied customers will continue to order on Instacart, driving more earnings opportunities for shoppers and more sales for retailers and brands.</w:t>
      </w:r>
    </w:p>
    <w:p>
      <w:pPr>
        <w:spacing w:after="0" w:line="68" w:lineRule="exact"/>
        <w:rPr>
          <w:rFonts w:ascii="Arial" w:cs="Arial" w:eastAsia="Arial" w:hAnsi="Arial"/>
          <w:sz w:val="16"/>
          <w:szCs w:val="16"/>
          <w:color w:val="auto"/>
        </w:rPr>
      </w:pPr>
    </w:p>
    <w:p>
      <w:pPr>
        <w:jc w:val="both"/>
        <w:ind w:left="1500" w:right="40" w:hanging="479"/>
        <w:spacing w:after="0" w:line="260" w:lineRule="auto"/>
        <w:tabs>
          <w:tab w:leader="none" w:pos="15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Brands </w:t>
      </w:r>
      <w:r>
        <w:rPr>
          <w:rFonts w:ascii="Arial" w:cs="Arial" w:eastAsia="Arial" w:hAnsi="Arial"/>
          <w:sz w:val="17"/>
          <w:szCs w:val="17"/>
          <w:color w:val="auto"/>
        </w:rPr>
        <w:t>can drive high ROI on their ad spend due to our deep understanding of customer shopping behavior and preferences.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leads to larger average order values for retailers, deals and discounts for customers, and deeper brand affinity. Advertising revenue allows us to charge lower</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00"/>
          </w:cols>
          <w:pgMar w:left="320" w:top="440" w:right="97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690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66535" cy="5690235"/>
                    </a:xfrm>
                    <a:prstGeom prst="rect">
                      <a:avLst/>
                    </a:prstGeom>
                    <a:noFill/>
                  </pic:spPr>
                </pic:pic>
              </a:graphicData>
            </a:graphic>
          </wp:anchor>
        </w:drawing>
      </w:r>
    </w:p>
    <w:p>
      <w:pPr>
        <w:spacing w:after="0" w:line="292" w:lineRule="exact"/>
        <w:rPr>
          <w:sz w:val="20"/>
          <w:szCs w:val="20"/>
          <w:color w:val="auto"/>
        </w:rPr>
      </w:pPr>
    </w:p>
    <w:p>
      <w:pPr>
        <w:ind w:left="1520" w:right="440"/>
        <w:spacing w:after="0" w:line="272" w:lineRule="auto"/>
        <w:rPr>
          <w:sz w:val="20"/>
          <w:szCs w:val="20"/>
          <w:color w:val="auto"/>
        </w:rPr>
      </w:pPr>
      <w:r>
        <w:rPr>
          <w:rFonts w:ascii="Arial" w:cs="Arial" w:eastAsia="Arial" w:hAnsi="Arial"/>
          <w:sz w:val="17"/>
          <w:szCs w:val="17"/>
          <w:color w:val="auto"/>
        </w:rPr>
        <w:t>fees, helping retailers’ bottom line and reducing order costs for customers. Lower fees make ordering online more appealing for customers, resulting in a higher frequency of usage.</w:t>
      </w:r>
    </w:p>
    <w:p>
      <w:pPr>
        <w:spacing w:after="0" w:line="76" w:lineRule="exact"/>
        <w:rPr>
          <w:sz w:val="20"/>
          <w:szCs w:val="20"/>
          <w:color w:val="auto"/>
        </w:rPr>
      </w:pPr>
    </w:p>
    <w:p>
      <w:pPr>
        <w:ind w:left="1500" w:right="120" w:hanging="479"/>
        <w:spacing w:after="0" w:line="284" w:lineRule="auto"/>
        <w:tabs>
          <w:tab w:leader="none" w:pos="15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Shoppers </w:t>
      </w:r>
      <w:r>
        <w:rPr>
          <w:rFonts w:ascii="Arial" w:cs="Arial" w:eastAsia="Arial" w:hAnsi="Arial"/>
          <w:sz w:val="16"/>
          <w:szCs w:val="16"/>
          <w:color w:val="auto"/>
        </w:rPr>
        <w:t>benefit from strong customer activity through more flexible earnings opportunities and value the opportunity to earn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income. As more shoppers join Instacart, availability and speed will continue to improve for customers, which in turn will likely increase the frequency and number of purchases of goods from retailers and brands.</w:t>
      </w:r>
    </w:p>
    <w:p>
      <w:pPr>
        <w:spacing w:after="0" w:line="356"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Our Growth Strategies</w:t>
      </w:r>
    </w:p>
    <w:p>
      <w:pPr>
        <w:spacing w:after="0" w:line="214" w:lineRule="exact"/>
        <w:rPr>
          <w:sz w:val="20"/>
          <w:szCs w:val="20"/>
          <w:color w:val="auto"/>
        </w:rPr>
      </w:pPr>
    </w:p>
    <w:p>
      <w:pPr>
        <w:ind w:left="620" w:right="460" w:firstLine="399"/>
        <w:spacing w:after="0" w:line="303" w:lineRule="auto"/>
        <w:rPr>
          <w:sz w:val="20"/>
          <w:szCs w:val="20"/>
          <w:color w:val="auto"/>
        </w:rPr>
      </w:pPr>
      <w:r>
        <w:rPr>
          <w:rFonts w:ascii="Arial" w:cs="Arial" w:eastAsia="Arial" w:hAnsi="Arial"/>
          <w:sz w:val="16"/>
          <w:szCs w:val="16"/>
          <w:color w:val="auto"/>
        </w:rPr>
        <w:t>We plan to continue to grow by delivering the best online grocery experience to more customers, increasing the number of retailers we partner with and deepening our relationships with existing retail partners, and increasing our advertising revenue.</w:t>
      </w:r>
    </w:p>
    <w:p>
      <w:pPr>
        <w:spacing w:after="0" w:line="55" w:lineRule="exact"/>
        <w:rPr>
          <w:sz w:val="20"/>
          <w:szCs w:val="20"/>
          <w:color w:val="auto"/>
        </w:rPr>
      </w:pPr>
    </w:p>
    <w:p>
      <w:pPr>
        <w:ind w:left="1500" w:right="640" w:hanging="479"/>
        <w:spacing w:after="0" w:line="303" w:lineRule="auto"/>
        <w:tabs>
          <w:tab w:leader="none" w:pos="15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Attract New Customers and Expand Use Cases</w:t>
      </w:r>
      <w:r>
        <w:rPr>
          <w:rFonts w:ascii="Arial" w:cs="Arial" w:eastAsia="Arial" w:hAnsi="Arial"/>
          <w:sz w:val="16"/>
          <w:szCs w:val="16"/>
          <w:color w:val="auto"/>
        </w:rPr>
        <w:t>. We will continue to help retail partners capture new customers as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behaviors and preferences shift. We are focused on the following avenues to achieve this:</w:t>
      </w:r>
    </w:p>
    <w:p>
      <w:pPr>
        <w:spacing w:after="0" w:line="54" w:lineRule="exact"/>
        <w:rPr>
          <w:rFonts w:ascii="Arial" w:cs="Arial" w:eastAsia="Arial" w:hAnsi="Arial"/>
          <w:sz w:val="16"/>
          <w:szCs w:val="16"/>
          <w:color w:val="auto"/>
        </w:rPr>
      </w:pPr>
    </w:p>
    <w:p>
      <w:pPr>
        <w:ind w:left="2500" w:right="60" w:hanging="479"/>
        <w:spacing w:after="0" w:line="272" w:lineRule="auto"/>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Grow Online Penetration</w:t>
      </w:r>
      <w:r>
        <w:rPr>
          <w:rFonts w:ascii="Arial" w:cs="Arial" w:eastAsia="Arial" w:hAnsi="Arial"/>
          <w:sz w:val="17"/>
          <w:szCs w:val="17"/>
          <w:color w:val="auto"/>
        </w:rPr>
        <w:t>. We plan to invest in incentives, performance and brand marketing, and partnerships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 base and expand the online grocery market.</w:t>
      </w:r>
    </w:p>
    <w:p>
      <w:pPr>
        <w:spacing w:after="0" w:line="76" w:lineRule="exact"/>
        <w:rPr>
          <w:rFonts w:ascii="Arial" w:cs="Arial" w:eastAsia="Arial" w:hAnsi="Arial"/>
          <w:sz w:val="17"/>
          <w:szCs w:val="17"/>
          <w:color w:val="auto"/>
        </w:rPr>
      </w:pPr>
    </w:p>
    <w:p>
      <w:pPr>
        <w:ind w:left="2500" w:right="40" w:hanging="479"/>
        <w:spacing w:after="0" w:line="256" w:lineRule="auto"/>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Expand Omni-Channel Offerings</w:t>
      </w:r>
      <w:r>
        <w:rPr>
          <w:rFonts w:ascii="Arial" w:cs="Arial" w:eastAsia="Arial" w:hAnsi="Arial"/>
          <w:sz w:val="17"/>
          <w:szCs w:val="17"/>
          <w:color w:val="auto"/>
        </w:rPr>
        <w:t>. We began with delivery but have since introduced pickup and in-store capabilities.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To enhance the in-store experience, we offer AI-powered Caper Carts in select stores to help customers easily navigate stores and check themselves out without manually scanning items. We plan to continue to invest in new fulfillment and in-store options.</w:t>
      </w:r>
    </w:p>
    <w:p>
      <w:pPr>
        <w:spacing w:after="0" w:line="90" w:lineRule="exact"/>
        <w:rPr>
          <w:rFonts w:ascii="Arial" w:cs="Arial" w:eastAsia="Arial" w:hAnsi="Arial"/>
          <w:sz w:val="17"/>
          <w:szCs w:val="17"/>
          <w:color w:val="auto"/>
        </w:rPr>
      </w:pPr>
    </w:p>
    <w:p>
      <w:pPr>
        <w:ind w:left="2500" w:right="140" w:hanging="479"/>
        <w:spacing w:after="0" w:line="311" w:lineRule="auto"/>
        <w:tabs>
          <w:tab w:leader="none" w:pos="250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Introduce New Use Cases and Broaden Selection</w:t>
      </w:r>
      <w:r>
        <w:rPr>
          <w:rFonts w:ascii="Arial" w:cs="Arial" w:eastAsia="Arial" w:hAnsi="Arial"/>
          <w:sz w:val="15"/>
          <w:szCs w:val="15"/>
          <w:color w:val="auto"/>
        </w:rPr>
        <w:t>. We will continue to broaden grocery shopping occasions. We will</w:t>
      </w:r>
      <w:r>
        <w:rPr>
          <w:rFonts w:ascii="Arial" w:cs="Arial" w:eastAsia="Arial" w:hAnsi="Arial"/>
          <w:sz w:val="15"/>
          <w:szCs w:val="15"/>
          <w:i w:val="1"/>
          <w:iCs w:val="1"/>
          <w:color w:val="auto"/>
        </w:rPr>
        <w:t xml:space="preserve"> </w:t>
      </w:r>
      <w:r>
        <w:rPr>
          <w:rFonts w:ascii="Arial" w:cs="Arial" w:eastAsia="Arial" w:hAnsi="Arial"/>
          <w:sz w:val="15"/>
          <w:szCs w:val="15"/>
          <w:color w:val="auto"/>
        </w:rPr>
        <w:t>also expand into grocery-adjacent verticals to meet changing consumer demands and tailor our offering for additional shopping use cases, like Instacart Business, our solution designed for customers shopping for their businesses.</w:t>
      </w:r>
    </w:p>
    <w:p>
      <w:pPr>
        <w:spacing w:after="0" w:line="51" w:lineRule="exact"/>
        <w:rPr>
          <w:rFonts w:ascii="Arial" w:cs="Arial" w:eastAsia="Arial" w:hAnsi="Arial"/>
          <w:sz w:val="15"/>
          <w:szCs w:val="15"/>
          <w:color w:val="auto"/>
        </w:rPr>
      </w:pPr>
    </w:p>
    <w:p>
      <w:pPr>
        <w:ind w:left="2500" w:hanging="479"/>
        <w:spacing w:after="0" w:line="290" w:lineRule="auto"/>
        <w:tabs>
          <w:tab w:leader="none" w:pos="250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Increase Access</w:t>
      </w:r>
      <w:r>
        <w:rPr>
          <w:rFonts w:ascii="Arial" w:cs="Arial" w:eastAsia="Arial" w:hAnsi="Arial"/>
          <w:sz w:val="15"/>
          <w:szCs w:val="15"/>
          <w:color w:val="auto"/>
        </w:rPr>
        <w:t>. We strive to make online grocery shopping accessible and affordable. We will continue to offer a wide</w:t>
      </w:r>
      <w:r>
        <w:rPr>
          <w:rFonts w:ascii="Arial" w:cs="Arial" w:eastAsia="Arial" w:hAnsi="Arial"/>
          <w:sz w:val="15"/>
          <w:szCs w:val="15"/>
          <w:i w:val="1"/>
          <w:iCs w:val="1"/>
          <w:color w:val="auto"/>
        </w:rPr>
        <w:t xml:space="preserve"> </w:t>
      </w:r>
      <w:r>
        <w:rPr>
          <w:rFonts w:ascii="Arial" w:cs="Arial" w:eastAsia="Arial" w:hAnsi="Arial"/>
          <w:sz w:val="15"/>
          <w:szCs w:val="15"/>
          <w:color w:val="auto"/>
        </w:rPr>
        <w:t>range of fulfillment options, including pickup, no rush delivery, and next day delivery, that are more affordable relative to other fulfillment options. We will continue to work with our brand partners to expand our offerings of exclusive coupons and deals and with retailers to offer item price parity to their physical stores whenever possible. We will leverage partnerships to augment these savings and deals through mechanisms like cashback and trial Instacart+ memberships. We also offer diverse payment types, such as EBT SNAP and recent initiatives like Fresh Funds through Instacart Health, our solution designed to make it easier for payers, providers, employers, and non-profits to fund the cost of nutritious food and prescribe food to patients, to increase the accessibility of Instacart for more households.</w:t>
      </w:r>
    </w:p>
    <w:p>
      <w:pPr>
        <w:spacing w:after="0" w:line="67" w:lineRule="exact"/>
        <w:rPr>
          <w:rFonts w:ascii="Arial" w:cs="Arial" w:eastAsia="Arial" w:hAnsi="Arial"/>
          <w:sz w:val="15"/>
          <w:szCs w:val="15"/>
          <w:color w:val="auto"/>
        </w:rPr>
      </w:pPr>
    </w:p>
    <w:p>
      <w:pPr>
        <w:ind w:left="2500" w:right="620" w:hanging="479"/>
        <w:spacing w:after="0" w:line="340" w:lineRule="auto"/>
        <w:tabs>
          <w:tab w:leader="none" w:pos="250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Grow Instacart+</w:t>
      </w:r>
      <w:r>
        <w:rPr>
          <w:rFonts w:ascii="Arial" w:cs="Arial" w:eastAsia="Arial" w:hAnsi="Arial"/>
          <w:sz w:val="15"/>
          <w:szCs w:val="15"/>
          <w:color w:val="auto"/>
        </w:rPr>
        <w:t>. We will continue to invest in Instacart+, our membership program, to drive greater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engagement. We plan to increase adoption of Instacart+ to deliver savings back to our most loyal customers.</w:t>
      </w:r>
    </w:p>
    <w:p>
      <w:pPr>
        <w:spacing w:after="0" w:line="30" w:lineRule="exact"/>
        <w:rPr>
          <w:rFonts w:ascii="Arial" w:cs="Arial" w:eastAsia="Arial" w:hAnsi="Arial"/>
          <w:sz w:val="15"/>
          <w:szCs w:val="15"/>
          <w:color w:val="auto"/>
        </w:rPr>
      </w:pPr>
    </w:p>
    <w:p>
      <w:pPr>
        <w:ind w:left="2500" w:right="40" w:hanging="479"/>
        <w:spacing w:after="0" w:line="272" w:lineRule="auto"/>
        <w:tabs>
          <w:tab w:leader="none" w:pos="250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Expand AI Applications</w:t>
      </w:r>
      <w:r>
        <w:rPr>
          <w:rFonts w:ascii="Arial" w:cs="Arial" w:eastAsia="Arial" w:hAnsi="Arial"/>
          <w:sz w:val="16"/>
          <w:szCs w:val="16"/>
          <w:color w:val="auto"/>
        </w:rPr>
        <w:t>. We believe we are well positioned to lead AI innovation in the online grocery space and</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increase engagement on Instacart. We have a robust machine learning foundation with a large amount of unique data across our retailers, product catalog, and customers. We intend to leverage this data to continue to develop AI models for deep personalization and a better customer experience. With the rapid innovation in generative AI, we believe we can create new personalized, inspirational, value-driven shopping experiences that enrich our customers’ relationship with food and how they engage with the retailers and brands they love.</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80"/>
          </w:cols>
          <w:pgMar w:left="320" w:top="440" w:right="99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504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6535" cy="5504815"/>
                    </a:xfrm>
                    <a:prstGeom prst="rect">
                      <a:avLst/>
                    </a:prstGeom>
                    <a:noFill/>
                  </pic:spPr>
                </pic:pic>
              </a:graphicData>
            </a:graphic>
          </wp:anchor>
        </w:drawing>
      </w:r>
    </w:p>
    <w:p>
      <w:pPr>
        <w:spacing w:after="0" w:line="292" w:lineRule="exact"/>
        <w:rPr>
          <w:sz w:val="20"/>
          <w:szCs w:val="20"/>
          <w:color w:val="auto"/>
        </w:rPr>
      </w:pPr>
    </w:p>
    <w:p>
      <w:pPr>
        <w:ind w:left="1500" w:right="640" w:hanging="479"/>
        <w:spacing w:after="0" w:line="303" w:lineRule="auto"/>
        <w:tabs>
          <w:tab w:leader="none" w:pos="15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Deepen Our Offerings to Retailers</w:t>
      </w:r>
      <w:r>
        <w:rPr>
          <w:rFonts w:ascii="Arial" w:cs="Arial" w:eastAsia="Arial" w:hAnsi="Arial"/>
          <w:sz w:val="16"/>
          <w:szCs w:val="16"/>
          <w:color w:val="auto"/>
        </w:rPr>
        <w:t>. We plan to continue to help retailers grow by enabling new use cases and broadening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of our technology solutions. We are focused on the following strategies to achieve this:</w:t>
      </w:r>
    </w:p>
    <w:p>
      <w:pPr>
        <w:spacing w:after="0" w:line="54" w:lineRule="exact"/>
        <w:rPr>
          <w:rFonts w:ascii="Arial" w:cs="Arial" w:eastAsia="Arial" w:hAnsi="Arial"/>
          <w:sz w:val="16"/>
          <w:szCs w:val="16"/>
          <w:color w:val="auto"/>
        </w:rPr>
      </w:pPr>
    </w:p>
    <w:p>
      <w:pPr>
        <w:ind w:left="2500" w:right="480" w:hanging="479"/>
        <w:spacing w:after="0" w:line="301" w:lineRule="auto"/>
        <w:tabs>
          <w:tab w:leader="none" w:pos="250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Expand Use Cases and Capabilities</w:t>
      </w:r>
      <w:r>
        <w:rPr>
          <w:rFonts w:ascii="Arial" w:cs="Arial" w:eastAsia="Arial" w:hAnsi="Arial"/>
          <w:sz w:val="15"/>
          <w:szCs w:val="15"/>
          <w:color w:val="auto"/>
        </w:rPr>
        <w:t>. We plan to continue to help retailers grow by enabling new use cases and</w:t>
      </w:r>
      <w:r>
        <w:rPr>
          <w:rFonts w:ascii="Arial" w:cs="Arial" w:eastAsia="Arial" w:hAnsi="Arial"/>
          <w:sz w:val="15"/>
          <w:szCs w:val="15"/>
          <w:i w:val="1"/>
          <w:iCs w:val="1"/>
          <w:color w:val="auto"/>
        </w:rPr>
        <w:t xml:space="preserve"> </w:t>
      </w:r>
      <w:r>
        <w:rPr>
          <w:rFonts w:ascii="Arial" w:cs="Arial" w:eastAsia="Arial" w:hAnsi="Arial"/>
          <w:sz w:val="15"/>
          <w:szCs w:val="15"/>
          <w:color w:val="auto"/>
        </w:rPr>
        <w:t>broadening the capabilities of our technology solutions. We have successfully done so when we launched pickup solutions, EBT SNAP payments, virtual convenience, and AI product experiences for retailers on both Instacart Marketplace and on retailers’ owned and operated online storefronts powered by Instacart Enterprise Platform.</w:t>
      </w:r>
    </w:p>
    <w:p>
      <w:pPr>
        <w:spacing w:after="0" w:line="59" w:lineRule="exact"/>
        <w:rPr>
          <w:rFonts w:ascii="Arial" w:cs="Arial" w:eastAsia="Arial" w:hAnsi="Arial"/>
          <w:sz w:val="15"/>
          <w:szCs w:val="15"/>
          <w:color w:val="auto"/>
        </w:rPr>
      </w:pPr>
    </w:p>
    <w:p>
      <w:pPr>
        <w:ind w:left="2500" w:right="140" w:hanging="479"/>
        <w:spacing w:after="0" w:line="291" w:lineRule="auto"/>
        <w:tabs>
          <w:tab w:leader="none" w:pos="250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Pursue Opportunistic Acquisitions</w:t>
      </w:r>
      <w:r>
        <w:rPr>
          <w:rFonts w:ascii="Arial" w:cs="Arial" w:eastAsia="Arial" w:hAnsi="Arial"/>
          <w:sz w:val="15"/>
          <w:szCs w:val="15"/>
          <w:color w:val="auto"/>
        </w:rPr>
        <w:t>. We plan to pursue next-generation technologies via organic and inorganic</w:t>
      </w:r>
      <w:r>
        <w:rPr>
          <w:rFonts w:ascii="Arial" w:cs="Arial" w:eastAsia="Arial" w:hAnsi="Arial"/>
          <w:sz w:val="15"/>
          <w:szCs w:val="15"/>
          <w:i w:val="1"/>
          <w:iCs w:val="1"/>
          <w:color w:val="auto"/>
        </w:rPr>
        <w:t xml:space="preserve"> </w:t>
      </w:r>
      <w:r>
        <w:rPr>
          <w:rFonts w:ascii="Arial" w:cs="Arial" w:eastAsia="Arial" w:hAnsi="Arial"/>
          <w:sz w:val="15"/>
          <w:szCs w:val="15"/>
          <w:color w:val="auto"/>
        </w:rPr>
        <w:t>opportunities. To complement our internal development, we will look to make opportunistic acquisitions that bolster our technology solutions and key capabilities like we have successfully done with Caper, which offers AI-powered shopping carts and countertops for a seamless in-store check-out experience, FoodStorm, which offers a SaaS order management system that powers end-to-end online order ahead and catering capabilities for grocery retailers, Eversight, which offers AI-powered technology to create compelling savings opportunities for customers in real-time, and Rosie, which provides eCommerce storefront experiences specifically for local, independent retailers.</w:t>
      </w:r>
    </w:p>
    <w:p>
      <w:pPr>
        <w:spacing w:after="0" w:line="68" w:lineRule="exact"/>
        <w:rPr>
          <w:rFonts w:ascii="Arial" w:cs="Arial" w:eastAsia="Arial" w:hAnsi="Arial"/>
          <w:sz w:val="15"/>
          <w:szCs w:val="15"/>
          <w:color w:val="auto"/>
        </w:rPr>
      </w:pPr>
    </w:p>
    <w:p>
      <w:pPr>
        <w:ind w:left="2500" w:right="80" w:hanging="479"/>
        <w:spacing w:after="0" w:line="340" w:lineRule="auto"/>
        <w:tabs>
          <w:tab w:leader="none" w:pos="250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Extend Our Technology Beyond Grocery</w:t>
      </w:r>
      <w:r>
        <w:rPr>
          <w:rFonts w:ascii="Arial" w:cs="Arial" w:eastAsia="Arial" w:hAnsi="Arial"/>
          <w:sz w:val="15"/>
          <w:szCs w:val="15"/>
          <w:color w:val="auto"/>
        </w:rPr>
        <w:t>. The suite of offerings we have built for grocery is also extensible to other</w:t>
      </w:r>
      <w:r>
        <w:rPr>
          <w:rFonts w:ascii="Arial" w:cs="Arial" w:eastAsia="Arial" w:hAnsi="Arial"/>
          <w:sz w:val="15"/>
          <w:szCs w:val="15"/>
          <w:i w:val="1"/>
          <w:iCs w:val="1"/>
          <w:color w:val="auto"/>
        </w:rPr>
        <w:t xml:space="preserve"> </w:t>
      </w:r>
      <w:r>
        <w:rPr>
          <w:rFonts w:ascii="Arial" w:cs="Arial" w:eastAsia="Arial" w:hAnsi="Arial"/>
          <w:sz w:val="15"/>
          <w:szCs w:val="15"/>
          <w:color w:val="auto"/>
        </w:rPr>
        <w:t>categories of retailers, and over time, we anticipate that we will partner with a greater number of non-grocery retailers.</w:t>
      </w:r>
    </w:p>
    <w:p>
      <w:pPr>
        <w:spacing w:after="0" w:line="30" w:lineRule="exact"/>
        <w:rPr>
          <w:rFonts w:ascii="Arial" w:cs="Arial" w:eastAsia="Arial" w:hAnsi="Arial"/>
          <w:sz w:val="15"/>
          <w:szCs w:val="15"/>
          <w:color w:val="auto"/>
        </w:rPr>
      </w:pPr>
    </w:p>
    <w:p>
      <w:pPr>
        <w:ind w:left="2500" w:right="140" w:hanging="479"/>
        <w:spacing w:after="0" w:line="260" w:lineRule="auto"/>
        <w:tabs>
          <w:tab w:leader="none" w:pos="2500"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Pursue International Opportunities</w:t>
      </w:r>
      <w:r>
        <w:rPr>
          <w:rFonts w:ascii="Arial" w:cs="Arial" w:eastAsia="Arial" w:hAnsi="Arial"/>
          <w:sz w:val="17"/>
          <w:szCs w:val="17"/>
          <w:color w:val="auto"/>
        </w:rPr>
        <w:t>. We believe that we have built a set of unique technologies that all grocers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could benefit from, and over the long term, we intend to leverage our technology and existing partnerships to expand our business internationally.</w:t>
      </w:r>
    </w:p>
    <w:p>
      <w:pPr>
        <w:spacing w:after="0" w:line="86" w:lineRule="exact"/>
        <w:rPr>
          <w:rFonts w:ascii="Arial" w:cs="Arial" w:eastAsia="Arial" w:hAnsi="Arial"/>
          <w:sz w:val="17"/>
          <w:szCs w:val="17"/>
          <w:color w:val="auto"/>
        </w:rPr>
      </w:pPr>
    </w:p>
    <w:p>
      <w:pPr>
        <w:ind w:left="1500" w:right="120" w:hanging="479"/>
        <w:spacing w:after="0" w:line="303" w:lineRule="auto"/>
        <w:tabs>
          <w:tab w:leader="none" w:pos="15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Increase Brand Success and Support Emerging Brands</w:t>
      </w:r>
      <w:r>
        <w:rPr>
          <w:rFonts w:ascii="Arial" w:cs="Arial" w:eastAsia="Arial" w:hAnsi="Arial"/>
          <w:sz w:val="16"/>
          <w:szCs w:val="16"/>
          <w:color w:val="auto"/>
        </w:rPr>
        <w:t>. We will continue to build ads offerings to provide brand partners with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connect with customers shopping online. We are focused on the following strategies to achieve this:</w:t>
      </w:r>
    </w:p>
    <w:p>
      <w:pPr>
        <w:spacing w:after="0" w:line="54" w:lineRule="exact"/>
        <w:rPr>
          <w:rFonts w:ascii="Arial" w:cs="Arial" w:eastAsia="Arial" w:hAnsi="Arial"/>
          <w:sz w:val="16"/>
          <w:szCs w:val="16"/>
          <w:color w:val="auto"/>
        </w:rPr>
      </w:pPr>
    </w:p>
    <w:p>
      <w:pPr>
        <w:ind w:left="2500" w:hanging="479"/>
        <w:spacing w:after="0" w:line="277" w:lineRule="auto"/>
        <w:tabs>
          <w:tab w:leader="none" w:pos="250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Increase Advertising and Other Investment Rate</w:t>
      </w:r>
      <w:r>
        <w:rPr>
          <w:rFonts w:ascii="Arial" w:cs="Arial" w:eastAsia="Arial" w:hAnsi="Arial"/>
          <w:sz w:val="16"/>
          <w:szCs w:val="16"/>
          <w:color w:val="auto"/>
        </w:rPr>
        <w:t>. Since launching our ads offering, we have seen strong adoption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brand partners. Increasing advertising and other investment rate will come from existing brands spending more with us, acquisition of new advertisers as we expand ads offerings availability across new categories, and growing sales for emerging brands and non-food categories that have higher advertising budgets.</w:t>
      </w:r>
    </w:p>
    <w:p>
      <w:pPr>
        <w:spacing w:after="0" w:line="75" w:lineRule="exact"/>
        <w:rPr>
          <w:rFonts w:ascii="Arial" w:cs="Arial" w:eastAsia="Arial" w:hAnsi="Arial"/>
          <w:sz w:val="16"/>
          <w:szCs w:val="16"/>
          <w:color w:val="auto"/>
        </w:rPr>
      </w:pPr>
    </w:p>
    <w:p>
      <w:pPr>
        <w:ind w:left="2500" w:right="20" w:hanging="479"/>
        <w:spacing w:after="0" w:line="311" w:lineRule="auto"/>
        <w:tabs>
          <w:tab w:leader="none" w:pos="250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Add More Emerging Brands</w:t>
      </w:r>
      <w:r>
        <w:rPr>
          <w:rFonts w:ascii="Arial" w:cs="Arial" w:eastAsia="Arial" w:hAnsi="Arial"/>
          <w:sz w:val="15"/>
          <w:szCs w:val="15"/>
          <w:color w:val="auto"/>
        </w:rPr>
        <w:t>. Emerging brands have a high desire to invest as they look to grow brand awareness and</w:t>
      </w:r>
      <w:r>
        <w:rPr>
          <w:rFonts w:ascii="Arial" w:cs="Arial" w:eastAsia="Arial" w:hAnsi="Arial"/>
          <w:sz w:val="15"/>
          <w:szCs w:val="15"/>
          <w:i w:val="1"/>
          <w:iCs w:val="1"/>
          <w:color w:val="auto"/>
        </w:rPr>
        <w:t xml:space="preserve"> </w:t>
      </w:r>
      <w:r>
        <w:rPr>
          <w:rFonts w:ascii="Arial" w:cs="Arial" w:eastAsia="Arial" w:hAnsi="Arial"/>
          <w:sz w:val="15"/>
          <w:szCs w:val="15"/>
          <w:color w:val="auto"/>
        </w:rPr>
        <w:t>engage with customers. We are focused on expanding our ads offerings and building solutions to help emerging brands get discovered on the virtual shelf through features such as trending searches, shoppable display units, and brand pages.</w:t>
      </w:r>
    </w:p>
    <w:p>
      <w:pPr>
        <w:spacing w:after="0" w:line="51" w:lineRule="exact"/>
        <w:rPr>
          <w:rFonts w:ascii="Arial" w:cs="Arial" w:eastAsia="Arial" w:hAnsi="Arial"/>
          <w:sz w:val="15"/>
          <w:szCs w:val="15"/>
          <w:color w:val="auto"/>
        </w:rPr>
      </w:pPr>
    </w:p>
    <w:p>
      <w:pPr>
        <w:ind w:left="2500" w:right="40" w:hanging="479"/>
        <w:spacing w:after="0" w:line="254" w:lineRule="auto"/>
        <w:tabs>
          <w:tab w:leader="none" w:pos="2500"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New Ads Offerings</w:t>
      </w:r>
      <w:r>
        <w:rPr>
          <w:rFonts w:ascii="Arial" w:cs="Arial" w:eastAsia="Arial" w:hAnsi="Arial"/>
          <w:sz w:val="17"/>
          <w:szCs w:val="17"/>
          <w:color w:val="auto"/>
        </w:rPr>
        <w:t>. We will continue to build our display ads offerings to include rich media discovery opportunities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brands to reach customers in new and impactful ways, including collections of shoppable products brand pages to serve as destinations for on- and offsite media. We will also continue to invest in optimization and measurement capabilities to align with brands’ objectives across the marketing funnel, building on recently launched capabilities like optimized bidding to maximize sales.</w:t>
      </w:r>
    </w:p>
    <w:p>
      <w:pPr>
        <w:spacing w:after="0" w:line="92" w:lineRule="exact"/>
        <w:rPr>
          <w:rFonts w:ascii="Arial" w:cs="Arial" w:eastAsia="Arial" w:hAnsi="Arial"/>
          <w:sz w:val="17"/>
          <w:szCs w:val="17"/>
          <w:color w:val="auto"/>
        </w:rPr>
      </w:pPr>
    </w:p>
    <w:p>
      <w:pPr>
        <w:ind w:left="2500" w:right="120" w:hanging="479"/>
        <w:spacing w:after="0" w:line="301" w:lineRule="auto"/>
        <w:tabs>
          <w:tab w:leader="none" w:pos="2500"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Expand Our Advertising Technology to More Retailers’ Sites</w:t>
      </w:r>
      <w:r>
        <w:rPr>
          <w:rFonts w:ascii="Arial" w:cs="Arial" w:eastAsia="Arial" w:hAnsi="Arial"/>
          <w:sz w:val="15"/>
          <w:szCs w:val="15"/>
          <w:color w:val="auto"/>
        </w:rPr>
        <w:t>. We are investing to expand Instacart Ads to retailers’</w:t>
      </w:r>
      <w:r>
        <w:rPr>
          <w:rFonts w:ascii="Arial" w:cs="Arial" w:eastAsia="Arial" w:hAnsi="Arial"/>
          <w:sz w:val="15"/>
          <w:szCs w:val="15"/>
          <w:i w:val="1"/>
          <w:iCs w:val="1"/>
          <w:color w:val="auto"/>
        </w:rPr>
        <w:t xml:space="preserve"> </w:t>
      </w:r>
      <w:r>
        <w:rPr>
          <w:rFonts w:ascii="Arial" w:cs="Arial" w:eastAsia="Arial" w:hAnsi="Arial"/>
          <w:sz w:val="15"/>
          <w:szCs w:val="15"/>
          <w:color w:val="auto"/>
        </w:rPr>
        <w:t>owned and operated online storefronts through Instacart Enterprise Platform. In 2021, we launched Carrot Ads, which helps our retail partners capture new monetization opportunities while broadening advertiser reach to millions of new customers via additional relevant placements on retailers’ owned and operated online storefronts.</w:t>
      </w: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00"/>
          </w:cols>
          <w:pgMar w:left="320" w:top="440" w:right="97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352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66535" cy="5352415"/>
                    </a:xfrm>
                    <a:prstGeom prst="rect">
                      <a:avLst/>
                    </a:prstGeom>
                    <a:noFill/>
                  </pic:spPr>
                </pic:pic>
              </a:graphicData>
            </a:graphic>
          </wp:anchor>
        </w:drawing>
      </w:r>
    </w:p>
    <w:p>
      <w:pPr>
        <w:spacing w:after="0" w:line="288"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Risk Factors Summary</w:t>
      </w:r>
    </w:p>
    <w:p>
      <w:pPr>
        <w:spacing w:after="0" w:line="214" w:lineRule="exact"/>
        <w:rPr>
          <w:sz w:val="20"/>
          <w:szCs w:val="20"/>
          <w:color w:val="auto"/>
        </w:rPr>
      </w:pPr>
    </w:p>
    <w:p>
      <w:pPr>
        <w:ind w:left="620" w:right="220" w:firstLine="399"/>
        <w:spacing w:after="0" w:line="260" w:lineRule="auto"/>
        <w:rPr>
          <w:sz w:val="20"/>
          <w:szCs w:val="20"/>
          <w:color w:val="auto"/>
        </w:rPr>
      </w:pPr>
      <w:r>
        <w:rPr>
          <w:rFonts w:ascii="Arial" w:cs="Arial" w:eastAsia="Arial" w:hAnsi="Arial"/>
          <w:sz w:val="17"/>
          <w:szCs w:val="17"/>
          <w:color w:val="auto"/>
        </w:rPr>
        <w:t>Investing in our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87" w:lineRule="exact"/>
        <w:rPr>
          <w:sz w:val="20"/>
          <w:szCs w:val="20"/>
          <w:color w:val="auto"/>
        </w:rPr>
      </w:pPr>
    </w:p>
    <w:p>
      <w:pPr>
        <w:ind w:left="1500" w:right="42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have experienced rapid growth, operational and strategic expansion, and related impacts to margin and profitability in recent periods. Such historical trends, including growth rates, may not continue in the future.</w:t>
      </w:r>
    </w:p>
    <w:p>
      <w:pPr>
        <w:spacing w:after="0" w:line="76" w:lineRule="exact"/>
        <w:rPr>
          <w:rFonts w:ascii="Arial" w:cs="Arial" w:eastAsia="Arial" w:hAnsi="Arial"/>
          <w:sz w:val="17"/>
          <w:szCs w:val="17"/>
          <w:color w:val="auto"/>
        </w:rPr>
      </w:pPr>
    </w:p>
    <w:p>
      <w:pPr>
        <w:ind w:left="1500" w:hanging="479"/>
        <w:spacing w:after="0"/>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have a history of losses, and we may be unable to sustain profitability or generate profitable growth in the future.</w:t>
      </w:r>
    </w:p>
    <w:p>
      <w:pPr>
        <w:spacing w:after="0" w:line="121" w:lineRule="exact"/>
        <w:rPr>
          <w:rFonts w:ascii="Arial" w:cs="Arial" w:eastAsia="Arial" w:hAnsi="Arial"/>
          <w:sz w:val="17"/>
          <w:szCs w:val="17"/>
          <w:color w:val="auto"/>
        </w:rPr>
      </w:pPr>
    </w:p>
    <w:p>
      <w:pPr>
        <w:ind w:left="1500" w:right="340" w:hanging="479"/>
        <w:spacing w:after="0" w:line="260"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spacing w:after="0" w:line="86" w:lineRule="exact"/>
        <w:rPr>
          <w:rFonts w:ascii="Arial" w:cs="Arial" w:eastAsia="Arial" w:hAnsi="Arial"/>
          <w:sz w:val="17"/>
          <w:szCs w:val="17"/>
          <w:color w:val="auto"/>
        </w:rPr>
      </w:pPr>
    </w:p>
    <w:p>
      <w:pPr>
        <w:ind w:left="1500" w:right="8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we fail to cost-effectively acquire new customers or increase the engagement of our existing customers, including through effective marketing strategies, our business would be harmed.</w:t>
      </w:r>
    </w:p>
    <w:p>
      <w:pPr>
        <w:spacing w:after="0" w:line="76" w:lineRule="exact"/>
        <w:rPr>
          <w:rFonts w:ascii="Arial" w:cs="Arial" w:eastAsia="Arial" w:hAnsi="Arial"/>
          <w:sz w:val="17"/>
          <w:szCs w:val="17"/>
          <w:color w:val="auto"/>
        </w:rPr>
      </w:pPr>
    </w:p>
    <w:p>
      <w:pPr>
        <w:ind w:left="1500" w:right="4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success of our business is dependent on our relationships with retailers. The loss of one or more of our retail partners or reduction in their engagement with Instacart could harm our business.</w:t>
      </w:r>
    </w:p>
    <w:p>
      <w:pPr>
        <w:spacing w:after="0" w:line="76" w:lineRule="exact"/>
        <w:rPr>
          <w:rFonts w:ascii="Arial" w:cs="Arial" w:eastAsia="Arial" w:hAnsi="Arial"/>
          <w:sz w:val="17"/>
          <w:szCs w:val="17"/>
          <w:color w:val="auto"/>
        </w:rPr>
      </w:pPr>
    </w:p>
    <w:p>
      <w:pPr>
        <w:ind w:left="1500" w:hanging="479"/>
        <w:spacing w:after="0"/>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we fail to cost-effectively engage shoppers on Instacart, or attract new shoppers, our business could be harmed.</w:t>
      </w:r>
    </w:p>
    <w:p>
      <w:pPr>
        <w:spacing w:after="0" w:line="121" w:lineRule="exact"/>
        <w:rPr>
          <w:rFonts w:ascii="Arial" w:cs="Arial" w:eastAsia="Arial" w:hAnsi="Arial"/>
          <w:sz w:val="17"/>
          <w:szCs w:val="17"/>
          <w:color w:val="auto"/>
        </w:rPr>
      </w:pPr>
    </w:p>
    <w:p>
      <w:pPr>
        <w:ind w:left="1500" w:right="56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are still in the early stages of building our Instacart Ads offerings. If we fail to grow our advertising revenue, our business, financial condition, and results of operations would be negatively impacted.</w:t>
      </w:r>
    </w:p>
    <w:p>
      <w:pPr>
        <w:spacing w:after="0" w:line="76" w:lineRule="exact"/>
        <w:rPr>
          <w:rFonts w:ascii="Arial" w:cs="Arial" w:eastAsia="Arial" w:hAnsi="Arial"/>
          <w:sz w:val="17"/>
          <w:szCs w:val="17"/>
          <w:color w:val="auto"/>
        </w:rPr>
      </w:pPr>
    </w:p>
    <w:p>
      <w:pPr>
        <w:ind w:left="1500" w:right="180" w:hanging="479"/>
        <w:spacing w:after="0" w:line="303" w:lineRule="auto"/>
        <w:tabs>
          <w:tab w:leader="none" w:pos="1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markets in which we participate are highly competitive, with well-capitalized and better-known competitors, some of which are also partners. If we are unable to compete effectively, our business and financial prospects would be adversely impacted.</w:t>
      </w:r>
    </w:p>
    <w:p>
      <w:pPr>
        <w:spacing w:after="0" w:line="54" w:lineRule="exact"/>
        <w:rPr>
          <w:rFonts w:ascii="Arial" w:cs="Arial" w:eastAsia="Arial" w:hAnsi="Arial"/>
          <w:sz w:val="16"/>
          <w:szCs w:val="16"/>
          <w:color w:val="auto"/>
        </w:rPr>
      </w:pPr>
    </w:p>
    <w:p>
      <w:pPr>
        <w:jc w:val="both"/>
        <w:ind w:left="1500" w:right="40" w:hanging="479"/>
        <w:spacing w:after="0" w:line="260"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COVID-19 pandemic had a significant impact on our business, and there is uncertainty regarding its future impact and the impact of any future public health outbreaks on our business, operations, and the markets and communities in which we, consumers, retailers, brands, and shoppers operate.</w:t>
      </w:r>
    </w:p>
    <w:p>
      <w:pPr>
        <w:spacing w:after="0" w:line="86" w:lineRule="exact"/>
        <w:rPr>
          <w:rFonts w:ascii="Arial" w:cs="Arial" w:eastAsia="Arial" w:hAnsi="Arial"/>
          <w:sz w:val="17"/>
          <w:szCs w:val="17"/>
          <w:color w:val="auto"/>
        </w:rPr>
      </w:pPr>
    </w:p>
    <w:p>
      <w:pPr>
        <w:ind w:left="1500" w:right="36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Mergers or other strategic transactions by competitors or retailers could weaken our competitive position and adversely affect our business.</w:t>
      </w:r>
    </w:p>
    <w:p>
      <w:pPr>
        <w:spacing w:after="0" w:line="76" w:lineRule="exact"/>
        <w:rPr>
          <w:rFonts w:ascii="Arial" w:cs="Arial" w:eastAsia="Arial" w:hAnsi="Arial"/>
          <w:sz w:val="17"/>
          <w:szCs w:val="17"/>
          <w:color w:val="auto"/>
        </w:rPr>
      </w:pPr>
    </w:p>
    <w:p>
      <w:pPr>
        <w:ind w:left="1500" w:hanging="479"/>
        <w:spacing w:after="0"/>
        <w:tabs>
          <w:tab w:leader="none" w:pos="15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failure to achieve increased market acceptance of online grocery shopping and our offerings could seriously harm our business.</w:t>
      </w:r>
    </w:p>
    <w:p>
      <w:pPr>
        <w:spacing w:after="0" w:line="144" w:lineRule="exact"/>
        <w:rPr>
          <w:rFonts w:ascii="Arial" w:cs="Arial" w:eastAsia="Arial" w:hAnsi="Arial"/>
          <w:sz w:val="15"/>
          <w:szCs w:val="15"/>
          <w:color w:val="auto"/>
        </w:rPr>
      </w:pPr>
    </w:p>
    <w:p>
      <w:pPr>
        <w:ind w:left="1500" w:right="520" w:hanging="479"/>
        <w:spacing w:after="0" w:line="340" w:lineRule="auto"/>
        <w:tabs>
          <w:tab w:leader="none" w:pos="15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the contractor status of shoppers who use Instacart is successfully challenged, or if additional requirements are placed on our engagement of independent contractors, we may face adverse business, financial, tax, legal, and other consequences.</w:t>
      </w:r>
    </w:p>
    <w:p>
      <w:pPr>
        <w:spacing w:after="0" w:line="30" w:lineRule="exact"/>
        <w:rPr>
          <w:rFonts w:ascii="Arial" w:cs="Arial" w:eastAsia="Arial" w:hAnsi="Arial"/>
          <w:sz w:val="15"/>
          <w:szCs w:val="15"/>
          <w:color w:val="auto"/>
        </w:rPr>
      </w:pPr>
    </w:p>
    <w:p>
      <w:pPr>
        <w:ind w:left="1500" w:right="48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trading price of our common stock may be volatile and could, upon listing on the Nasdaq Global Select Market, or Nasdaq, decline significantly and rapidly.</w:t>
      </w:r>
    </w:p>
    <w:p>
      <w:pPr>
        <w:spacing w:after="0" w:line="76" w:lineRule="exact"/>
        <w:rPr>
          <w:rFonts w:ascii="Arial" w:cs="Arial" w:eastAsia="Arial" w:hAnsi="Arial"/>
          <w:sz w:val="17"/>
          <w:szCs w:val="17"/>
          <w:color w:val="auto"/>
        </w:rPr>
      </w:pPr>
    </w:p>
    <w:p>
      <w:pPr>
        <w:ind w:left="1500" w:hanging="479"/>
        <w:spacing w:after="0" w:line="272"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active, liquid, and orderly market for our common stock may not develop or be sustained. You may be unable to sell your shares of common stock at or above the price at which you purchased them.</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00"/>
          </w:cols>
          <w:pgMar w:left="320" w:top="440" w:right="97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2923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66535" cy="2923540"/>
                    </a:xfrm>
                    <a:prstGeom prst="rect">
                      <a:avLst/>
                    </a:prstGeom>
                    <a:noFill/>
                  </pic:spPr>
                </pic:pic>
              </a:graphicData>
            </a:graphic>
          </wp:anchor>
        </w:drawing>
      </w:r>
    </w:p>
    <w:p>
      <w:pPr>
        <w:spacing w:after="0" w:line="288"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Channels for Disclosure of Information</w:t>
      </w:r>
    </w:p>
    <w:p>
      <w:pPr>
        <w:spacing w:after="0" w:line="214" w:lineRule="exact"/>
        <w:rPr>
          <w:sz w:val="20"/>
          <w:szCs w:val="20"/>
          <w:color w:val="auto"/>
        </w:rPr>
      </w:pPr>
    </w:p>
    <w:p>
      <w:pPr>
        <w:ind w:left="620" w:right="240" w:firstLine="399"/>
        <w:spacing w:after="0" w:line="303" w:lineRule="auto"/>
        <w:rPr>
          <w:sz w:val="20"/>
          <w:szCs w:val="20"/>
          <w:color w:val="auto"/>
        </w:rPr>
      </w:pPr>
      <w:r>
        <w:rPr>
          <w:rFonts w:ascii="Arial" w:cs="Arial" w:eastAsia="Arial" w:hAnsi="Arial"/>
          <w:sz w:val="16"/>
          <w:szCs w:val="16"/>
          <w:color w:val="auto"/>
        </w:rPr>
        <w:t>Following the closing of this offering, we intend to announce material information to the public through filings with the SEC, the investor relations page on our website (www.instacart.com/company), press releases, public conference calls, and public webcasts.</w:t>
      </w:r>
    </w:p>
    <w:p>
      <w:pPr>
        <w:spacing w:after="0" w:line="143" w:lineRule="exact"/>
        <w:rPr>
          <w:sz w:val="20"/>
          <w:szCs w:val="20"/>
          <w:color w:val="auto"/>
        </w:rPr>
      </w:pPr>
    </w:p>
    <w:p>
      <w:pPr>
        <w:ind w:left="620" w:right="60" w:firstLine="399"/>
        <w:spacing w:after="0" w:line="311" w:lineRule="auto"/>
        <w:rPr>
          <w:sz w:val="20"/>
          <w:szCs w:val="20"/>
          <w:color w:val="auto"/>
        </w:rPr>
      </w:pPr>
      <w:r>
        <w:rPr>
          <w:rFonts w:ascii="Arial" w:cs="Arial" w:eastAsia="Arial" w:hAnsi="Arial"/>
          <w:sz w:val="15"/>
          <w:szCs w:val="15"/>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339"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Corporate Information</w:t>
      </w:r>
    </w:p>
    <w:p>
      <w:pPr>
        <w:spacing w:after="0" w:line="214" w:lineRule="exact"/>
        <w:rPr>
          <w:sz w:val="20"/>
          <w:szCs w:val="20"/>
          <w:color w:val="auto"/>
        </w:rPr>
      </w:pPr>
    </w:p>
    <w:p>
      <w:pPr>
        <w:ind w:left="620" w:firstLine="399"/>
        <w:spacing w:after="0" w:line="254" w:lineRule="auto"/>
        <w:rPr>
          <w:sz w:val="20"/>
          <w:szCs w:val="20"/>
          <w:color w:val="auto"/>
        </w:rPr>
      </w:pPr>
      <w:r>
        <w:rPr>
          <w:rFonts w:ascii="Arial" w:cs="Arial" w:eastAsia="Arial" w:hAnsi="Arial"/>
          <w:sz w:val="17"/>
          <w:szCs w:val="17"/>
          <w:color w:val="auto"/>
        </w:rPr>
        <w:t>We were incorporated as Maplebear Inc. in Delaware in 2012, and we do business as Instacart. Our co-founders are Apoorva Mehta, Max Mullen, and Brandon Leonardo. Our principal executive offices are located at 50 Beale Street, Suite 600, San Francisco, California 94105. Our telephone number is (888) 246-7822. Our website address is www.instacart.com/company. Information contained on, or that can be accessed through, our website is not incorporated by reference into this prospectus, and you should not consider information on our website to be part of this prospectus.</w:t>
      </w:r>
    </w:p>
    <w:p>
      <w:pPr>
        <w:spacing w:after="0" w:line="181" w:lineRule="exact"/>
        <w:rPr>
          <w:sz w:val="20"/>
          <w:szCs w:val="20"/>
          <w:color w:val="auto"/>
        </w:rPr>
      </w:pPr>
    </w:p>
    <w:p>
      <w:pPr>
        <w:jc w:val="both"/>
        <w:ind w:left="620" w:right="40" w:firstLine="399"/>
        <w:spacing w:after="0" w:line="260" w:lineRule="auto"/>
        <w:rPr>
          <w:sz w:val="20"/>
          <w:szCs w:val="20"/>
          <w:color w:val="auto"/>
        </w:rPr>
      </w:pPr>
      <w:r>
        <w:rPr>
          <w:rFonts w:ascii="Arial" w:cs="Arial" w:eastAsia="Arial" w:hAnsi="Arial"/>
          <w:sz w:val="17"/>
          <w:szCs w:val="17"/>
          <w:color w:val="auto"/>
        </w:rPr>
        <w:t>Our design logos, “Maplebear,” “Instacart,” and our other registered or common law trademarks, service marks or trade names appearing in this prospectus are the property of Maplebear Inc. or its affiliates. Other trade names, trademarks, and service marks used in this prospectus are the property of their respective owners.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80"/>
          </w:cols>
          <w:pgMar w:left="320" w:top="440" w:right="99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23" w:lineRule="exact"/>
        <w:rPr>
          <w:sz w:val="20"/>
          <w:szCs w:val="20"/>
          <w:color w:val="auto"/>
        </w:rPr>
      </w:pPr>
    </w:p>
    <w:tbl>
      <w:tblPr>
        <w:tblLayout w:type="fixed"/>
        <w:tblInd w:w="470" w:type="dxa"/>
        <w:tblCellMar>
          <w:top w:w="0" w:type="dxa"/>
          <w:left w:w="0" w:type="dxa"/>
          <w:bottom w:w="0" w:type="dxa"/>
          <w:right w:w="0" w:type="dxa"/>
        </w:tblCellMar>
      </w:tblPr>
      <w:tr>
        <w:trPr>
          <w:trHeight w:val="383"/>
        </w:trPr>
        <w:tc>
          <w:tcPr>
            <w:tcW w:w="3900" w:type="dxa"/>
            <w:vAlign w:val="bottom"/>
            <w:tcBorders>
              <w:top w:val="single" w:sz="8" w:color="auto"/>
              <w:left w:val="single" w:sz="8" w:color="auto"/>
            </w:tcBorders>
          </w:tcPr>
          <w:p>
            <w:pPr>
              <w:spacing w:after="0"/>
              <w:rPr>
                <w:sz w:val="24"/>
                <w:szCs w:val="24"/>
                <w:color w:val="auto"/>
              </w:rPr>
            </w:pPr>
          </w:p>
        </w:tc>
        <w:tc>
          <w:tcPr>
            <w:tcW w:w="1780" w:type="dxa"/>
            <w:vAlign w:val="bottom"/>
            <w:tcBorders>
              <w:top w:val="single" w:sz="8" w:color="auto"/>
            </w:tcBorders>
          </w:tcPr>
          <w:p>
            <w:pPr>
              <w:ind w:left="800"/>
              <w:spacing w:after="0"/>
              <w:rPr>
                <w:sz w:val="20"/>
                <w:szCs w:val="20"/>
                <w:color w:val="auto"/>
              </w:rPr>
            </w:pPr>
            <w:r>
              <w:rPr>
                <w:rFonts w:ascii="Arial" w:cs="Arial" w:eastAsia="Arial" w:hAnsi="Arial"/>
                <w:sz w:val="17"/>
                <w:szCs w:val="17"/>
                <w:b w:val="1"/>
                <w:bCs w:val="1"/>
                <w:color w:val="auto"/>
                <w:w w:val="94"/>
              </w:rPr>
              <w:t>The Offering</w:t>
            </w:r>
          </w:p>
        </w:tc>
        <w:tc>
          <w:tcPr>
            <w:tcW w:w="720" w:type="dxa"/>
            <w:vAlign w:val="bottom"/>
            <w:tcBorders>
              <w:top w:val="single" w:sz="8" w:color="auto"/>
            </w:tcBorders>
          </w:tcPr>
          <w:p>
            <w:pPr>
              <w:spacing w:after="0"/>
              <w:rPr>
                <w:sz w:val="24"/>
                <w:szCs w:val="24"/>
                <w:color w:val="auto"/>
              </w:rPr>
            </w:pPr>
          </w:p>
        </w:tc>
        <w:tc>
          <w:tcPr>
            <w:tcW w:w="3940" w:type="dxa"/>
            <w:vAlign w:val="bottom"/>
            <w:tcBorders>
              <w:top w:val="single" w:sz="8" w:color="auto"/>
              <w:right w:val="single" w:sz="8" w:color="auto"/>
            </w:tcBorders>
          </w:tcPr>
          <w:p>
            <w:pPr>
              <w:spacing w:after="0"/>
              <w:rPr>
                <w:sz w:val="24"/>
                <w:szCs w:val="24"/>
                <w:color w:val="auto"/>
              </w:rPr>
            </w:pPr>
          </w:p>
        </w:tc>
      </w:tr>
      <w:tr>
        <w:trPr>
          <w:trHeight w:val="431"/>
        </w:trPr>
        <w:tc>
          <w:tcPr>
            <w:tcW w:w="390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Common stock offered by us</w:t>
            </w:r>
          </w:p>
        </w:tc>
        <w:tc>
          <w:tcPr>
            <w:tcW w:w="1780" w:type="dxa"/>
            <w:vAlign w:val="bottom"/>
          </w:tcPr>
          <w:p>
            <w:pPr>
              <w:ind w:left="600"/>
              <w:spacing w:after="0"/>
              <w:rPr>
                <w:sz w:val="20"/>
                <w:szCs w:val="20"/>
                <w:color w:val="auto"/>
              </w:rPr>
            </w:pPr>
            <w:r>
              <w:rPr>
                <w:rFonts w:ascii="Arial" w:cs="Arial" w:eastAsia="Arial" w:hAnsi="Arial"/>
                <w:sz w:val="17"/>
                <w:szCs w:val="17"/>
                <w:color w:val="auto"/>
              </w:rPr>
              <w:t>shares</w:t>
            </w:r>
          </w:p>
        </w:tc>
        <w:tc>
          <w:tcPr>
            <w:tcW w:w="72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r>
      <w:tr>
        <w:trPr>
          <w:trHeight w:val="443"/>
        </w:trPr>
        <w:tc>
          <w:tcPr>
            <w:tcW w:w="390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w w:val="99"/>
              </w:rPr>
              <w:t>Common stock offered by the selling stockholders</w:t>
            </w:r>
          </w:p>
        </w:tc>
        <w:tc>
          <w:tcPr>
            <w:tcW w:w="1780" w:type="dxa"/>
            <w:vAlign w:val="bottom"/>
          </w:tcPr>
          <w:p>
            <w:pPr>
              <w:ind w:left="600"/>
              <w:spacing w:after="0"/>
              <w:rPr>
                <w:sz w:val="20"/>
                <w:szCs w:val="20"/>
                <w:color w:val="auto"/>
              </w:rPr>
            </w:pPr>
            <w:r>
              <w:rPr>
                <w:rFonts w:ascii="Arial" w:cs="Arial" w:eastAsia="Arial" w:hAnsi="Arial"/>
                <w:sz w:val="17"/>
                <w:szCs w:val="17"/>
                <w:color w:val="auto"/>
              </w:rPr>
              <w:t>shares</w:t>
            </w:r>
          </w:p>
        </w:tc>
        <w:tc>
          <w:tcPr>
            <w:tcW w:w="72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r>
      <w:tr>
        <w:trPr>
          <w:trHeight w:val="431"/>
        </w:trPr>
        <w:tc>
          <w:tcPr>
            <w:tcW w:w="390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w w:val="90"/>
              </w:rPr>
              <w:t>Option to purchase additional shares of common stock</w:t>
            </w:r>
          </w:p>
        </w:tc>
        <w:tc>
          <w:tcPr>
            <w:tcW w:w="1780" w:type="dxa"/>
            <w:vAlign w:val="bottom"/>
          </w:tcPr>
          <w:p>
            <w:pPr>
              <w:ind w:left="600"/>
              <w:spacing w:after="0"/>
              <w:rPr>
                <w:sz w:val="20"/>
                <w:szCs w:val="20"/>
                <w:color w:val="auto"/>
              </w:rPr>
            </w:pPr>
            <w:r>
              <w:rPr>
                <w:rFonts w:ascii="Arial" w:cs="Arial" w:eastAsia="Arial" w:hAnsi="Arial"/>
                <w:sz w:val="17"/>
                <w:szCs w:val="17"/>
                <w:color w:val="auto"/>
              </w:rPr>
              <w:t>shares</w:t>
            </w:r>
          </w:p>
        </w:tc>
        <w:tc>
          <w:tcPr>
            <w:tcW w:w="72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r>
      <w:tr>
        <w:trPr>
          <w:trHeight w:val="214"/>
        </w:trPr>
        <w:tc>
          <w:tcPr>
            <w:tcW w:w="390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offered by us</w:t>
            </w: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r>
      <w:tr>
        <w:trPr>
          <w:trHeight w:val="431"/>
        </w:trPr>
        <w:tc>
          <w:tcPr>
            <w:tcW w:w="390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w w:val="97"/>
              </w:rPr>
              <w:t>Common stock to be outstanding after this offering</w:t>
            </w:r>
          </w:p>
        </w:tc>
        <w:tc>
          <w:tcPr>
            <w:tcW w:w="1780" w:type="dxa"/>
            <w:vAlign w:val="bottom"/>
          </w:tcPr>
          <w:p>
            <w:pPr>
              <w:ind w:left="600"/>
              <w:spacing w:after="0"/>
              <w:rPr>
                <w:sz w:val="20"/>
                <w:szCs w:val="20"/>
                <w:color w:val="auto"/>
              </w:rPr>
            </w:pPr>
            <w:r>
              <w:rPr>
                <w:rFonts w:ascii="Arial" w:cs="Arial" w:eastAsia="Arial" w:hAnsi="Arial"/>
                <w:sz w:val="17"/>
                <w:szCs w:val="17"/>
                <w:color w:val="auto"/>
              </w:rPr>
              <w:t>shares (or</w:t>
            </w:r>
          </w:p>
        </w:tc>
        <w:tc>
          <w:tcPr>
            <w:tcW w:w="466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shares if the underwriters exercise their option to purchase</w:t>
            </w:r>
          </w:p>
        </w:tc>
      </w:tr>
      <w:tr>
        <w:trPr>
          <w:trHeight w:val="214"/>
        </w:trPr>
        <w:tc>
          <w:tcPr>
            <w:tcW w:w="39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additional shares of common stock from us in full)</w:t>
            </w:r>
          </w:p>
        </w:tc>
      </w:tr>
      <w:tr>
        <w:trPr>
          <w:trHeight w:val="419"/>
        </w:trPr>
        <w:tc>
          <w:tcPr>
            <w:tcW w:w="390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Use of proceeds</w:t>
            </w: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5"/>
              </w:rPr>
              <w:t>We estimate that our net proceeds from the sale of our common stock in this offering will</w:t>
            </w:r>
          </w:p>
        </w:tc>
      </w:tr>
      <w:tr>
        <w:trPr>
          <w:trHeight w:val="203"/>
        </w:trPr>
        <w:tc>
          <w:tcPr>
            <w:tcW w:w="3900" w:type="dxa"/>
            <w:vAlign w:val="bottom"/>
            <w:tcBorders>
              <w:left w:val="single" w:sz="8" w:color="auto"/>
            </w:tcBorders>
          </w:tcPr>
          <w:p>
            <w:pPr>
              <w:spacing w:after="0"/>
              <w:rPr>
                <w:sz w:val="17"/>
                <w:szCs w:val="17"/>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be approximately $</w:t>
            </w:r>
          </w:p>
        </w:tc>
        <w:tc>
          <w:tcPr>
            <w:tcW w:w="720" w:type="dxa"/>
            <w:vAlign w:val="bottom"/>
          </w:tcPr>
          <w:p>
            <w:pPr>
              <w:ind w:left="120"/>
              <w:spacing w:after="0"/>
              <w:rPr>
                <w:sz w:val="20"/>
                <w:szCs w:val="20"/>
                <w:color w:val="auto"/>
              </w:rPr>
            </w:pPr>
            <w:r>
              <w:rPr>
                <w:rFonts w:ascii="Arial" w:cs="Arial" w:eastAsia="Arial" w:hAnsi="Arial"/>
                <w:sz w:val="17"/>
                <w:szCs w:val="17"/>
                <w:color w:val="auto"/>
              </w:rPr>
              <w:t>(or $</w:t>
            </w:r>
          </w:p>
        </w:tc>
        <w:tc>
          <w:tcPr>
            <w:tcW w:w="394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if the underwriters exercise their option to</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8"/>
              </w:rPr>
              <w:t>purchase additional shares of common stock from us in full), assuming an initial public</w:t>
            </w:r>
          </w:p>
        </w:tc>
      </w:tr>
      <w:tr>
        <w:trPr>
          <w:trHeight w:val="203"/>
        </w:trPr>
        <w:tc>
          <w:tcPr>
            <w:tcW w:w="3900" w:type="dxa"/>
            <w:vAlign w:val="bottom"/>
            <w:tcBorders>
              <w:left w:val="single" w:sz="8" w:color="auto"/>
            </w:tcBorders>
          </w:tcPr>
          <w:p>
            <w:pPr>
              <w:spacing w:after="0"/>
              <w:rPr>
                <w:sz w:val="17"/>
                <w:szCs w:val="17"/>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offering price of $</w:t>
            </w:r>
          </w:p>
        </w:tc>
        <w:tc>
          <w:tcPr>
            <w:tcW w:w="4660" w:type="dxa"/>
            <w:vAlign w:val="bottom"/>
            <w:tcBorders>
              <w:right w:val="single" w:sz="8" w:color="auto"/>
            </w:tcBorders>
            <w:gridSpan w:val="2"/>
          </w:tcPr>
          <w:p>
            <w:pPr>
              <w:ind w:left="60"/>
              <w:spacing w:after="0"/>
              <w:rPr>
                <w:sz w:val="20"/>
                <w:szCs w:val="20"/>
                <w:color w:val="auto"/>
              </w:rPr>
            </w:pPr>
            <w:r>
              <w:rPr>
                <w:rFonts w:ascii="Arial" w:cs="Arial" w:eastAsia="Arial" w:hAnsi="Arial"/>
                <w:sz w:val="17"/>
                <w:szCs w:val="17"/>
                <w:color w:val="auto"/>
                <w:w w:val="95"/>
              </w:rPr>
              <w:t>per share, the midpoint of the price range set forth on the cover</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page of this prospectus, and after deducting estimated underwriting discounts and</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8"/>
              </w:rPr>
              <w:t>commissions and estimated offering expenses payable by us. We will not receive any</w:t>
            </w:r>
          </w:p>
        </w:tc>
      </w:tr>
      <w:tr>
        <w:trPr>
          <w:trHeight w:val="214"/>
        </w:trPr>
        <w:tc>
          <w:tcPr>
            <w:tcW w:w="39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proceeds from the sale of shares of our common stock by the selling stockholders.</w:t>
            </w:r>
          </w:p>
        </w:tc>
      </w:tr>
      <w:tr>
        <w:trPr>
          <w:trHeight w:val="393"/>
        </w:trPr>
        <w:tc>
          <w:tcPr>
            <w:tcW w:w="3900" w:type="dxa"/>
            <w:vAlign w:val="bottom"/>
            <w:tcBorders>
              <w:left w:val="single" w:sz="8" w:color="auto"/>
            </w:tcBorders>
          </w:tcPr>
          <w:p>
            <w:pPr>
              <w:spacing w:after="0"/>
              <w:rPr>
                <w:sz w:val="24"/>
                <w:szCs w:val="24"/>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7"/>
              </w:rPr>
              <w:t>We intend to use the net proceeds we receive from this offering, together with cash on</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hand, if necessary, to satisfy all of our anticipated tax withholding and remittance</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4"/>
              </w:rPr>
              <w:t>obligations related to the settlement of certain outstanding restricted stock units, or RSUs,</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2"/>
              </w:rPr>
              <w:t>and the cancellation and repurchase of shares of outstanding restricted stock in connection</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9"/>
              </w:rPr>
              <w:t>with this offering. We intend to use any remaining net proceeds for general corporate</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2"/>
              </w:rPr>
              <w:t>purposes, including working capital, operating expenses, and capital expenditures. We may</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also use a portion of any remaining net proceeds for acquisitions of, or strategic</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4"/>
              </w:rPr>
              <w:t>investments in, complementary businesses, products, services, or technologies, although</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we do not currently have any agreements or commitments to enter into any material</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4"/>
              </w:rPr>
              <w:t>acquisitions or investments. Additionally, as part of our broader capital allocation strategy,</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7"/>
              </w:rPr>
              <w:t>we may consider utilizing excess cash for opportunistic share repurchases from time to</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4"/>
              </w:rPr>
              <w:t>time. Any future determination regarding such repurchases, if any, will be at the discretion</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8"/>
              </w:rPr>
              <w:t>of our board of directors and will depend on then-existing conditions, including market</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conditions, our financial position, any contractual restrictions, capital requirements,</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1"/>
              </w:rPr>
              <w:t>business prospects, any resulting taxes, and other factors that we and our board of directors</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2"/>
              </w:rPr>
              <w:t>may deem relevant. We cannot guarantee that any share repurchases would occur, and we</w:t>
            </w:r>
          </w:p>
        </w:tc>
      </w:tr>
      <w:tr>
        <w:trPr>
          <w:trHeight w:val="203"/>
        </w:trPr>
        <w:tc>
          <w:tcPr>
            <w:tcW w:w="390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2"/>
              </w:rPr>
              <w:t>currently do not have any commitments to conduct any share repurchases. See the section</w:t>
            </w:r>
          </w:p>
        </w:tc>
      </w:tr>
      <w:tr>
        <w:trPr>
          <w:trHeight w:val="214"/>
        </w:trPr>
        <w:tc>
          <w:tcPr>
            <w:tcW w:w="39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titled “Use of Proceeds” for additional information.</w:t>
            </w:r>
          </w:p>
        </w:tc>
      </w:tr>
      <w:tr>
        <w:trPr>
          <w:trHeight w:val="419"/>
        </w:trPr>
        <w:tc>
          <w:tcPr>
            <w:tcW w:w="390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Risk factors</w:t>
            </w: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w w:val="95"/>
              </w:rPr>
              <w:t>See the section titled “Risk Factors” and the other information included elsewhere in this</w:t>
            </w:r>
          </w:p>
        </w:tc>
      </w:tr>
      <w:tr>
        <w:trPr>
          <w:trHeight w:val="214"/>
        </w:trPr>
        <w:tc>
          <w:tcPr>
            <w:tcW w:w="39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color w:val="auto"/>
              </w:rPr>
              <w:t>prospectus for a discussion of factors you</w:t>
            </w:r>
          </w:p>
        </w:tc>
      </w:tr>
      <w:tr>
        <w:trPr>
          <w:trHeight w:val="149"/>
        </w:trPr>
        <w:tc>
          <w:tcPr>
            <w:tcW w:w="3900" w:type="dxa"/>
            <w:vAlign w:val="bottom"/>
            <w:tcBorders>
              <w:left w:val="single" w:sz="8" w:color="auto"/>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12"/>
                <w:szCs w:val="12"/>
                <w:color w:val="auto"/>
              </w:rPr>
            </w:pPr>
          </w:p>
        </w:tc>
      </w:tr>
      <w:tr>
        <w:trPr>
          <w:trHeight w:val="338"/>
        </w:trPr>
        <w:tc>
          <w:tcPr>
            <w:tcW w:w="3900" w:type="dxa"/>
            <w:vAlign w:val="bottom"/>
          </w:tcPr>
          <w:p>
            <w:pPr>
              <w:spacing w:after="0"/>
              <w:rPr>
                <w:sz w:val="24"/>
                <w:szCs w:val="24"/>
                <w:color w:val="auto"/>
              </w:rPr>
            </w:pPr>
          </w:p>
        </w:tc>
        <w:tc>
          <w:tcPr>
            <w:tcW w:w="1780" w:type="dxa"/>
            <w:vAlign w:val="bottom"/>
          </w:tcPr>
          <w:p>
            <w:pPr>
              <w:ind w:left="1180"/>
              <w:spacing w:after="0"/>
              <w:rPr>
                <w:sz w:val="20"/>
                <w:szCs w:val="20"/>
                <w:color w:val="auto"/>
              </w:rPr>
            </w:pPr>
            <w:r>
              <w:rPr>
                <w:rFonts w:ascii="Arial" w:cs="Arial" w:eastAsia="Arial" w:hAnsi="Arial"/>
                <w:sz w:val="17"/>
                <w:szCs w:val="17"/>
                <w:color w:val="auto"/>
              </w:rPr>
              <w:t>19</w:t>
            </w:r>
          </w:p>
        </w:tc>
        <w:tc>
          <w:tcPr>
            <w:tcW w:w="72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641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6535" cy="5641975"/>
                    </a:xfrm>
                    <a:prstGeom prst="rect">
                      <a:avLst/>
                    </a:prstGeom>
                    <a:noFill/>
                  </pic:spPr>
                </pic:pic>
              </a:graphicData>
            </a:graphic>
          </wp:anchor>
        </w:drawing>
      </w:r>
    </w:p>
    <w:p>
      <w:pPr>
        <w:spacing w:after="0" w:line="292"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should carefully consider before deciding to invest in our common stock.</w:t>
      </w:r>
    </w:p>
    <w:p>
      <w:pPr>
        <w:sectPr>
          <w:pgSz w:w="11900" w:h="16838" w:orient="portrait"/>
          <w:cols w:equalWidth="0" w:num="1">
            <w:col w:w="10560"/>
          </w:cols>
          <w:pgMar w:left="320" w:top="440" w:right="1019" w:bottom="1440" w:gutter="0" w:footer="0" w:header="0"/>
        </w:sectPr>
      </w:pPr>
    </w:p>
    <w:p>
      <w:pPr>
        <w:spacing w:after="0" w:line="2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Proposed Nasdaq trading symbol</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“CART”</w:t>
      </w:r>
    </w:p>
    <w:p>
      <w:pPr>
        <w:spacing w:after="0" w:line="200" w:lineRule="exact"/>
        <w:rPr>
          <w:sz w:val="20"/>
          <w:szCs w:val="20"/>
          <w:color w:val="auto"/>
        </w:rPr>
      </w:pPr>
    </w:p>
    <w:p>
      <w:pPr>
        <w:sectPr>
          <w:pgSz w:w="11900" w:h="16838" w:orient="portrait"/>
          <w:cols w:equalWidth="0" w:num="2">
            <w:col w:w="3700" w:space="720"/>
            <w:col w:w="6140"/>
          </w:cols>
          <w:pgMar w:left="320" w:top="440" w:right="1019" w:bottom="1440" w:gutter="0" w:footer="0" w:header="0"/>
          <w:type w:val="continuous"/>
        </w:sectPr>
      </w:pPr>
    </w:p>
    <w:p>
      <w:pPr>
        <w:spacing w:after="0" w:line="22" w:lineRule="exact"/>
        <w:rPr>
          <w:sz w:val="20"/>
          <w:szCs w:val="20"/>
          <w:color w:val="auto"/>
        </w:rPr>
      </w:pPr>
    </w:p>
    <w:p>
      <w:pPr>
        <w:ind w:left="1020"/>
        <w:spacing w:after="0"/>
        <w:tabs>
          <w:tab w:leader="none" w:pos="7880" w:val="left"/>
        </w:tabs>
        <w:rPr>
          <w:sz w:val="20"/>
          <w:szCs w:val="20"/>
          <w:color w:val="auto"/>
        </w:rPr>
      </w:pPr>
      <w:r>
        <w:rPr>
          <w:rFonts w:ascii="Arial" w:cs="Arial" w:eastAsia="Arial" w:hAnsi="Arial"/>
          <w:sz w:val="17"/>
          <w:szCs w:val="17"/>
          <w:color w:val="auto"/>
        </w:rPr>
        <w:t>The number of shares of common stock that will be outstanding after this offering is based on</w:t>
      </w:r>
      <w:r>
        <w:rPr>
          <w:sz w:val="20"/>
          <w:szCs w:val="20"/>
          <w:color w:val="auto"/>
        </w:rPr>
        <w:tab/>
      </w:r>
      <w:r>
        <w:rPr>
          <w:rFonts w:ascii="Arial" w:cs="Arial" w:eastAsia="Arial" w:hAnsi="Arial"/>
          <w:sz w:val="15"/>
          <w:szCs w:val="15"/>
          <w:color w:val="auto"/>
        </w:rPr>
        <w:t>shares of our common stock</w:t>
      </w:r>
    </w:p>
    <w:p>
      <w:pPr>
        <w:sectPr>
          <w:pgSz w:w="11900" w:h="16838" w:orient="portrait"/>
          <w:cols w:equalWidth="0" w:num="1">
            <w:col w:w="10560"/>
          </w:cols>
          <w:pgMar w:left="320" w:top="440" w:right="1019" w:bottom="1440" w:gutter="0" w:footer="0" w:header="0"/>
          <w:type w:val="continuous"/>
        </w:sectPr>
      </w:pPr>
    </w:p>
    <w:p>
      <w:pPr>
        <w:spacing w:after="0" w:line="19" w:lineRule="exact"/>
        <w:rPr>
          <w:sz w:val="20"/>
          <w:szCs w:val="20"/>
          <w:color w:val="auto"/>
        </w:rPr>
      </w:pPr>
    </w:p>
    <w:p>
      <w:pPr>
        <w:ind w:left="620" w:right="680"/>
        <w:spacing w:after="0" w:line="257" w:lineRule="auto"/>
        <w:rPr>
          <w:sz w:val="20"/>
          <w:szCs w:val="20"/>
          <w:color w:val="auto"/>
        </w:rPr>
      </w:pPr>
      <w:r>
        <w:rPr>
          <w:rFonts w:ascii="Arial" w:cs="Arial" w:eastAsia="Arial" w:hAnsi="Arial"/>
          <w:sz w:val="17"/>
          <w:szCs w:val="17"/>
          <w:color w:val="auto"/>
        </w:rPr>
        <w:t>outstanding as of June 30, 2023 (after giving effect to the Exchangeable Share Conversion, the Preferred Stock Conversion, the RSU Net Settlement, and the RSA Cancellation, each as defined below), and excludes:</w:t>
      </w:r>
    </w:p>
    <w:p>
      <w:pPr>
        <w:spacing w:after="0" w:line="89" w:lineRule="exact"/>
        <w:rPr>
          <w:sz w:val="20"/>
          <w:szCs w:val="20"/>
          <w:color w:val="auto"/>
        </w:rPr>
      </w:pPr>
    </w:p>
    <w:p>
      <w:pPr>
        <w:ind w:left="1500" w:right="40" w:hanging="479"/>
        <w:spacing w:after="0" w:line="272" w:lineRule="auto"/>
        <w:tabs>
          <w:tab w:leader="none" w:pos="1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29,910,133 shares of our common stock issuable upon the exercise of options to purchase shares of our common stock outstanding as of June 30, 2023, with a weighted-average exercise price of $7.66 per share;</w:t>
      </w:r>
    </w:p>
    <w:p>
      <w:pPr>
        <w:spacing w:after="0" w:line="76" w:lineRule="exact"/>
        <w:rPr>
          <w:rFonts w:ascii="Arial" w:cs="Arial" w:eastAsia="Arial" w:hAnsi="Arial"/>
          <w:sz w:val="17"/>
          <w:szCs w:val="17"/>
          <w:color w:val="auto"/>
        </w:rPr>
      </w:pPr>
    </w:p>
    <w:p>
      <w:pPr>
        <w:jc w:val="both"/>
        <w:ind w:left="1500" w:hanging="479"/>
        <w:spacing w:after="0" w:line="286" w:lineRule="auto"/>
        <w:tabs>
          <w:tab w:leader="none" w:pos="2217" w:val="left"/>
        </w:tabs>
        <w:numPr>
          <w:ilvl w:val="0"/>
          <w:numId w:val="45"/>
        </w:numPr>
        <w:rPr>
          <w:rFonts w:ascii="Arial" w:cs="Arial" w:eastAsia="Arial" w:hAnsi="Arial"/>
          <w:sz w:val="15"/>
          <w:szCs w:val="15"/>
          <w:color w:val="auto"/>
        </w:rPr>
      </w:pPr>
      <w:r>
        <w:rPr>
          <w:rFonts w:ascii="Arial" w:cs="Arial" w:eastAsia="Arial" w:hAnsi="Arial"/>
          <w:sz w:val="15"/>
          <w:szCs w:val="15"/>
          <w:color w:val="auto"/>
        </w:rPr>
        <w:t>shares of our common stock issuable in connection with the vesting of RSUs subject to service-based, market-based, and/or liquidity event-based vesting conditions outstanding as of June 30, 2023, for which (i) the liquidity event-based vesting condition will be satisfied upon the effectiveness of the registration statement of which this prospectus forms a part but (ii) the service-based and/or market-based vesting conditions were not satisfied as of June 30, 2023 (we expect that vesting of certain of these RSUs through</w:t>
      </w:r>
    </w:p>
    <w:p>
      <w:pPr>
        <w:ind w:left="2060" w:right="20" w:hanging="51"/>
        <w:spacing w:after="0" w:line="257" w:lineRule="auto"/>
        <w:tabs>
          <w:tab w:leader="none" w:pos="2102"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assumed effective date of the registration statement of which this prospectus forms a part will result in the net issuance of shares of common stock in connection with the RSU Net Settlement);</w:t>
      </w:r>
    </w:p>
    <w:p>
      <w:pPr>
        <w:spacing w:after="0" w:line="88" w:lineRule="exact"/>
        <w:rPr>
          <w:rFonts w:ascii="Arial" w:cs="Arial" w:eastAsia="Arial" w:hAnsi="Arial"/>
          <w:sz w:val="17"/>
          <w:szCs w:val="17"/>
          <w:color w:val="auto"/>
        </w:rPr>
      </w:pPr>
    </w:p>
    <w:p>
      <w:pPr>
        <w:jc w:val="both"/>
        <w:ind w:left="1500" w:right="100" w:hanging="479"/>
        <w:spacing w:after="0" w:line="287" w:lineRule="auto"/>
        <w:tabs>
          <w:tab w:leader="none" w:pos="2217" w:val="left"/>
        </w:tabs>
        <w:numPr>
          <w:ilvl w:val="0"/>
          <w:numId w:val="45"/>
        </w:numPr>
        <w:rPr>
          <w:rFonts w:ascii="Arial" w:cs="Arial" w:eastAsia="Arial" w:hAnsi="Arial"/>
          <w:sz w:val="15"/>
          <w:szCs w:val="15"/>
          <w:color w:val="auto"/>
        </w:rPr>
      </w:pPr>
      <w:r>
        <w:rPr>
          <w:rFonts w:ascii="Arial" w:cs="Arial" w:eastAsia="Arial" w:hAnsi="Arial"/>
          <w:sz w:val="15"/>
          <w:szCs w:val="15"/>
          <w:color w:val="auto"/>
        </w:rPr>
        <w:t>shares of our common stock issuable in connection with the vesting of RSUs subject to service-based and liquidity event-based vesting conditions granted after June 30, 2023, for which (i) the liquidity event-based vesting condition will be satisfied upon the effectiveness of the registration statement of which this prospectus forms a part but (ii) the service-based vesting conditions were</w:t>
      </w:r>
    </w:p>
    <w:p>
      <w:pPr>
        <w:sectPr>
          <w:pgSz w:w="11900" w:h="16838" w:orient="portrait"/>
          <w:cols w:equalWidth="0" w:num="1">
            <w:col w:w="10560"/>
          </w:cols>
          <w:pgMar w:left="320" w:top="440" w:right="1019" w:bottom="1440" w:gutter="0" w:footer="0" w:header="0"/>
          <w:type w:val="continuous"/>
        </w:sectPr>
      </w:pPr>
    </w:p>
    <w:p>
      <w:pPr>
        <w:spacing w:after="0" w:line="1" w:lineRule="exact"/>
        <w:rPr>
          <w:sz w:val="20"/>
          <w:szCs w:val="20"/>
          <w:color w:val="auto"/>
        </w:rPr>
      </w:pPr>
    </w:p>
    <w:p>
      <w:pPr>
        <w:ind w:left="1500"/>
        <w:spacing w:after="0" w:line="253" w:lineRule="auto"/>
        <w:rPr>
          <w:sz w:val="20"/>
          <w:szCs w:val="20"/>
          <w:color w:val="auto"/>
        </w:rPr>
      </w:pPr>
      <w:r>
        <w:rPr>
          <w:rFonts w:ascii="Arial" w:cs="Arial" w:eastAsia="Arial" w:hAnsi="Arial"/>
          <w:sz w:val="17"/>
          <w:szCs w:val="17"/>
          <w:color w:val="auto"/>
        </w:rPr>
        <w:t>not satisfied as of June 30, 2023 (we expect that vesting of certain of these RSUs through , the assumed effective date of the registration statement of which this prospectus forms a part will result in the net issuance of shares of common stock in connection with the RSU Net Settlement);</w:t>
      </w:r>
    </w:p>
    <w:p>
      <w:pPr>
        <w:sectPr>
          <w:pgSz w:w="11900" w:h="16838" w:orient="portrait"/>
          <w:cols w:equalWidth="0" w:num="1">
            <w:col w:w="10560"/>
          </w:cols>
          <w:pgMar w:left="320" w:top="440" w:right="1019" w:bottom="1440" w:gutter="0" w:footer="0" w:header="0"/>
          <w:type w:val="continuous"/>
        </w:sectPr>
      </w:pPr>
    </w:p>
    <w:p>
      <w:pPr>
        <w:spacing w:after="0" w:line="92" w:lineRule="exact"/>
        <w:rPr>
          <w:sz w:val="20"/>
          <w:szCs w:val="20"/>
          <w:color w:val="auto"/>
        </w:rPr>
      </w:pPr>
    </w:p>
    <w:p>
      <w:pPr>
        <w:ind w:left="1500" w:right="120" w:hanging="479"/>
        <w:spacing w:after="0" w:line="272" w:lineRule="auto"/>
        <w:tabs>
          <w:tab w:leader="none" w:pos="1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7,431,530 shares of our common stock issuable upon the exercise of warrants outstanding as of June 30, 2023 with an exercise price of $18.52 per share;</w:t>
      </w:r>
    </w:p>
    <w:p>
      <w:pPr>
        <w:spacing w:after="0" w:line="76" w:lineRule="exact"/>
        <w:rPr>
          <w:rFonts w:ascii="Arial" w:cs="Arial" w:eastAsia="Arial" w:hAnsi="Arial"/>
          <w:sz w:val="17"/>
          <w:szCs w:val="17"/>
          <w:color w:val="auto"/>
        </w:rPr>
      </w:pPr>
    </w:p>
    <w:p>
      <w:pPr>
        <w:ind w:left="2220" w:hanging="1199"/>
        <w:spacing w:after="0"/>
        <w:tabs>
          <w:tab w:leader="none" w:pos="22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2023 Equity Incentive Plan, or the 2023 Plan, which</w:t>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will become effective upon the effectiveness of the registration statement of which this prospectus forms a part, including</w:t>
      </w:r>
    </w:p>
    <w:p>
      <w:pPr>
        <w:spacing w:after="0" w:line="19" w:lineRule="exact"/>
        <w:rPr>
          <w:sz w:val="20"/>
          <w:szCs w:val="20"/>
          <w:color w:val="auto"/>
        </w:rPr>
      </w:pPr>
    </w:p>
    <w:p>
      <w:pPr>
        <w:ind w:left="1500" w:right="60"/>
        <w:spacing w:after="0" w:line="295" w:lineRule="auto"/>
        <w:rPr>
          <w:sz w:val="20"/>
          <w:szCs w:val="20"/>
          <w:color w:val="auto"/>
        </w:rPr>
      </w:pPr>
      <w:r>
        <w:rPr>
          <w:rFonts w:ascii="Arial" w:cs="Arial" w:eastAsia="Arial" w:hAnsi="Arial"/>
          <w:sz w:val="15"/>
          <w:szCs w:val="15"/>
          <w:color w:val="auto"/>
        </w:rPr>
        <w:t>new shares plus the number of shares (not to exceed shares) (i) that remain available for grant of future awards under our 2018 Equity Incentive Plan, or the 2018 Plan, at the time the 2023 Plan becomes effective, which shares will cease to be available for issuance under the 2018 Plan at such time, and (ii) any shares underlying outstanding stock awards granted under our 2013 Equity Incentive Plan, or the 2013 Plan, or the 2018 Plan that expire, or are forfeited, cancelled, withheld, or reacquired; and</w:t>
      </w:r>
    </w:p>
    <w:p>
      <w:pPr>
        <w:spacing w:after="0" w:line="65" w:lineRule="exact"/>
        <w:rPr>
          <w:sz w:val="20"/>
          <w:szCs w:val="20"/>
          <w:color w:val="auto"/>
        </w:rPr>
      </w:pPr>
    </w:p>
    <w:p>
      <w:pPr>
        <w:ind w:left="1500" w:right="380" w:hanging="479"/>
        <w:spacing w:after="0" w:line="340" w:lineRule="auto"/>
        <w:tabs>
          <w:tab w:leader="none" w:pos="2217" w:val="left"/>
        </w:tabs>
        <w:numPr>
          <w:ilvl w:val="0"/>
          <w:numId w:val="47"/>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2023 Employee Stock Purchase Plan, or the ESPP, which will become effective upon the effectiveness of the registration statement of which this prospectus forms a part.</w:t>
      </w:r>
    </w:p>
    <w:p>
      <w:pPr>
        <w:spacing w:after="0" w:line="119" w:lineRule="exact"/>
        <w:rPr>
          <w:sz w:val="20"/>
          <w:szCs w:val="20"/>
          <w:color w:val="auto"/>
        </w:rPr>
      </w:pPr>
    </w:p>
    <w:p>
      <w:pPr>
        <w:ind w:left="620" w:right="700" w:firstLine="399"/>
        <w:spacing w:after="0" w:line="272" w:lineRule="auto"/>
        <w:rPr>
          <w:sz w:val="20"/>
          <w:szCs w:val="20"/>
          <w:color w:val="auto"/>
        </w:rPr>
      </w:pPr>
      <w:r>
        <w:rPr>
          <w:rFonts w:ascii="Arial" w:cs="Arial" w:eastAsia="Arial" w:hAnsi="Arial"/>
          <w:sz w:val="17"/>
          <w:szCs w:val="17"/>
          <w:color w:val="auto"/>
        </w:rPr>
        <w:t>Our 2023 Plan and ESPP provide for annual automatic increases in the number of shares reserved thereunder. See the section titled “Executive Compensation—Equity Plans” for additional information.</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addition, except as otherwise indicated, all information in this prospectus assumes:</w:t>
      </w:r>
    </w:p>
    <w:p>
      <w:pPr>
        <w:spacing w:after="0" w:line="121" w:lineRule="exact"/>
        <w:rPr>
          <w:sz w:val="20"/>
          <w:szCs w:val="20"/>
          <w:color w:val="auto"/>
        </w:rPr>
      </w:pPr>
    </w:p>
    <w:p>
      <w:pPr>
        <w:ind w:left="1500" w:right="60" w:hanging="479"/>
        <w:spacing w:after="0" w:line="272" w:lineRule="auto"/>
        <w:tabs>
          <w:tab w:leader="none" w:pos="1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automatic exchange of all outstanding exchangeable shares of our subsidiary, Aspen Merger Corp., or Aspen, into 688,787 shares of our non-voting common stock in connection with the effectiveness of</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560"/>
          </w:cols>
          <w:pgMar w:left="320" w:top="440" w:right="10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4073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66535" cy="4073525"/>
                    </a:xfrm>
                    <a:prstGeom prst="rect">
                      <a:avLst/>
                    </a:prstGeom>
                    <a:noFill/>
                  </pic:spPr>
                </pic:pic>
              </a:graphicData>
            </a:graphic>
          </wp:anchor>
        </w:drawing>
      </w:r>
    </w:p>
    <w:p>
      <w:pPr>
        <w:spacing w:after="0" w:line="29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the registration statement of which this prospectus forms a part, which we refer to as the Exchangeable Share Conversion;</w:t>
      </w:r>
    </w:p>
    <w:p>
      <w:pPr>
        <w:spacing w:after="0" w:line="133" w:lineRule="exact"/>
        <w:rPr>
          <w:sz w:val="20"/>
          <w:szCs w:val="20"/>
          <w:color w:val="auto"/>
        </w:rPr>
      </w:pPr>
    </w:p>
    <w:p>
      <w:pPr>
        <w:ind w:left="1500" w:right="360" w:hanging="479"/>
        <w:spacing w:after="0" w:line="260" w:lineRule="auto"/>
        <w:tabs>
          <w:tab w:leader="none" w:pos="1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conversion of all outstanding shares of our non-voting common stock and shares of our non-voting common stock underlying outstanding equity awards, warrants, and exchangeable shares into an equivalent number of shares of our voting common stock immediately prior to the closing of this offering;</w:t>
      </w:r>
    </w:p>
    <w:p>
      <w:pPr>
        <w:spacing w:after="0" w:line="86" w:lineRule="exact"/>
        <w:rPr>
          <w:rFonts w:ascii="Arial" w:cs="Arial" w:eastAsia="Arial" w:hAnsi="Arial"/>
          <w:sz w:val="17"/>
          <w:szCs w:val="17"/>
          <w:color w:val="auto"/>
        </w:rPr>
      </w:pPr>
    </w:p>
    <w:p>
      <w:pPr>
        <w:ind w:left="1500" w:hanging="479"/>
        <w:spacing w:after="0" w:line="303" w:lineRule="auto"/>
        <w:tabs>
          <w:tab w:leader="none" w:pos="1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our redeemable convertible preferred stock into 167,691,828 shares of our voting common stock immediately prior to the closing of this offering, which we refer to as the Preferred Stock Conversion;</w:t>
      </w:r>
    </w:p>
    <w:p>
      <w:pPr>
        <w:spacing w:after="0" w:line="55"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1800" w:type="dxa"/>
            <w:vAlign w:val="bottom"/>
          </w:tcPr>
          <w:p>
            <w:pPr>
              <w:ind w:left="200"/>
              <w:spacing w:after="0"/>
              <w:rPr>
                <w:sz w:val="20"/>
                <w:szCs w:val="20"/>
                <w:color w:val="auto"/>
              </w:rPr>
            </w:pPr>
            <w:r>
              <w:rPr>
                <w:rFonts w:ascii="Arial" w:cs="Arial" w:eastAsia="Arial" w:hAnsi="Arial"/>
                <w:sz w:val="17"/>
                <w:szCs w:val="17"/>
                <w:color w:val="auto"/>
              </w:rPr>
              <w:t>the net issuance of</w:t>
            </w:r>
          </w:p>
        </w:tc>
        <w:tc>
          <w:tcPr>
            <w:tcW w:w="7500" w:type="dxa"/>
            <w:vAlign w:val="bottom"/>
            <w:gridSpan w:val="5"/>
          </w:tcPr>
          <w:p>
            <w:pPr>
              <w:jc w:val="right"/>
              <w:spacing w:after="0"/>
              <w:rPr>
                <w:sz w:val="20"/>
                <w:szCs w:val="20"/>
                <w:color w:val="auto"/>
              </w:rPr>
            </w:pPr>
            <w:r>
              <w:rPr>
                <w:rFonts w:ascii="Arial" w:cs="Arial" w:eastAsia="Arial" w:hAnsi="Arial"/>
                <w:sz w:val="17"/>
                <w:szCs w:val="17"/>
                <w:color w:val="auto"/>
                <w:w w:val="92"/>
              </w:rPr>
              <w:t>shares of our non-voting common stock in connection with the vesting and settlement of certain outstanding</w:t>
            </w:r>
          </w:p>
        </w:tc>
      </w:tr>
      <w:tr>
        <w:trPr>
          <w:trHeight w:val="203"/>
        </w:trPr>
        <w:tc>
          <w:tcPr>
            <w:tcW w:w="280" w:type="dxa"/>
            <w:vAlign w:val="bottom"/>
          </w:tcPr>
          <w:p>
            <w:pPr>
              <w:spacing w:after="0"/>
              <w:rPr>
                <w:sz w:val="17"/>
                <w:szCs w:val="17"/>
                <w:color w:val="auto"/>
              </w:rPr>
            </w:pPr>
          </w:p>
        </w:tc>
        <w:tc>
          <w:tcPr>
            <w:tcW w:w="9300" w:type="dxa"/>
            <w:vAlign w:val="bottom"/>
            <w:gridSpan w:val="6"/>
          </w:tcPr>
          <w:p>
            <w:pPr>
              <w:ind w:left="200"/>
              <w:spacing w:after="0"/>
              <w:rPr>
                <w:sz w:val="20"/>
                <w:szCs w:val="20"/>
                <w:color w:val="auto"/>
              </w:rPr>
            </w:pPr>
            <w:r>
              <w:rPr>
                <w:rFonts w:ascii="Arial" w:cs="Arial" w:eastAsia="Arial" w:hAnsi="Arial"/>
                <w:sz w:val="17"/>
                <w:szCs w:val="17"/>
                <w:color w:val="auto"/>
                <w:w w:val="93"/>
              </w:rPr>
              <w:t>RSUs subject to service-based, market-based, and/or liquidity event-based vesting conditions for which the service-based vesting</w:t>
            </w:r>
          </w:p>
        </w:tc>
      </w:tr>
      <w:tr>
        <w:trPr>
          <w:trHeight w:val="203"/>
        </w:trPr>
        <w:tc>
          <w:tcPr>
            <w:tcW w:w="280" w:type="dxa"/>
            <w:vAlign w:val="bottom"/>
          </w:tcPr>
          <w:p>
            <w:pPr>
              <w:spacing w:after="0"/>
              <w:rPr>
                <w:sz w:val="17"/>
                <w:szCs w:val="17"/>
                <w:color w:val="auto"/>
              </w:rPr>
            </w:pPr>
          </w:p>
        </w:tc>
        <w:tc>
          <w:tcPr>
            <w:tcW w:w="9300" w:type="dxa"/>
            <w:vAlign w:val="bottom"/>
            <w:gridSpan w:val="6"/>
          </w:tcPr>
          <w:p>
            <w:pPr>
              <w:ind w:left="200"/>
              <w:spacing w:after="0"/>
              <w:rPr>
                <w:sz w:val="20"/>
                <w:szCs w:val="20"/>
                <w:color w:val="auto"/>
              </w:rPr>
            </w:pPr>
            <w:r>
              <w:rPr>
                <w:rFonts w:ascii="Arial" w:cs="Arial" w:eastAsia="Arial" w:hAnsi="Arial"/>
                <w:sz w:val="17"/>
                <w:szCs w:val="17"/>
                <w:color w:val="auto"/>
                <w:w w:val="90"/>
              </w:rPr>
              <w:t>condition and the market-based vesting condition, as applicable, are expected to have been fully or partially satisfied on or before the</w:t>
            </w:r>
          </w:p>
        </w:tc>
      </w:tr>
      <w:tr>
        <w:trPr>
          <w:trHeight w:val="203"/>
        </w:trPr>
        <w:tc>
          <w:tcPr>
            <w:tcW w:w="280" w:type="dxa"/>
            <w:vAlign w:val="bottom"/>
          </w:tcPr>
          <w:p>
            <w:pPr>
              <w:spacing w:after="0"/>
              <w:rPr>
                <w:sz w:val="17"/>
                <w:szCs w:val="17"/>
                <w:color w:val="auto"/>
              </w:rPr>
            </w:pPr>
          </w:p>
        </w:tc>
        <w:tc>
          <w:tcPr>
            <w:tcW w:w="9300" w:type="dxa"/>
            <w:vAlign w:val="bottom"/>
            <w:gridSpan w:val="6"/>
          </w:tcPr>
          <w:p>
            <w:pPr>
              <w:ind w:left="200"/>
              <w:spacing w:after="0"/>
              <w:rPr>
                <w:sz w:val="20"/>
                <w:szCs w:val="20"/>
                <w:color w:val="auto"/>
              </w:rPr>
            </w:pPr>
            <w:r>
              <w:rPr>
                <w:rFonts w:ascii="Arial" w:cs="Arial" w:eastAsia="Arial" w:hAnsi="Arial"/>
                <w:sz w:val="17"/>
                <w:szCs w:val="17"/>
                <w:color w:val="auto"/>
                <w:w w:val="92"/>
              </w:rPr>
              <w:t>effectiveness of the registration statement of which this prospectus forms a part, which will satisfy the liquidity event-based vesting</w:t>
            </w:r>
          </w:p>
        </w:tc>
      </w:tr>
      <w:tr>
        <w:trPr>
          <w:trHeight w:val="203"/>
        </w:trPr>
        <w:tc>
          <w:tcPr>
            <w:tcW w:w="28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7"/>
                <w:szCs w:val="17"/>
                <w:color w:val="auto"/>
                <w:w w:val="91"/>
              </w:rPr>
              <w:t>condition, assuming that effectiveness occurs on</w:t>
            </w:r>
          </w:p>
        </w:tc>
        <w:tc>
          <w:tcPr>
            <w:tcW w:w="400" w:type="dxa"/>
            <w:vAlign w:val="bottom"/>
          </w:tcPr>
          <w:p>
            <w:pPr>
              <w:spacing w:after="0"/>
              <w:rPr>
                <w:sz w:val="17"/>
                <w:szCs w:val="17"/>
                <w:color w:val="auto"/>
              </w:rPr>
            </w:pPr>
          </w:p>
        </w:tc>
        <w:tc>
          <w:tcPr>
            <w:tcW w:w="5320" w:type="dxa"/>
            <w:vAlign w:val="bottom"/>
            <w:gridSpan w:val="3"/>
          </w:tcPr>
          <w:p>
            <w:pPr>
              <w:jc w:val="right"/>
              <w:spacing w:after="0"/>
              <w:rPr>
                <w:sz w:val="20"/>
                <w:szCs w:val="20"/>
                <w:color w:val="auto"/>
              </w:rPr>
            </w:pPr>
            <w:r>
              <w:rPr>
                <w:rFonts w:ascii="Arial" w:cs="Arial" w:eastAsia="Arial" w:hAnsi="Arial"/>
                <w:sz w:val="17"/>
                <w:szCs w:val="17"/>
                <w:color w:val="auto"/>
                <w:w w:val="94"/>
              </w:rPr>
              <w:t>and any remaining vesting continues through such date, after giving effect</w:t>
            </w:r>
          </w:p>
        </w:tc>
      </w:tr>
      <w:tr>
        <w:trPr>
          <w:trHeight w:val="203"/>
        </w:trPr>
        <w:tc>
          <w:tcPr>
            <w:tcW w:w="280" w:type="dxa"/>
            <w:vAlign w:val="bottom"/>
          </w:tcPr>
          <w:p>
            <w:pPr>
              <w:spacing w:after="0"/>
              <w:rPr>
                <w:sz w:val="17"/>
                <w:szCs w:val="17"/>
                <w:color w:val="auto"/>
              </w:rPr>
            </w:pPr>
          </w:p>
        </w:tc>
        <w:tc>
          <w:tcPr>
            <w:tcW w:w="1800" w:type="dxa"/>
            <w:vAlign w:val="bottom"/>
          </w:tcPr>
          <w:p>
            <w:pPr>
              <w:ind w:left="200"/>
              <w:spacing w:after="0"/>
              <w:rPr>
                <w:sz w:val="20"/>
                <w:szCs w:val="20"/>
                <w:color w:val="auto"/>
              </w:rPr>
            </w:pPr>
            <w:r>
              <w:rPr>
                <w:rFonts w:ascii="Arial" w:cs="Arial" w:eastAsia="Arial" w:hAnsi="Arial"/>
                <w:sz w:val="17"/>
                <w:szCs w:val="17"/>
                <w:color w:val="auto"/>
              </w:rPr>
              <w:t>to the withholding of</w:t>
            </w:r>
          </w:p>
        </w:tc>
        <w:tc>
          <w:tcPr>
            <w:tcW w:w="7500" w:type="dxa"/>
            <w:vAlign w:val="bottom"/>
            <w:gridSpan w:val="5"/>
          </w:tcPr>
          <w:p>
            <w:pPr>
              <w:jc w:val="right"/>
              <w:ind w:right="116"/>
              <w:spacing w:after="0"/>
              <w:rPr>
                <w:sz w:val="20"/>
                <w:szCs w:val="20"/>
                <w:color w:val="auto"/>
              </w:rPr>
            </w:pPr>
            <w:r>
              <w:rPr>
                <w:rFonts w:ascii="Arial" w:cs="Arial" w:eastAsia="Arial" w:hAnsi="Arial"/>
                <w:sz w:val="17"/>
                <w:szCs w:val="17"/>
                <w:color w:val="auto"/>
                <w:w w:val="94"/>
              </w:rPr>
              <w:t>shares of common stock underlying such RSUs to satisfy the associated estimated tax withholding and</w:t>
            </w:r>
          </w:p>
        </w:tc>
      </w:tr>
      <w:tr>
        <w:trPr>
          <w:trHeight w:val="203"/>
        </w:trPr>
        <w:tc>
          <w:tcPr>
            <w:tcW w:w="280" w:type="dxa"/>
            <w:vAlign w:val="bottom"/>
          </w:tcPr>
          <w:p>
            <w:pPr>
              <w:spacing w:after="0"/>
              <w:rPr>
                <w:sz w:val="17"/>
                <w:szCs w:val="17"/>
                <w:color w:val="auto"/>
              </w:rPr>
            </w:pPr>
          </w:p>
        </w:tc>
        <w:tc>
          <w:tcPr>
            <w:tcW w:w="5640" w:type="dxa"/>
            <w:vAlign w:val="bottom"/>
            <w:gridSpan w:val="5"/>
          </w:tcPr>
          <w:p>
            <w:pPr>
              <w:ind w:left="200"/>
              <w:spacing w:after="0"/>
              <w:rPr>
                <w:sz w:val="20"/>
                <w:szCs w:val="20"/>
                <w:color w:val="auto"/>
              </w:rPr>
            </w:pPr>
            <w:r>
              <w:rPr>
                <w:rFonts w:ascii="Arial" w:cs="Arial" w:eastAsia="Arial" w:hAnsi="Arial"/>
                <w:sz w:val="17"/>
                <w:szCs w:val="17"/>
                <w:color w:val="auto"/>
                <w:w w:val="94"/>
              </w:rPr>
              <w:t>remittance obligations (based on the assumed initial public offering price of $</w:t>
            </w:r>
          </w:p>
        </w:tc>
        <w:tc>
          <w:tcPr>
            <w:tcW w:w="3660" w:type="dxa"/>
            <w:vAlign w:val="bottom"/>
          </w:tcPr>
          <w:p>
            <w:pPr>
              <w:jc w:val="right"/>
              <w:ind w:right="16"/>
              <w:spacing w:after="0"/>
              <w:rPr>
                <w:sz w:val="20"/>
                <w:szCs w:val="20"/>
                <w:color w:val="auto"/>
              </w:rPr>
            </w:pPr>
            <w:r>
              <w:rPr>
                <w:rFonts w:ascii="Arial" w:cs="Arial" w:eastAsia="Arial" w:hAnsi="Arial"/>
                <w:sz w:val="17"/>
                <w:szCs w:val="17"/>
                <w:color w:val="auto"/>
                <w:w w:val="93"/>
              </w:rPr>
              <w:t>per share, the midpoint of the price range set forth</w:t>
            </w:r>
          </w:p>
        </w:tc>
      </w:tr>
      <w:tr>
        <w:trPr>
          <w:trHeight w:val="214"/>
        </w:trPr>
        <w:tc>
          <w:tcPr>
            <w:tcW w:w="28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Arial" w:cs="Arial" w:eastAsia="Arial" w:hAnsi="Arial"/>
                <w:sz w:val="17"/>
                <w:szCs w:val="17"/>
                <w:color w:val="auto"/>
                <w:w w:val="91"/>
              </w:rPr>
              <w:t>on the cover page of this prospectus, and an assumed</w:t>
            </w:r>
          </w:p>
        </w:tc>
        <w:tc>
          <w:tcPr>
            <w:tcW w:w="5320" w:type="dxa"/>
            <w:vAlign w:val="bottom"/>
            <w:gridSpan w:val="3"/>
          </w:tcPr>
          <w:p>
            <w:pPr>
              <w:jc w:val="right"/>
              <w:ind w:right="296"/>
              <w:spacing w:after="0"/>
              <w:rPr>
                <w:sz w:val="20"/>
                <w:szCs w:val="20"/>
                <w:color w:val="auto"/>
              </w:rPr>
            </w:pPr>
            <w:r>
              <w:rPr>
                <w:rFonts w:ascii="Arial" w:cs="Arial" w:eastAsia="Arial" w:hAnsi="Arial"/>
                <w:sz w:val="17"/>
                <w:szCs w:val="17"/>
                <w:color w:val="auto"/>
                <w:w w:val="93"/>
              </w:rPr>
              <w:t>% tax withholding rate), which we refer to as the RSU Net Settlement;</w:t>
            </w:r>
          </w:p>
        </w:tc>
      </w:tr>
      <w:tr>
        <w:trPr>
          <w:trHeight w:val="305"/>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1800" w:type="dxa"/>
            <w:vAlign w:val="bottom"/>
          </w:tcPr>
          <w:p>
            <w:pPr>
              <w:ind w:left="200"/>
              <w:spacing w:after="0"/>
              <w:rPr>
                <w:sz w:val="20"/>
                <w:szCs w:val="20"/>
                <w:color w:val="auto"/>
              </w:rPr>
            </w:pPr>
            <w:r>
              <w:rPr>
                <w:rFonts w:ascii="Arial" w:cs="Arial" w:eastAsia="Arial" w:hAnsi="Arial"/>
                <w:sz w:val="17"/>
                <w:szCs w:val="17"/>
                <w:color w:val="auto"/>
              </w:rPr>
              <w:t>the cancellation of</w:t>
            </w:r>
          </w:p>
        </w:tc>
        <w:tc>
          <w:tcPr>
            <w:tcW w:w="7500" w:type="dxa"/>
            <w:vAlign w:val="bottom"/>
            <w:gridSpan w:val="5"/>
          </w:tcPr>
          <w:p>
            <w:pPr>
              <w:jc w:val="right"/>
              <w:spacing w:after="0"/>
              <w:rPr>
                <w:sz w:val="20"/>
                <w:szCs w:val="20"/>
                <w:color w:val="auto"/>
              </w:rPr>
            </w:pPr>
            <w:r>
              <w:rPr>
                <w:rFonts w:ascii="Arial" w:cs="Arial" w:eastAsia="Arial" w:hAnsi="Arial"/>
                <w:sz w:val="17"/>
                <w:szCs w:val="17"/>
                <w:color w:val="auto"/>
                <w:w w:val="91"/>
              </w:rPr>
              <w:t>shares of our outstanding restricted stock to satisfy the associated estimated tax withholding and remittance</w:t>
            </w:r>
          </w:p>
        </w:tc>
      </w:tr>
      <w:tr>
        <w:trPr>
          <w:trHeight w:val="203"/>
        </w:trPr>
        <w:tc>
          <w:tcPr>
            <w:tcW w:w="280" w:type="dxa"/>
            <w:vAlign w:val="bottom"/>
          </w:tcPr>
          <w:p>
            <w:pPr>
              <w:spacing w:after="0"/>
              <w:rPr>
                <w:sz w:val="17"/>
                <w:szCs w:val="17"/>
                <w:color w:val="auto"/>
              </w:rPr>
            </w:pPr>
          </w:p>
        </w:tc>
        <w:tc>
          <w:tcPr>
            <w:tcW w:w="4880" w:type="dxa"/>
            <w:vAlign w:val="bottom"/>
            <w:gridSpan w:val="4"/>
          </w:tcPr>
          <w:p>
            <w:pPr>
              <w:ind w:left="200"/>
              <w:spacing w:after="0"/>
              <w:rPr>
                <w:sz w:val="20"/>
                <w:szCs w:val="20"/>
                <w:color w:val="auto"/>
              </w:rPr>
            </w:pPr>
            <w:r>
              <w:rPr>
                <w:rFonts w:ascii="Arial" w:cs="Arial" w:eastAsia="Arial" w:hAnsi="Arial"/>
                <w:sz w:val="17"/>
                <w:szCs w:val="17"/>
                <w:color w:val="auto"/>
                <w:w w:val="94"/>
              </w:rPr>
              <w:t>obligations (based on the assumed initial public offering price of $</w:t>
            </w:r>
          </w:p>
        </w:tc>
        <w:tc>
          <w:tcPr>
            <w:tcW w:w="4420" w:type="dxa"/>
            <w:vAlign w:val="bottom"/>
            <w:gridSpan w:val="2"/>
          </w:tcPr>
          <w:p>
            <w:pPr>
              <w:jc w:val="right"/>
              <w:ind w:right="296"/>
              <w:spacing w:after="0"/>
              <w:rPr>
                <w:sz w:val="20"/>
                <w:szCs w:val="20"/>
                <w:color w:val="auto"/>
              </w:rPr>
            </w:pPr>
            <w:r>
              <w:rPr>
                <w:rFonts w:ascii="Arial" w:cs="Arial" w:eastAsia="Arial" w:hAnsi="Arial"/>
                <w:sz w:val="17"/>
                <w:szCs w:val="17"/>
                <w:color w:val="auto"/>
                <w:w w:val="93"/>
              </w:rPr>
              <w:t>per share, the midpoint of the price range set forth on the</w:t>
            </w:r>
          </w:p>
        </w:tc>
      </w:tr>
      <w:tr>
        <w:trPr>
          <w:trHeight w:val="203"/>
        </w:trPr>
        <w:tc>
          <w:tcPr>
            <w:tcW w:w="280" w:type="dxa"/>
            <w:vAlign w:val="bottom"/>
          </w:tcPr>
          <w:p>
            <w:pPr>
              <w:spacing w:after="0"/>
              <w:rPr>
                <w:sz w:val="17"/>
                <w:szCs w:val="17"/>
                <w:color w:val="auto"/>
              </w:rPr>
            </w:pPr>
          </w:p>
        </w:tc>
        <w:tc>
          <w:tcPr>
            <w:tcW w:w="3580" w:type="dxa"/>
            <w:vAlign w:val="bottom"/>
            <w:gridSpan w:val="2"/>
          </w:tcPr>
          <w:p>
            <w:pPr>
              <w:ind w:left="200"/>
              <w:spacing w:after="0"/>
              <w:rPr>
                <w:sz w:val="20"/>
                <w:szCs w:val="20"/>
                <w:color w:val="auto"/>
              </w:rPr>
            </w:pPr>
            <w:r>
              <w:rPr>
                <w:rFonts w:ascii="Arial" w:cs="Arial" w:eastAsia="Arial" w:hAnsi="Arial"/>
                <w:sz w:val="17"/>
                <w:szCs w:val="17"/>
                <w:color w:val="auto"/>
                <w:w w:val="94"/>
              </w:rPr>
              <w:t>cover page of this prospectus, and an assumed</w:t>
            </w:r>
          </w:p>
        </w:tc>
        <w:tc>
          <w:tcPr>
            <w:tcW w:w="5720" w:type="dxa"/>
            <w:vAlign w:val="bottom"/>
            <w:gridSpan w:val="4"/>
          </w:tcPr>
          <w:p>
            <w:pPr>
              <w:jc w:val="right"/>
              <w:ind w:right="56"/>
              <w:spacing w:after="0"/>
              <w:rPr>
                <w:sz w:val="20"/>
                <w:szCs w:val="20"/>
                <w:color w:val="auto"/>
              </w:rPr>
            </w:pPr>
            <w:r>
              <w:rPr>
                <w:rFonts w:ascii="Arial" w:cs="Arial" w:eastAsia="Arial" w:hAnsi="Arial"/>
                <w:sz w:val="17"/>
                <w:szCs w:val="17"/>
                <w:color w:val="auto"/>
                <w:w w:val="93"/>
              </w:rPr>
              <w:t>% tax withholding rate) due upon the vesting of such restricted stock, which will</w:t>
            </w:r>
          </w:p>
        </w:tc>
      </w:tr>
      <w:tr>
        <w:trPr>
          <w:trHeight w:val="203"/>
        </w:trPr>
        <w:tc>
          <w:tcPr>
            <w:tcW w:w="280" w:type="dxa"/>
            <w:vAlign w:val="bottom"/>
          </w:tcPr>
          <w:p>
            <w:pPr>
              <w:spacing w:after="0"/>
              <w:rPr>
                <w:sz w:val="17"/>
                <w:szCs w:val="17"/>
                <w:color w:val="auto"/>
              </w:rPr>
            </w:pPr>
          </w:p>
        </w:tc>
        <w:tc>
          <w:tcPr>
            <w:tcW w:w="9300" w:type="dxa"/>
            <w:vAlign w:val="bottom"/>
            <w:gridSpan w:val="6"/>
          </w:tcPr>
          <w:p>
            <w:pPr>
              <w:ind w:left="200"/>
              <w:spacing w:after="0"/>
              <w:rPr>
                <w:sz w:val="20"/>
                <w:szCs w:val="20"/>
                <w:color w:val="auto"/>
              </w:rPr>
            </w:pPr>
            <w:r>
              <w:rPr>
                <w:rFonts w:ascii="Arial" w:cs="Arial" w:eastAsia="Arial" w:hAnsi="Arial"/>
                <w:sz w:val="17"/>
                <w:szCs w:val="17"/>
                <w:color w:val="auto"/>
                <w:w w:val="96"/>
              </w:rPr>
              <w:t>occur upon the effectiveness of the registration statement of which this prospectus forms a part, which we refer to as the RSA</w:t>
            </w:r>
          </w:p>
        </w:tc>
      </w:tr>
      <w:tr>
        <w:trPr>
          <w:trHeight w:val="214"/>
        </w:trPr>
        <w:tc>
          <w:tcPr>
            <w:tcW w:w="28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7"/>
                <w:szCs w:val="17"/>
                <w:color w:val="auto"/>
              </w:rPr>
              <w:t>Cancellation;</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tcPr>
          <w:p>
            <w:pPr>
              <w:spacing w:after="0"/>
              <w:rPr>
                <w:sz w:val="18"/>
                <w:szCs w:val="18"/>
                <w:color w:val="auto"/>
              </w:rPr>
            </w:pPr>
          </w:p>
        </w:tc>
      </w:tr>
    </w:tbl>
    <w:p>
      <w:pPr>
        <w:spacing w:after="0" w:line="102" w:lineRule="exact"/>
        <w:rPr>
          <w:sz w:val="20"/>
          <w:szCs w:val="20"/>
          <w:color w:val="auto"/>
        </w:rPr>
      </w:pPr>
    </w:p>
    <w:p>
      <w:pPr>
        <w:ind w:left="1500" w:right="20" w:hanging="479"/>
        <w:spacing w:after="0" w:line="254" w:lineRule="auto"/>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in Delaware and the adoption of our amended and restated bylaws, each of which will occur immediately prior to the closing of this offering and will effect the reclassification of all outstanding shares of our voting common stock and shares of our voting common stock underlying outstanding equity awards, after giving effect to the conversions described above, into an equivalent number of shares of common stock with the same rights and terms as our voting common stock;</w:t>
      </w:r>
    </w:p>
    <w:p>
      <w:pPr>
        <w:spacing w:after="0" w:line="92" w:lineRule="exact"/>
        <w:rPr>
          <w:rFonts w:ascii="Arial" w:cs="Arial" w:eastAsia="Arial" w:hAnsi="Arial"/>
          <w:sz w:val="17"/>
          <w:szCs w:val="17"/>
          <w:color w:val="auto"/>
        </w:rPr>
      </w:pPr>
    </w:p>
    <w:p>
      <w:pPr>
        <w:ind w:left="1500" w:hanging="479"/>
        <w:spacing w:after="0"/>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exercise of the stock options described in this prospectus; and</w:t>
      </w:r>
    </w:p>
    <w:p>
      <w:pPr>
        <w:spacing w:after="0" w:line="121" w:lineRule="exact"/>
        <w:rPr>
          <w:rFonts w:ascii="Arial" w:cs="Arial" w:eastAsia="Arial" w:hAnsi="Arial"/>
          <w:sz w:val="17"/>
          <w:szCs w:val="17"/>
          <w:color w:val="auto"/>
        </w:rPr>
      </w:pPr>
    </w:p>
    <w:p>
      <w:pPr>
        <w:ind w:left="1500" w:hanging="479"/>
        <w:spacing w:after="0"/>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 of common stock from us in this offering.</w:t>
      </w: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00"/>
          </w:cols>
          <w:pgMar w:left="320" w:top="440" w:right="97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649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66535" cy="5649595"/>
                    </a:xfrm>
                    <a:prstGeom prst="rect">
                      <a:avLst/>
                    </a:prstGeom>
                    <a:noFill/>
                  </pic:spPr>
                </pic:pic>
              </a:graphicData>
            </a:graphic>
          </wp:anchor>
        </w:drawing>
      </w:r>
    </w:p>
    <w:p>
      <w:pPr>
        <w:spacing w:after="0" w:line="28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214" w:lineRule="exact"/>
        <w:rPr>
          <w:sz w:val="20"/>
          <w:szCs w:val="20"/>
          <w:color w:val="auto"/>
        </w:rPr>
      </w:pPr>
    </w:p>
    <w:p>
      <w:pPr>
        <w:ind w:left="620" w:right="260" w:firstLine="399"/>
        <w:spacing w:after="0" w:line="287" w:lineRule="auto"/>
        <w:rPr>
          <w:sz w:val="20"/>
          <w:szCs w:val="20"/>
          <w:color w:val="auto"/>
        </w:rPr>
      </w:pPr>
      <w:r>
        <w:rPr>
          <w:rFonts w:ascii="Arial" w:cs="Arial" w:eastAsia="Arial" w:hAnsi="Arial"/>
          <w:sz w:val="15"/>
          <w:szCs w:val="15"/>
          <w:i w:val="1"/>
          <w:iCs w:val="1"/>
          <w:color w:val="auto"/>
        </w:rPr>
        <w:t>The summary consolidated statements of operations data for the years ended December 31, 2020, 2021, and 2022 have been derived from our audited consolidated financial statements included elsewhere in this prospectus. The summary consolidated statements of operations data for the six months ended June 30, 2022 and 2023 and the summary consolidated balance sheet data as of June 30, 2023 have been derived from our unaudited interim consolidated financial statements included elsewhere in this prospectus. You should read the following summary consolidated financial data together with the section titled “Management’s Discussion and Analysis of Financial Condition and Results of Operations” and our consolidated financial statements and the related notes included elsewhere in this prospectus. The summary consolidated financial and other data in this section are not intended to replace our consolidated financial statements and the related notes and are qualified in their entirety by our consolidated financial statements and the related notes included elsewhere in this prospectus. The unaudited interim consolidated financial statements were prepared on a basis consistent with our audited consolidated financial statements included elsewhere in this prospectus, and, in the opinion of management, reflect all adjustments, consisting only of normal recurring adjustments, that are necessary for the fair statement of such data. Our historical results are not necessarily indicative of our results in any future period.</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10"/>
            <w:vMerge w:val="restart"/>
          </w:tcPr>
          <w:p>
            <w:pPr>
              <w:jc w:val="right"/>
              <w:ind w:right="42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1520" w:type="dxa"/>
            <w:vAlign w:val="bottom"/>
            <w:gridSpan w:val="8"/>
          </w:tcPr>
          <w:p>
            <w:pPr>
              <w:jc w:val="center"/>
              <w:ind w:right="28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10"/>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7"/>
          </w:tcPr>
          <w:p>
            <w:pPr>
              <w:jc w:val="center"/>
              <w:ind w:right="38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9"/>
              <w:spacing w:after="0" w:line="132"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2"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center"/>
              <w:ind w:right="16"/>
              <w:spacing w:after="0" w:line="132" w:lineRule="exact"/>
              <w:rPr>
                <w:sz w:val="20"/>
                <w:szCs w:val="20"/>
                <w:color w:val="auto"/>
              </w:rPr>
            </w:pPr>
            <w:r>
              <w:rPr>
                <w:rFonts w:ascii="Arial" w:cs="Arial" w:eastAsia="Arial" w:hAnsi="Arial"/>
                <w:sz w:val="13"/>
                <w:szCs w:val="13"/>
                <w:b w:val="1"/>
                <w:bCs w:val="1"/>
                <w:color w:val="auto"/>
                <w:w w:val="96"/>
              </w:rPr>
              <w:t>2022</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2" w:lineRule="exact"/>
              <w:rPr>
                <w:sz w:val="20"/>
                <w:szCs w:val="20"/>
                <w:color w:val="auto"/>
              </w:rPr>
            </w:pPr>
            <w:r>
              <w:rPr>
                <w:rFonts w:ascii="Arial" w:cs="Arial" w:eastAsia="Arial" w:hAnsi="Arial"/>
                <w:sz w:val="13"/>
                <w:szCs w:val="13"/>
                <w:b w:val="1"/>
                <w:bCs w:val="1"/>
                <w:color w:val="auto"/>
                <w:w w:val="89"/>
              </w:rPr>
              <w:t>2022</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2" w:lineRule="exact"/>
              <w:rPr>
                <w:sz w:val="20"/>
                <w:szCs w:val="20"/>
                <w:color w:val="auto"/>
              </w:rPr>
            </w:pPr>
            <w:r>
              <w:rPr>
                <w:rFonts w:ascii="Arial" w:cs="Arial" w:eastAsia="Arial" w:hAnsi="Arial"/>
                <w:sz w:val="13"/>
                <w:szCs w:val="13"/>
                <w:b w:val="1"/>
                <w:bCs w:val="1"/>
                <w:color w:val="auto"/>
                <w:w w:val="89"/>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16"/>
          </w:tcPr>
          <w:p>
            <w:pPr>
              <w:jc w:val="center"/>
              <w:ind w:left="199"/>
              <w:spacing w:after="0" w:line="112" w:lineRule="exact"/>
              <w:rPr>
                <w:sz w:val="20"/>
                <w:szCs w:val="20"/>
                <w:color w:val="auto"/>
              </w:rPr>
            </w:pPr>
            <w:r>
              <w:rPr>
                <w:rFonts w:ascii="Arial" w:cs="Arial" w:eastAsia="Arial" w:hAnsi="Arial"/>
                <w:sz w:val="12"/>
                <w:szCs w:val="12"/>
                <w:b w:val="1"/>
                <w:bCs w:val="1"/>
                <w:color w:val="auto"/>
              </w:rPr>
              <w:t>(in millions, except share amounts, which are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16"/>
          </w:tcPr>
          <w:p>
            <w:pPr>
              <w:jc w:val="center"/>
              <w:ind w:left="179"/>
              <w:spacing w:after="0"/>
              <w:rPr>
                <w:sz w:val="20"/>
                <w:szCs w:val="20"/>
                <w:color w:val="auto"/>
              </w:rPr>
            </w:pPr>
            <w:r>
              <w:rPr>
                <w:rFonts w:ascii="Arial" w:cs="Arial" w:eastAsia="Arial" w:hAnsi="Arial"/>
                <w:sz w:val="13"/>
                <w:szCs w:val="13"/>
                <w:b w:val="1"/>
                <w:bCs w:val="1"/>
                <w:color w:val="auto"/>
                <w:w w:val="92"/>
              </w:rPr>
              <w:t>reflected in thousands, and per share amounts)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Revenue</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1,477</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1,834</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2,551</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1,126</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Cost of revenue</w:t>
            </w:r>
            <w:r>
              <w:rPr>
                <w:rFonts w:ascii="Arial" w:cs="Arial" w:eastAsia="Arial" w:hAnsi="Arial"/>
                <w:sz w:val="23"/>
                <w:szCs w:val="23"/>
                <w:color w:val="auto"/>
                <w:vertAlign w:val="superscript"/>
              </w:rPr>
              <w:t>(1)</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Gross profit</w:t>
            </w: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tcPr>
          <w:p>
            <w:pPr>
              <w:ind w:left="340"/>
              <w:spacing w:after="0" w:line="202" w:lineRule="exact"/>
              <w:rPr>
                <w:sz w:val="20"/>
                <w:szCs w:val="20"/>
                <w:color w:val="auto"/>
              </w:rPr>
            </w:pPr>
            <w:r>
              <w:rPr>
                <w:rFonts w:ascii="Arial" w:cs="Arial" w:eastAsia="Arial" w:hAnsi="Arial"/>
                <w:sz w:val="16"/>
                <w:szCs w:val="16"/>
                <w:color w:val="auto"/>
              </w:rPr>
              <w:t>Operations and support</w:t>
            </w:r>
            <w:r>
              <w:rPr>
                <w:rFonts w:ascii="Arial" w:cs="Arial" w:eastAsia="Arial" w:hAnsi="Arial"/>
                <w:sz w:val="23"/>
                <w:szCs w:val="23"/>
                <w:color w:val="auto"/>
                <w:vertAlign w:val="superscript"/>
              </w:rPr>
              <w:t>(1)(2)</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3"/>
                <w:szCs w:val="23"/>
                <w:color w:val="auto"/>
                <w:vertAlign w:val="superscript"/>
              </w:rPr>
              <w:t>(1)(2)</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tcPr>
          <w:p>
            <w:pPr>
              <w:ind w:left="340"/>
              <w:spacing w:after="0" w:line="202"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3"/>
                <w:szCs w:val="23"/>
                <w:color w:val="auto"/>
                <w:vertAlign w:val="superscript"/>
              </w:rPr>
              <w:t>(1)(2)</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ind w:left="340"/>
              <w:spacing w:after="0" w:line="202"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3"/>
                <w:szCs w:val="23"/>
                <w:color w:val="auto"/>
                <w:vertAlign w:val="superscript"/>
              </w:rPr>
              <w:t>(1)(2)</w:t>
            </w:r>
          </w:p>
        </w:tc>
        <w:tc>
          <w:tcPr>
            <w:tcW w:w="1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72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1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1,769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Income (loss) before provision for (benefit from) 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income (loss)</w:t>
            </w: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428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Undistributed earnings attributable to preferred stockholders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income (loss) attributable to common stockholders, basic</w:t>
            </w: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Undistributed earnings reallocated to common stockholders</w:t>
            </w:r>
          </w:p>
        </w:tc>
        <w:tc>
          <w:tcPr>
            <w:tcW w:w="1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Net income (loss) attributable to common stockholders, diluted</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4720" w:type="dxa"/>
            <w:vAlign w:val="bottom"/>
            <w:shd w:val="clear" w:color="auto" w:fill="CCEEFF"/>
          </w:tcPr>
          <w:p>
            <w:pPr>
              <w:spacing w:after="0" w:line="193" w:lineRule="exact"/>
              <w:rPr>
                <w:sz w:val="20"/>
                <w:szCs w:val="20"/>
                <w:color w:val="auto"/>
              </w:rPr>
            </w:pPr>
            <w:r>
              <w:rPr>
                <w:rFonts w:ascii="Arial" w:cs="Arial" w:eastAsia="Arial" w:hAnsi="Arial"/>
                <w:sz w:val="15"/>
                <w:szCs w:val="15"/>
                <w:color w:val="auto"/>
              </w:rPr>
              <w:t>Net income (loss) per share attributable to common stockholders:</w:t>
            </w:r>
            <w:r>
              <w:rPr>
                <w:rFonts w:ascii="Arial" w:cs="Arial" w:eastAsia="Arial" w:hAnsi="Arial"/>
                <w:sz w:val="22"/>
                <w:szCs w:val="22"/>
                <w:color w:val="auto"/>
                <w:vertAlign w:val="superscript"/>
              </w:rPr>
              <w:t>(3)</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tcPr>
          <w:p>
            <w:pPr>
              <w:ind w:left="340"/>
              <w:spacing w:after="0"/>
              <w:rPr>
                <w:sz w:val="20"/>
                <w:szCs w:val="20"/>
                <w:color w:val="auto"/>
              </w:rPr>
            </w:pPr>
            <w:r>
              <w:rPr>
                <w:rFonts w:ascii="Arial" w:cs="Arial" w:eastAsia="Arial" w:hAnsi="Arial"/>
                <w:sz w:val="17"/>
                <w:szCs w:val="17"/>
                <w:color w:val="auto"/>
              </w:rPr>
              <w:t>Basic</w:t>
            </w:r>
          </w:p>
        </w:tc>
        <w:tc>
          <w:tcPr>
            <w:tcW w:w="1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(1.21)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(1.12)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1.08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(1.03)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0.30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 w:type="dxa"/>
            <w:vAlign w:val="bottom"/>
            <w:tcBorders>
              <w:bottom w:val="single" w:sz="8" w:color="auto"/>
            </w:tcBorders>
          </w:tcPr>
          <w:p>
            <w:pPr>
              <w:spacing w:after="0"/>
              <w:rPr>
                <w:sz w:val="12"/>
                <w:szCs w:val="12"/>
                <w:color w:val="auto"/>
              </w:rPr>
            </w:pPr>
          </w:p>
        </w:tc>
        <w:tc>
          <w:tcPr>
            <w:tcW w:w="4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640" w:type="dxa"/>
            <w:vAlign w:val="bottom"/>
          </w:tcPr>
          <w:p>
            <w:pPr>
              <w:jc w:val="right"/>
              <w:ind w:right="121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609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66535" cy="5609590"/>
                    </a:xfrm>
                    <a:prstGeom prst="rect">
                      <a:avLst/>
                    </a:prstGeom>
                    <a:noFill/>
                  </pic:spPr>
                </pic:pic>
              </a:graphicData>
            </a:graphic>
          </wp:anchor>
        </w:drawing>
      </w:r>
    </w:p>
    <w:p>
      <w:pPr>
        <w:spacing w:after="0" w:line="274"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60" w:type="dxa"/>
            <w:vAlign w:val="bottom"/>
            <w:gridSpan w:val="6"/>
            <w:vMerge w:val="restart"/>
          </w:tcPr>
          <w:p>
            <w:pPr>
              <w:ind w:left="260"/>
              <w:spacing w:after="0"/>
              <w:rPr>
                <w:sz w:val="20"/>
                <w:szCs w:val="20"/>
                <w:color w:val="auto"/>
              </w:rPr>
            </w:pPr>
            <w:r>
              <w:rPr>
                <w:rFonts w:ascii="Arial" w:cs="Arial" w:eastAsia="Arial" w:hAnsi="Arial"/>
                <w:sz w:val="13"/>
                <w:szCs w:val="13"/>
                <w:b w:val="1"/>
                <w:bCs w:val="1"/>
                <w:color w:val="auto"/>
              </w:rPr>
              <w:t>Year Ended December 31,</w:t>
            </w:r>
          </w:p>
        </w:tc>
        <w:tc>
          <w:tcPr>
            <w:tcW w:w="136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2160" w:type="dxa"/>
            <w:vAlign w:val="bottom"/>
            <w:gridSpan w:val="6"/>
            <w:vMerge w:val="continue"/>
          </w:tcPr>
          <w:p>
            <w:pPr>
              <w:spacing w:after="0"/>
              <w:rPr>
                <w:sz w:val="13"/>
                <w:szCs w:val="13"/>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2"/>
        </w:trPr>
        <w:tc>
          <w:tcPr>
            <w:tcW w:w="64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67"/>
              <w:spacing w:after="0" w:line="132"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top w:val="single" w:sz="8" w:color="auto"/>
              <w:bottom w:val="single" w:sz="8" w:color="auto"/>
            </w:tcBorders>
            <w:gridSpan w:val="2"/>
          </w:tcPr>
          <w:p>
            <w:pPr>
              <w:jc w:val="right"/>
              <w:ind w:right="120"/>
              <w:spacing w:after="0" w:line="132" w:lineRule="exact"/>
              <w:rPr>
                <w:sz w:val="20"/>
                <w:szCs w:val="20"/>
                <w:color w:val="auto"/>
              </w:rPr>
            </w:pPr>
            <w:r>
              <w:rPr>
                <w:rFonts w:ascii="Arial" w:cs="Arial" w:eastAsia="Arial" w:hAnsi="Arial"/>
                <w:sz w:val="13"/>
                <w:szCs w:val="13"/>
                <w:b w:val="1"/>
                <w:bCs w:val="1"/>
                <w:color w:val="auto"/>
              </w:rPr>
              <w:t>2021</w:t>
            </w:r>
          </w:p>
        </w:tc>
        <w:tc>
          <w:tcPr>
            <w:tcW w:w="820" w:type="dxa"/>
            <w:vAlign w:val="bottom"/>
            <w:tcBorders>
              <w:top w:val="single" w:sz="8" w:color="auto"/>
              <w:bottom w:val="single" w:sz="8" w:color="auto"/>
            </w:tcBorders>
            <w:gridSpan w:val="2"/>
          </w:tcPr>
          <w:p>
            <w:pPr>
              <w:jc w:val="right"/>
              <w:ind w:right="200"/>
              <w:spacing w:after="0" w:line="132"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6"/>
              <w:spacing w:after="0" w:line="132" w:lineRule="exact"/>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80"/>
              <w:spacing w:after="0" w:line="132" w:lineRule="exact"/>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460" w:type="dxa"/>
            <w:vAlign w:val="bottom"/>
          </w:tcPr>
          <w:p>
            <w:pPr>
              <w:spacing w:after="0"/>
              <w:rPr>
                <w:sz w:val="9"/>
                <w:szCs w:val="9"/>
                <w:color w:val="auto"/>
              </w:rPr>
            </w:pPr>
          </w:p>
        </w:tc>
        <w:tc>
          <w:tcPr>
            <w:tcW w:w="3460" w:type="dxa"/>
            <w:vAlign w:val="bottom"/>
            <w:gridSpan w:val="10"/>
          </w:tcPr>
          <w:p>
            <w:pPr>
              <w:jc w:val="center"/>
              <w:ind w:right="20"/>
              <w:spacing w:after="0" w:line="112" w:lineRule="exact"/>
              <w:rPr>
                <w:sz w:val="20"/>
                <w:szCs w:val="20"/>
                <w:color w:val="auto"/>
              </w:rPr>
            </w:pPr>
            <w:r>
              <w:rPr>
                <w:rFonts w:ascii="Arial" w:cs="Arial" w:eastAsia="Arial" w:hAnsi="Arial"/>
                <w:sz w:val="12"/>
                <w:szCs w:val="12"/>
                <w:b w:val="1"/>
                <w:bCs w:val="1"/>
                <w:color w:val="auto"/>
                <w:w w:val="99"/>
              </w:rPr>
              <w:t>(in millions, except share amounts, which are reflected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80" w:type="dxa"/>
            <w:vAlign w:val="bottom"/>
            <w:gridSpan w:val="7"/>
          </w:tcPr>
          <w:p>
            <w:pPr>
              <w:jc w:val="center"/>
              <w:ind w:left="24"/>
              <w:spacing w:after="0"/>
              <w:rPr>
                <w:sz w:val="20"/>
                <w:szCs w:val="20"/>
                <w:color w:val="auto"/>
              </w:rPr>
            </w:pPr>
            <w:r>
              <w:rPr>
                <w:rFonts w:ascii="Arial" w:cs="Arial" w:eastAsia="Arial" w:hAnsi="Arial"/>
                <w:sz w:val="13"/>
                <w:szCs w:val="13"/>
                <w:b w:val="1"/>
                <w:bCs w:val="1"/>
                <w:color w:val="auto"/>
                <w:w w:val="92"/>
              </w:rPr>
              <w:t>in thousands, and per share amounts)</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8"/>
              </w:rPr>
              <w:t>Weighted average shares used in computing net income (loss) per share attributable to</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common stockholders:</w:t>
            </w:r>
            <w:r>
              <w:rPr>
                <w:rFonts w:ascii="Arial" w:cs="Arial" w:eastAsia="Arial" w:hAnsi="Arial"/>
                <w:sz w:val="24"/>
                <w:szCs w:val="24"/>
                <w:color w:val="auto"/>
                <w:vertAlign w:val="superscript"/>
              </w:rPr>
              <w:t>(3)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7"/>
                <w:szCs w:val="17"/>
                <w:color w:val="auto"/>
              </w:rPr>
              <w:t>Basic</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57,929</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65,874</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71,853</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71,668</w:t>
            </w:r>
          </w:p>
        </w:tc>
        <w:tc>
          <w:tcPr>
            <w:tcW w:w="12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72,222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Diluted</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57,929</w:t>
            </w:r>
          </w:p>
        </w:tc>
        <w:tc>
          <w:tcPr>
            <w:tcW w:w="6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65,874</w:t>
            </w:r>
          </w:p>
        </w:tc>
        <w:tc>
          <w:tcPr>
            <w:tcW w:w="8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101,480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71,668</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99,334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Pro forma net loss per share attributable to common stockholders, basic and diluted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160"/>
              <w:spacing w:after="0" w:line="216" w:lineRule="exact"/>
              <w:rPr>
                <w:sz w:val="20"/>
                <w:szCs w:val="20"/>
                <w:color w:val="auto"/>
              </w:rPr>
            </w:pPr>
            <w:r>
              <w:rPr>
                <w:rFonts w:ascii="Arial" w:cs="Arial" w:eastAsia="Arial" w:hAnsi="Arial"/>
                <w:sz w:val="16"/>
                <w:szCs w:val="16"/>
                <w:color w:val="auto"/>
              </w:rPr>
              <w:t>(unaudited)</w:t>
            </w:r>
            <w:r>
              <w:rPr>
                <w:rFonts w:ascii="Arial" w:cs="Arial" w:eastAsia="Arial" w:hAnsi="Arial"/>
                <w:sz w:val="24"/>
                <w:szCs w:val="24"/>
                <w:color w:val="auto"/>
                <w:vertAlign w:val="superscript"/>
              </w:rPr>
              <w:t>(4)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0" w:right="4100" w:hanging="168"/>
        <w:spacing w:after="0" w:line="284" w:lineRule="auto"/>
        <w:rPr>
          <w:sz w:val="20"/>
          <w:szCs w:val="20"/>
          <w:color w:val="auto"/>
        </w:rPr>
      </w:pPr>
      <w:r>
        <w:rPr>
          <w:rFonts w:ascii="Arial" w:cs="Arial" w:eastAsia="Arial" w:hAnsi="Arial"/>
          <w:sz w:val="17"/>
          <w:szCs w:val="17"/>
          <w:color w:val="auto"/>
        </w:rPr>
        <w:t>Weighted-average shares used in computing pro forma net loss per share attributable to common stockholders, basic and diluted (unaudited)</w:t>
      </w:r>
      <w:r>
        <w:rPr>
          <w:rFonts w:ascii="Arial" w:cs="Arial" w:eastAsia="Arial" w:hAnsi="Arial"/>
          <w:sz w:val="25"/>
          <w:szCs w:val="25"/>
          <w:color w:val="auto"/>
          <w:vertAlign w:val="superscript"/>
        </w:rPr>
        <w:t>(4)</w:t>
      </w:r>
    </w:p>
    <w:p>
      <w:pPr>
        <w:spacing w:after="0" w:line="56" w:lineRule="exact"/>
        <w:rPr>
          <w:sz w:val="20"/>
          <w:szCs w:val="20"/>
          <w:color w:val="auto"/>
        </w:rPr>
      </w:pPr>
    </w:p>
    <w:p>
      <w:pPr>
        <w:ind w:left="1020" w:hanging="392"/>
        <w:spacing w:after="0"/>
        <w:tabs>
          <w:tab w:leader="none" w:pos="10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Amounts include depreciation and amortization expense as follows:</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90"/>
              </w:rPr>
              <w:t>Six Months Ended</w:t>
            </w:r>
          </w:p>
        </w:tc>
      </w:tr>
      <w:tr>
        <w:trPr>
          <w:trHeight w:val="143"/>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8"/>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5"/>
              <w:spacing w:after="0" w:line="120" w:lineRule="exact"/>
              <w:rPr>
                <w:sz w:val="20"/>
                <w:szCs w:val="20"/>
                <w:color w:val="auto"/>
              </w:rPr>
            </w:pPr>
            <w:r>
              <w:rPr>
                <w:rFonts w:ascii="Arial" w:cs="Arial" w:eastAsia="Arial" w:hAnsi="Arial"/>
                <w:sz w:val="12"/>
                <w:szCs w:val="12"/>
                <w:b w:val="1"/>
                <w:bCs w:val="1"/>
                <w:color w:val="auto"/>
                <w:w w:val="89"/>
              </w:rPr>
              <w:t>2020</w:t>
            </w:r>
          </w:p>
        </w:tc>
        <w:tc>
          <w:tcPr>
            <w:tcW w:w="2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4"/>
              <w:spacing w:after="0" w:line="120" w:lineRule="exact"/>
              <w:rPr>
                <w:sz w:val="20"/>
                <w:szCs w:val="20"/>
                <w:color w:val="auto"/>
              </w:rPr>
            </w:pPr>
            <w:r>
              <w:rPr>
                <w:rFonts w:ascii="Arial" w:cs="Arial" w:eastAsia="Arial" w:hAnsi="Arial"/>
                <w:sz w:val="12"/>
                <w:szCs w:val="12"/>
                <w:b w:val="1"/>
                <w:bCs w:val="1"/>
                <w:color w:val="auto"/>
                <w:w w:val="89"/>
              </w:rPr>
              <w:t>2021</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4"/>
              <w:spacing w:after="0" w:line="120" w:lineRule="exact"/>
              <w:rPr>
                <w:sz w:val="20"/>
                <w:szCs w:val="20"/>
                <w:color w:val="auto"/>
              </w:rPr>
            </w:pPr>
            <w:r>
              <w:rPr>
                <w:rFonts w:ascii="Arial" w:cs="Arial" w:eastAsia="Arial" w:hAnsi="Arial"/>
                <w:sz w:val="12"/>
                <w:szCs w:val="12"/>
                <w:b w:val="1"/>
                <w:bCs w:val="1"/>
                <w:color w:val="auto"/>
                <w:w w:val="89"/>
              </w:rPr>
              <w:t>2022</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5"/>
              <w:spacing w:after="0" w:line="120" w:lineRule="exact"/>
              <w:rPr>
                <w:sz w:val="20"/>
                <w:szCs w:val="20"/>
                <w:color w:val="auto"/>
              </w:rPr>
            </w:pPr>
            <w:r>
              <w:rPr>
                <w:rFonts w:ascii="Arial" w:cs="Arial" w:eastAsia="Arial" w:hAnsi="Arial"/>
                <w:sz w:val="12"/>
                <w:szCs w:val="12"/>
                <w:b w:val="1"/>
                <w:bCs w:val="1"/>
                <w:color w:val="auto"/>
                <w:w w:val="89"/>
              </w:rPr>
              <w:t>2022</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4"/>
              <w:spacing w:after="0" w:line="120" w:lineRule="exact"/>
              <w:rPr>
                <w:sz w:val="20"/>
                <w:szCs w:val="20"/>
                <w:color w:val="auto"/>
              </w:rPr>
            </w:pPr>
            <w:r>
              <w:rPr>
                <w:rFonts w:ascii="Arial" w:cs="Arial" w:eastAsia="Arial" w:hAnsi="Arial"/>
                <w:sz w:val="12"/>
                <w:szCs w:val="12"/>
                <w:b w:val="1"/>
                <w:bCs w:val="1"/>
                <w:color w:val="auto"/>
                <w:w w:val="89"/>
              </w:rPr>
              <w:t>2023</w:t>
            </w:r>
          </w:p>
        </w:tc>
        <w:tc>
          <w:tcPr>
            <w:tcW w:w="40" w:type="dxa"/>
            <w:vAlign w:val="bottom"/>
          </w:tcPr>
          <w:p>
            <w:pPr>
              <w:spacing w:after="0"/>
              <w:rPr>
                <w:sz w:val="10"/>
                <w:szCs w:val="10"/>
                <w:color w:val="auto"/>
              </w:rPr>
            </w:pPr>
          </w:p>
        </w:tc>
      </w:tr>
      <w:tr>
        <w:trPr>
          <w:trHeight w:val="119"/>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4"/>
          </w:tcPr>
          <w:p>
            <w:pPr>
              <w:ind w:left="180"/>
              <w:spacing w:after="0" w:line="120" w:lineRule="exact"/>
              <w:rPr>
                <w:sz w:val="20"/>
                <w:szCs w:val="20"/>
                <w:color w:val="auto"/>
              </w:rPr>
            </w:pPr>
            <w:r>
              <w:rPr>
                <w:rFonts w:ascii="Arial" w:cs="Arial" w:eastAsia="Arial" w:hAnsi="Arial"/>
                <w:sz w:val="12"/>
                <w:szCs w:val="12"/>
                <w:b w:val="1"/>
                <w:bCs w:val="1"/>
                <w:color w:val="auto"/>
                <w:w w:val="97"/>
              </w:rPr>
              <w:t>(in millions)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9"/>
        </w:trPr>
        <w:tc>
          <w:tcPr>
            <w:tcW w:w="66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Cost of revenue</w:t>
            </w:r>
          </w:p>
        </w:tc>
        <w:tc>
          <w:tcPr>
            <w:tcW w:w="100" w:type="dxa"/>
            <w:vAlign w:val="bottom"/>
            <w:gridSpan w:val="2"/>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w:t>
            </w:r>
          </w:p>
        </w:tc>
        <w:tc>
          <w:tcPr>
            <w:tcW w:w="3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w:t>
            </w:r>
          </w:p>
        </w:tc>
        <w:tc>
          <w:tcPr>
            <w:tcW w:w="3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w:t>
            </w:r>
          </w:p>
        </w:tc>
        <w:tc>
          <w:tcPr>
            <w:tcW w:w="3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2"/>
                <w:szCs w:val="12"/>
                <w:color w:val="auto"/>
              </w:rPr>
            </w:pPr>
          </w:p>
        </w:tc>
      </w:tr>
      <w:tr>
        <w:trPr>
          <w:trHeight w:val="139"/>
        </w:trPr>
        <w:tc>
          <w:tcPr>
            <w:tcW w:w="6620" w:type="dxa"/>
            <w:vAlign w:val="bottom"/>
          </w:tcPr>
          <w:p>
            <w:pPr>
              <w:spacing w:after="0" w:line="139" w:lineRule="exact"/>
              <w:rPr>
                <w:sz w:val="20"/>
                <w:szCs w:val="20"/>
                <w:color w:val="auto"/>
              </w:rPr>
            </w:pPr>
            <w:r>
              <w:rPr>
                <w:rFonts w:ascii="Arial" w:cs="Arial" w:eastAsia="Arial" w:hAnsi="Arial"/>
                <w:sz w:val="13"/>
                <w:szCs w:val="13"/>
                <w:color w:val="auto"/>
              </w:rPr>
              <w:t>Operations and support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r>
      <w:tr>
        <w:trPr>
          <w:trHeight w:val="139"/>
        </w:trPr>
        <w:tc>
          <w:tcPr>
            <w:tcW w:w="66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Research and development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r>
      <w:tr>
        <w:trPr>
          <w:trHeight w:val="139"/>
        </w:trPr>
        <w:tc>
          <w:tcPr>
            <w:tcW w:w="6620" w:type="dxa"/>
            <w:vAlign w:val="bottom"/>
          </w:tcPr>
          <w:p>
            <w:pPr>
              <w:spacing w:after="0" w:line="139" w:lineRule="exact"/>
              <w:rPr>
                <w:sz w:val="20"/>
                <w:szCs w:val="20"/>
                <w:color w:val="auto"/>
              </w:rPr>
            </w:pPr>
            <w:r>
              <w:rPr>
                <w:rFonts w:ascii="Arial" w:cs="Arial" w:eastAsia="Arial" w:hAnsi="Arial"/>
                <w:sz w:val="13"/>
                <w:szCs w:val="13"/>
                <w:color w:val="auto"/>
              </w:rPr>
              <w:t>Sales and marketing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r>
      <w:tr>
        <w:trPr>
          <w:trHeight w:val="139"/>
        </w:trPr>
        <w:tc>
          <w:tcPr>
            <w:tcW w:w="66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r>
      <w:tr>
        <w:trPr>
          <w:trHeight w:val="145"/>
        </w:trPr>
        <w:tc>
          <w:tcPr>
            <w:tcW w:w="6620" w:type="dxa"/>
            <w:vAlign w:val="bottom"/>
          </w:tcPr>
          <w:p>
            <w:pPr>
              <w:ind w:left="260"/>
              <w:spacing w:after="0" w:line="145" w:lineRule="exact"/>
              <w:rPr>
                <w:sz w:val="20"/>
                <w:szCs w:val="20"/>
                <w:color w:val="auto"/>
              </w:rPr>
            </w:pPr>
            <w:r>
              <w:rPr>
                <w:rFonts w:ascii="Arial" w:cs="Arial" w:eastAsia="Arial" w:hAnsi="Arial"/>
                <w:sz w:val="13"/>
                <w:szCs w:val="13"/>
                <w:color w:val="auto"/>
              </w:rPr>
              <w:t>Total depreciation and amortization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10</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15</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1020" w:hanging="392"/>
        <w:spacing w:after="0"/>
        <w:tabs>
          <w:tab w:leader="none" w:pos="10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Amounts include stock-based compensation expense as follows:</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90"/>
              </w:rPr>
              <w:t>Six Months Ended</w:t>
            </w:r>
          </w:p>
        </w:tc>
      </w:tr>
      <w:tr>
        <w:trPr>
          <w:trHeight w:val="143"/>
        </w:trPr>
        <w:tc>
          <w:tcPr>
            <w:tcW w:w="4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8"/>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4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5"/>
              <w:spacing w:after="0" w:line="120" w:lineRule="exact"/>
              <w:rPr>
                <w:sz w:val="20"/>
                <w:szCs w:val="20"/>
                <w:color w:val="auto"/>
              </w:rPr>
            </w:pPr>
            <w:r>
              <w:rPr>
                <w:rFonts w:ascii="Arial" w:cs="Arial" w:eastAsia="Arial" w:hAnsi="Arial"/>
                <w:sz w:val="12"/>
                <w:szCs w:val="12"/>
                <w:b w:val="1"/>
                <w:bCs w:val="1"/>
                <w:color w:val="auto"/>
                <w:w w:val="89"/>
              </w:rPr>
              <w:t>2020</w:t>
            </w:r>
          </w:p>
        </w:tc>
        <w:tc>
          <w:tcPr>
            <w:tcW w:w="2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4"/>
              <w:spacing w:after="0" w:line="120" w:lineRule="exact"/>
              <w:rPr>
                <w:sz w:val="20"/>
                <w:szCs w:val="20"/>
                <w:color w:val="auto"/>
              </w:rPr>
            </w:pPr>
            <w:r>
              <w:rPr>
                <w:rFonts w:ascii="Arial" w:cs="Arial" w:eastAsia="Arial" w:hAnsi="Arial"/>
                <w:sz w:val="12"/>
                <w:szCs w:val="12"/>
                <w:b w:val="1"/>
                <w:bCs w:val="1"/>
                <w:color w:val="auto"/>
                <w:w w:val="89"/>
              </w:rPr>
              <w:t>2021</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4"/>
              <w:spacing w:after="0" w:line="120" w:lineRule="exact"/>
              <w:rPr>
                <w:sz w:val="20"/>
                <w:szCs w:val="20"/>
                <w:color w:val="auto"/>
              </w:rPr>
            </w:pPr>
            <w:r>
              <w:rPr>
                <w:rFonts w:ascii="Arial" w:cs="Arial" w:eastAsia="Arial" w:hAnsi="Arial"/>
                <w:sz w:val="12"/>
                <w:szCs w:val="12"/>
                <w:b w:val="1"/>
                <w:bCs w:val="1"/>
                <w:color w:val="auto"/>
                <w:w w:val="89"/>
              </w:rPr>
              <w:t>2022</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6"/>
              <w:spacing w:after="0" w:line="120" w:lineRule="exact"/>
              <w:rPr>
                <w:sz w:val="20"/>
                <w:szCs w:val="20"/>
                <w:color w:val="auto"/>
              </w:rPr>
            </w:pPr>
            <w:r>
              <w:rPr>
                <w:rFonts w:ascii="Arial" w:cs="Arial" w:eastAsia="Arial" w:hAnsi="Arial"/>
                <w:sz w:val="12"/>
                <w:szCs w:val="12"/>
                <w:b w:val="1"/>
                <w:bCs w:val="1"/>
                <w:color w:val="auto"/>
                <w:w w:val="89"/>
              </w:rPr>
              <w:t>2022</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4"/>
              <w:spacing w:after="0" w:line="120" w:lineRule="exact"/>
              <w:rPr>
                <w:sz w:val="20"/>
                <w:szCs w:val="20"/>
                <w:color w:val="auto"/>
              </w:rPr>
            </w:pPr>
            <w:r>
              <w:rPr>
                <w:rFonts w:ascii="Arial" w:cs="Arial" w:eastAsia="Arial" w:hAnsi="Arial"/>
                <w:sz w:val="12"/>
                <w:szCs w:val="12"/>
                <w:b w:val="1"/>
                <w:bCs w:val="1"/>
                <w:color w:val="auto"/>
                <w:w w:val="89"/>
              </w:rPr>
              <w:t>2023</w:t>
            </w:r>
          </w:p>
        </w:tc>
        <w:tc>
          <w:tcPr>
            <w:tcW w:w="40" w:type="dxa"/>
            <w:vAlign w:val="bottom"/>
          </w:tcPr>
          <w:p>
            <w:pPr>
              <w:spacing w:after="0"/>
              <w:rPr>
                <w:sz w:val="10"/>
                <w:szCs w:val="10"/>
                <w:color w:val="auto"/>
              </w:rPr>
            </w:pPr>
          </w:p>
        </w:tc>
      </w:tr>
      <w:tr>
        <w:trPr>
          <w:trHeight w:val="119"/>
        </w:trPr>
        <w:tc>
          <w:tcPr>
            <w:tcW w:w="4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4"/>
          </w:tcPr>
          <w:p>
            <w:pPr>
              <w:ind w:left="180"/>
              <w:spacing w:after="0" w:line="120" w:lineRule="exact"/>
              <w:rPr>
                <w:sz w:val="20"/>
                <w:szCs w:val="20"/>
                <w:color w:val="auto"/>
              </w:rPr>
            </w:pPr>
            <w:r>
              <w:rPr>
                <w:rFonts w:ascii="Arial" w:cs="Arial" w:eastAsia="Arial" w:hAnsi="Arial"/>
                <w:sz w:val="12"/>
                <w:szCs w:val="12"/>
                <w:b w:val="1"/>
                <w:bCs w:val="1"/>
                <w:color w:val="auto"/>
                <w:w w:val="97"/>
              </w:rPr>
              <w:t>(in millions)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9"/>
        </w:trPr>
        <w:tc>
          <w:tcPr>
            <w:tcW w:w="45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Operations and support</w:t>
            </w:r>
          </w:p>
        </w:tc>
        <w:tc>
          <w:tcPr>
            <w:tcW w:w="218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32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r>
      <w:tr>
        <w:trPr>
          <w:trHeight w:val="139"/>
        </w:trPr>
        <w:tc>
          <w:tcPr>
            <w:tcW w:w="4540" w:type="dxa"/>
            <w:vAlign w:val="bottom"/>
          </w:tcPr>
          <w:p>
            <w:pPr>
              <w:spacing w:after="0" w:line="139" w:lineRule="exact"/>
              <w:rPr>
                <w:sz w:val="20"/>
                <w:szCs w:val="20"/>
                <w:color w:val="auto"/>
              </w:rPr>
            </w:pPr>
            <w:r>
              <w:rPr>
                <w:rFonts w:ascii="Arial" w:cs="Arial" w:eastAsia="Arial" w:hAnsi="Arial"/>
                <w:sz w:val="13"/>
                <w:szCs w:val="13"/>
                <w:color w:val="auto"/>
              </w:rPr>
              <w:t>Research and development</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r>
      <w:tr>
        <w:trPr>
          <w:trHeight w:val="139"/>
        </w:trPr>
        <w:tc>
          <w:tcPr>
            <w:tcW w:w="45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Sales and marketing</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r>
      <w:tr>
        <w:trPr>
          <w:trHeight w:val="145"/>
        </w:trPr>
        <w:tc>
          <w:tcPr>
            <w:tcW w:w="4540" w:type="dxa"/>
            <w:vAlign w:val="bottom"/>
          </w:tcPr>
          <w:p>
            <w:pPr>
              <w:spacing w:after="0" w:line="139" w:lineRule="exact"/>
              <w:rPr>
                <w:sz w:val="20"/>
                <w:szCs w:val="20"/>
                <w:color w:val="auto"/>
              </w:rPr>
            </w:pPr>
            <w:r>
              <w:rPr>
                <w:rFonts w:ascii="Arial" w:cs="Arial" w:eastAsia="Arial" w:hAnsi="Arial"/>
                <w:sz w:val="13"/>
                <w:szCs w:val="13"/>
                <w:color w:val="auto"/>
              </w:rPr>
              <w:t>General and administrative</w:t>
            </w:r>
          </w:p>
        </w:tc>
        <w:tc>
          <w:tcPr>
            <w:tcW w:w="2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2"/>
                <w:szCs w:val="12"/>
                <w:color w:val="auto"/>
              </w:rPr>
            </w:pPr>
          </w:p>
        </w:tc>
      </w:tr>
      <w:tr>
        <w:trPr>
          <w:trHeight w:val="139"/>
        </w:trPr>
        <w:tc>
          <w:tcPr>
            <w:tcW w:w="454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Total stock-based compensation expense</w:t>
            </w:r>
          </w:p>
        </w:tc>
        <w:tc>
          <w:tcPr>
            <w:tcW w:w="218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64</w:t>
            </w:r>
          </w:p>
        </w:tc>
        <w:tc>
          <w:tcPr>
            <w:tcW w:w="32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22</w:t>
            </w: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13</w:t>
            </w: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2"/>
                <w:szCs w:val="12"/>
                <w:color w:val="auto"/>
              </w:rPr>
            </w:pPr>
          </w:p>
        </w:tc>
      </w:tr>
      <w:tr>
        <w:trPr>
          <w:trHeight w:val="20"/>
        </w:trPr>
        <w:tc>
          <w:tcPr>
            <w:tcW w:w="4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1020" w:right="240" w:hanging="392"/>
        <w:spacing w:after="0" w:line="233" w:lineRule="auto"/>
        <w:tabs>
          <w:tab w:leader="none" w:pos="10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See Notes 2 and 14 to our consolidated financial statements included elsewhere in this prospectus for an explanation of the method used to calculate our basic and diluted net income (loss) per share and the weighted-average number of shares used in the computation of the per share amounts.</w:t>
      </w:r>
    </w:p>
    <w:p>
      <w:pPr>
        <w:ind w:left="1020" w:right="80" w:hanging="392"/>
        <w:spacing w:after="0" w:line="242" w:lineRule="auto"/>
        <w:tabs>
          <w:tab w:leader="none" w:pos="10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unaudited pro forma net loss per share and the weighted-average number of shares used in the computation of the per share amounts for the year ended December 31, 2022 and the six months ended June 30, 2023 have been computed to give effect to (i) the automatic exchange of all exchangeable shares of our subsidiary, Aspen, outstanding as of December 31, 2022 and June 30, 2023 into 688,787 shares of our non-voting common stock in connection with the effectiveness of the registration statement of which this prospectus forms a part, as if such exchange had occurred on December 31, 2022 and June 30, 2023, respectively; (ii) the conversion of all outstanding shares of our non-voting</w:t>
      </w:r>
    </w:p>
    <w:p>
      <w:pPr>
        <w:spacing w:after="0" w:line="1" w:lineRule="exact"/>
        <w:rPr>
          <w:sz w:val="20"/>
          <w:szCs w:val="20"/>
          <w:color w:val="auto"/>
        </w:rPr>
      </w:pPr>
    </w:p>
    <w:p>
      <w:pPr>
        <w:ind w:left="1020" w:right="80"/>
        <w:spacing w:after="0" w:line="242" w:lineRule="auto"/>
        <w:rPr>
          <w:sz w:val="20"/>
          <w:szCs w:val="20"/>
          <w:color w:val="auto"/>
        </w:rPr>
      </w:pPr>
      <w:r>
        <w:rPr>
          <w:rFonts w:ascii="Arial" w:cs="Arial" w:eastAsia="Arial" w:hAnsi="Arial"/>
          <w:sz w:val="12"/>
          <w:szCs w:val="12"/>
          <w:color w:val="auto"/>
        </w:rPr>
        <w:t>common stock and shares of our non-voting common stock underlying outstanding equity awards, warrants, and exchangeable shares into an equivalent number of shares of our voting common stock immediately prior to the closing of this offering; (iii) the automatic conversion of 167,302,220 shares of our redeemable convertible preferred stock outstanding as of December 31, 2022 and June 30, 2023 into 167,691,828 shares of our voting common stock immediately prior to the closing of this offering, as if such</w:t>
      </w:r>
    </w:p>
    <w:p>
      <w:pPr>
        <w:ind w:left="1020" w:right="60"/>
        <w:spacing w:after="0" w:line="232" w:lineRule="auto"/>
        <w:rPr>
          <w:sz w:val="20"/>
          <w:szCs w:val="20"/>
          <w:color w:val="auto"/>
        </w:rPr>
      </w:pPr>
      <w:r>
        <w:rPr>
          <w:rFonts w:ascii="Arial" w:cs="Arial" w:eastAsia="Arial" w:hAnsi="Arial"/>
          <w:sz w:val="13"/>
          <w:szCs w:val="13"/>
          <w:color w:val="auto"/>
        </w:rPr>
        <w:t>conversion had occurred on December 31, 2022 and June 30, 2023, respectively; (iv) the net issuance of shares of our non-voting common stock in connection with the vesting and settlement of certain outstanding RSUs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which will satisfy the liquidity event-based vesting condition, assuming that effectiveness occurs</w:t>
      </w:r>
    </w:p>
    <w:p>
      <w:pPr>
        <w:spacing w:after="0" w:line="29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20"/>
          </w:cols>
          <w:pgMar w:left="320" w:top="440" w:right="9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4982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66535" cy="4982210"/>
                    </a:xfrm>
                    <a:prstGeom prst="rect">
                      <a:avLst/>
                    </a:prstGeom>
                    <a:noFill/>
                  </pic:spPr>
                </pic:pic>
              </a:graphicData>
            </a:graphic>
          </wp:anchor>
        </w:drawing>
      </w:r>
    </w:p>
    <w:p>
      <w:pPr>
        <w:spacing w:after="0" w:line="27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360" w:type="dxa"/>
            <w:vAlign w:val="bottom"/>
          </w:tcPr>
          <w:p>
            <w:pPr>
              <w:spacing w:after="0"/>
              <w:rPr>
                <w:sz w:val="20"/>
                <w:szCs w:val="20"/>
                <w:color w:val="auto"/>
              </w:rPr>
            </w:pPr>
            <w:r>
              <w:rPr>
                <w:rFonts w:ascii="Arial" w:cs="Arial" w:eastAsia="Arial" w:hAnsi="Arial"/>
                <w:sz w:val="13"/>
                <w:szCs w:val="13"/>
                <w:color w:val="auto"/>
              </w:rPr>
              <w:t>on</w:t>
            </w:r>
          </w:p>
        </w:tc>
        <w:tc>
          <w:tcPr>
            <w:tcW w:w="5860" w:type="dxa"/>
            <w:vAlign w:val="bottom"/>
            <w:gridSpan w:val="2"/>
          </w:tcPr>
          <w:p>
            <w:pPr>
              <w:ind w:left="220"/>
              <w:spacing w:after="0"/>
              <w:rPr>
                <w:sz w:val="20"/>
                <w:szCs w:val="20"/>
                <w:color w:val="auto"/>
              </w:rPr>
            </w:pPr>
            <w:r>
              <w:rPr>
                <w:rFonts w:ascii="Arial" w:cs="Arial" w:eastAsia="Arial" w:hAnsi="Arial"/>
                <w:sz w:val="13"/>
                <w:szCs w:val="13"/>
                <w:color w:val="auto"/>
              </w:rPr>
              <w:t>and any remaining vesting continues through such date, after giving effect to the withholding of</w:t>
            </w:r>
          </w:p>
        </w:tc>
        <w:tc>
          <w:tcPr>
            <w:tcW w:w="3300" w:type="dxa"/>
            <w:vAlign w:val="bottom"/>
            <w:gridSpan w:val="2"/>
          </w:tcPr>
          <w:p>
            <w:pPr>
              <w:ind w:left="100"/>
              <w:spacing w:after="0"/>
              <w:rPr>
                <w:sz w:val="20"/>
                <w:szCs w:val="20"/>
                <w:color w:val="auto"/>
              </w:rPr>
            </w:pPr>
            <w:r>
              <w:rPr>
                <w:rFonts w:ascii="Arial" w:cs="Arial" w:eastAsia="Arial" w:hAnsi="Arial"/>
                <w:sz w:val="13"/>
                <w:szCs w:val="13"/>
                <w:color w:val="auto"/>
                <w:w w:val="96"/>
              </w:rPr>
              <w:t>shares of common stock underlying such RSUs to satisfy</w:t>
            </w:r>
          </w:p>
        </w:tc>
      </w:tr>
      <w:tr>
        <w:trPr>
          <w:trHeight w:val="139"/>
        </w:trPr>
        <w:tc>
          <w:tcPr>
            <w:tcW w:w="6760" w:type="dxa"/>
            <w:vAlign w:val="bottom"/>
            <w:gridSpan w:val="4"/>
          </w:tcPr>
          <w:p>
            <w:pPr>
              <w:spacing w:after="0" w:line="139" w:lineRule="exact"/>
              <w:rPr>
                <w:sz w:val="20"/>
                <w:szCs w:val="20"/>
                <w:color w:val="auto"/>
              </w:rPr>
            </w:pPr>
            <w:r>
              <w:rPr>
                <w:rFonts w:ascii="Arial" w:cs="Arial" w:eastAsia="Arial" w:hAnsi="Arial"/>
                <w:sz w:val="13"/>
                <w:szCs w:val="13"/>
                <w:color w:val="auto"/>
                <w:w w:val="95"/>
              </w:rPr>
              <w:t>the associated estimated tax withholding and remittance obligations (based on the assumed initial public offering price of $</w:t>
            </w:r>
          </w:p>
        </w:tc>
        <w:tc>
          <w:tcPr>
            <w:tcW w:w="2760" w:type="dxa"/>
            <w:vAlign w:val="bottom"/>
          </w:tcPr>
          <w:p>
            <w:pPr>
              <w:ind w:left="320"/>
              <w:spacing w:after="0" w:line="139" w:lineRule="exact"/>
              <w:rPr>
                <w:sz w:val="20"/>
                <w:szCs w:val="20"/>
                <w:color w:val="auto"/>
              </w:rPr>
            </w:pPr>
            <w:r>
              <w:rPr>
                <w:rFonts w:ascii="Arial" w:cs="Arial" w:eastAsia="Arial" w:hAnsi="Arial"/>
                <w:sz w:val="13"/>
                <w:szCs w:val="13"/>
                <w:color w:val="auto"/>
                <w:w w:val="93"/>
              </w:rPr>
              <w:t>per share, the midpoint of the price range set</w:t>
            </w:r>
          </w:p>
        </w:tc>
      </w:tr>
      <w:tr>
        <w:trPr>
          <w:trHeight w:val="139"/>
        </w:trPr>
        <w:tc>
          <w:tcPr>
            <w:tcW w:w="3380" w:type="dxa"/>
            <w:vAlign w:val="bottom"/>
            <w:gridSpan w:val="2"/>
          </w:tcPr>
          <w:p>
            <w:pPr>
              <w:spacing w:after="0" w:line="139" w:lineRule="exact"/>
              <w:rPr>
                <w:sz w:val="20"/>
                <w:szCs w:val="20"/>
                <w:color w:val="auto"/>
              </w:rPr>
            </w:pPr>
            <w:r>
              <w:rPr>
                <w:rFonts w:ascii="Arial" w:cs="Arial" w:eastAsia="Arial" w:hAnsi="Arial"/>
                <w:sz w:val="13"/>
                <w:szCs w:val="13"/>
                <w:color w:val="auto"/>
                <w:w w:val="98"/>
              </w:rPr>
              <w:t>forth on the cover page of this prospectus, and an assumed</w:t>
            </w:r>
          </w:p>
        </w:tc>
        <w:tc>
          <w:tcPr>
            <w:tcW w:w="2840" w:type="dxa"/>
            <w:vAlign w:val="bottom"/>
          </w:tcPr>
          <w:p>
            <w:pPr>
              <w:ind w:left="220"/>
              <w:spacing w:after="0" w:line="139" w:lineRule="exact"/>
              <w:rPr>
                <w:sz w:val="20"/>
                <w:szCs w:val="20"/>
                <w:color w:val="auto"/>
              </w:rPr>
            </w:pPr>
            <w:r>
              <w:rPr>
                <w:rFonts w:ascii="Arial" w:cs="Arial" w:eastAsia="Arial" w:hAnsi="Arial"/>
                <w:sz w:val="13"/>
                <w:szCs w:val="13"/>
                <w:color w:val="auto"/>
                <w:w w:val="99"/>
              </w:rPr>
              <w:t>% tax withholding rate); (v) the cancellation of</w:t>
            </w:r>
          </w:p>
        </w:tc>
        <w:tc>
          <w:tcPr>
            <w:tcW w:w="3300" w:type="dxa"/>
            <w:vAlign w:val="bottom"/>
            <w:gridSpan w:val="2"/>
          </w:tcPr>
          <w:p>
            <w:pPr>
              <w:ind w:left="360"/>
              <w:spacing w:after="0" w:line="139" w:lineRule="exact"/>
              <w:rPr>
                <w:sz w:val="20"/>
                <w:szCs w:val="20"/>
                <w:color w:val="auto"/>
              </w:rPr>
            </w:pPr>
            <w:r>
              <w:rPr>
                <w:rFonts w:ascii="Arial" w:cs="Arial" w:eastAsia="Arial" w:hAnsi="Arial"/>
                <w:sz w:val="13"/>
                <w:szCs w:val="13"/>
                <w:color w:val="auto"/>
                <w:w w:val="92"/>
              </w:rPr>
              <w:t>shares of our outstanding restricted stock to satisfy the</w:t>
            </w:r>
          </w:p>
        </w:tc>
      </w:tr>
      <w:tr>
        <w:trPr>
          <w:trHeight w:val="139"/>
        </w:trPr>
        <w:tc>
          <w:tcPr>
            <w:tcW w:w="6760" w:type="dxa"/>
            <w:vAlign w:val="bottom"/>
            <w:gridSpan w:val="4"/>
          </w:tcPr>
          <w:p>
            <w:pPr>
              <w:spacing w:after="0" w:line="139" w:lineRule="exact"/>
              <w:rPr>
                <w:sz w:val="20"/>
                <w:szCs w:val="20"/>
                <w:color w:val="auto"/>
              </w:rPr>
            </w:pPr>
            <w:r>
              <w:rPr>
                <w:rFonts w:ascii="Arial" w:cs="Arial" w:eastAsia="Arial" w:hAnsi="Arial"/>
                <w:sz w:val="13"/>
                <w:szCs w:val="13"/>
                <w:color w:val="auto"/>
                <w:w w:val="98"/>
              </w:rPr>
              <w:t>associated estimated tax withholding and remittance obligations (based on the assumed initial public offering price of $</w:t>
            </w:r>
          </w:p>
        </w:tc>
        <w:tc>
          <w:tcPr>
            <w:tcW w:w="2760" w:type="dxa"/>
            <w:vAlign w:val="bottom"/>
          </w:tcPr>
          <w:p>
            <w:pPr>
              <w:ind w:left="120"/>
              <w:spacing w:after="0" w:line="139" w:lineRule="exact"/>
              <w:rPr>
                <w:sz w:val="20"/>
                <w:szCs w:val="20"/>
                <w:color w:val="auto"/>
              </w:rPr>
            </w:pPr>
            <w:r>
              <w:rPr>
                <w:rFonts w:ascii="Arial" w:cs="Arial" w:eastAsia="Arial" w:hAnsi="Arial"/>
                <w:sz w:val="13"/>
                <w:szCs w:val="13"/>
                <w:color w:val="auto"/>
              </w:rPr>
              <w:t>per share, the midpoint of the price range set</w:t>
            </w:r>
          </w:p>
        </w:tc>
      </w:tr>
      <w:tr>
        <w:trPr>
          <w:trHeight w:val="151"/>
        </w:trPr>
        <w:tc>
          <w:tcPr>
            <w:tcW w:w="3380" w:type="dxa"/>
            <w:vAlign w:val="bottom"/>
            <w:gridSpan w:val="2"/>
          </w:tcPr>
          <w:p>
            <w:pPr>
              <w:spacing w:after="0"/>
              <w:rPr>
                <w:sz w:val="20"/>
                <w:szCs w:val="20"/>
                <w:color w:val="auto"/>
              </w:rPr>
            </w:pPr>
            <w:r>
              <w:rPr>
                <w:rFonts w:ascii="Arial" w:cs="Arial" w:eastAsia="Arial" w:hAnsi="Arial"/>
                <w:sz w:val="13"/>
                <w:szCs w:val="13"/>
                <w:color w:val="auto"/>
                <w:w w:val="98"/>
              </w:rPr>
              <w:t>forth on the cover page of this prospectus, and an assumed</w:t>
            </w:r>
          </w:p>
        </w:tc>
        <w:tc>
          <w:tcPr>
            <w:tcW w:w="6140" w:type="dxa"/>
            <w:vAlign w:val="bottom"/>
            <w:gridSpan w:val="3"/>
          </w:tcPr>
          <w:p>
            <w:pPr>
              <w:ind w:left="220"/>
              <w:spacing w:after="0"/>
              <w:rPr>
                <w:sz w:val="20"/>
                <w:szCs w:val="20"/>
                <w:color w:val="auto"/>
              </w:rPr>
            </w:pPr>
            <w:r>
              <w:rPr>
                <w:rFonts w:ascii="Arial" w:cs="Arial" w:eastAsia="Arial" w:hAnsi="Arial"/>
                <w:sz w:val="13"/>
                <w:szCs w:val="13"/>
                <w:color w:val="auto"/>
                <w:w w:val="94"/>
              </w:rPr>
              <w:t>% tax withholding rate) due upon the vesting of such restricted stock, which will occur upon the effectiveness</w:t>
            </w:r>
          </w:p>
        </w:tc>
      </w:tr>
    </w:tbl>
    <w:p>
      <w:pPr>
        <w:ind w:left="1020" w:right="100"/>
        <w:spacing w:after="0" w:line="242" w:lineRule="auto"/>
        <w:rPr>
          <w:sz w:val="20"/>
          <w:szCs w:val="20"/>
          <w:color w:val="auto"/>
        </w:rPr>
      </w:pPr>
      <w:r>
        <w:rPr>
          <w:rFonts w:ascii="Arial" w:cs="Arial" w:eastAsia="Arial" w:hAnsi="Arial"/>
          <w:sz w:val="12"/>
          <w:szCs w:val="12"/>
          <w:color w:val="auto"/>
        </w:rPr>
        <w:t>of the registration statement of which this prospectus forms a part; (vi) the reclassification of all outstanding shares of our voting common stock and shares of our voting common stock underlying outstanding equity awards, after giving effect to the conversions described above, into an equivalent number of shares of common stock immediately</w:t>
      </w:r>
    </w:p>
    <w:p>
      <w:pPr>
        <w:ind w:left="1020" w:right="20"/>
        <w:spacing w:after="0" w:line="230" w:lineRule="auto"/>
        <w:rPr>
          <w:sz w:val="20"/>
          <w:szCs w:val="20"/>
          <w:color w:val="auto"/>
        </w:rPr>
      </w:pPr>
      <w:r>
        <w:rPr>
          <w:rFonts w:ascii="Arial" w:cs="Arial" w:eastAsia="Arial" w:hAnsi="Arial"/>
          <w:sz w:val="13"/>
          <w:szCs w:val="13"/>
          <w:color w:val="auto"/>
        </w:rPr>
        <w:t>prior to the closing of this offering; and (vii) stock-based compensation expense of $ associated with RSUs and shares of outstanding restricted stock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and which we expect to recognize in connection with the effectiveness of the registration statement, which will satisfy the liquidity event-based vesting condition, as further described in Notes 2 and 12 to our consolidated financial statements included elsewhere in this prospectus.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4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As of June 30, 2023</w:t>
            </w:r>
          </w:p>
        </w:tc>
        <w:tc>
          <w:tcPr>
            <w:tcW w:w="10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8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jc w:val="right"/>
              <w:ind w:right="358"/>
              <w:spacing w:after="0"/>
              <w:rPr>
                <w:sz w:val="20"/>
                <w:szCs w:val="20"/>
                <w:color w:val="auto"/>
              </w:rPr>
            </w:pPr>
            <w:r>
              <w:rPr>
                <w:rFonts w:ascii="Arial" w:cs="Arial" w:eastAsia="Arial" w:hAnsi="Arial"/>
                <w:sz w:val="13"/>
                <w:szCs w:val="13"/>
                <w:b w:val="1"/>
                <w:bCs w:val="1"/>
                <w:color w:val="auto"/>
              </w:rPr>
              <w:t>Actual</w:t>
            </w:r>
          </w:p>
        </w:tc>
        <w:tc>
          <w:tcPr>
            <w:tcW w:w="14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10"/>
                <w:szCs w:val="10"/>
                <w:b w:val="1"/>
                <w:bCs w:val="1"/>
                <w:color w:val="auto"/>
              </w:rPr>
              <w:t>(1)</w:t>
            </w:r>
          </w:p>
        </w:tc>
        <w:tc>
          <w:tcPr>
            <w:tcW w:w="1040" w:type="dxa"/>
            <w:vAlign w:val="bottom"/>
          </w:tcPr>
          <w:p>
            <w:pPr>
              <w:ind w:left="200"/>
              <w:spacing w:after="0" w:line="112" w:lineRule="exact"/>
              <w:rPr>
                <w:sz w:val="20"/>
                <w:szCs w:val="20"/>
                <w:color w:val="auto"/>
              </w:rPr>
            </w:pPr>
            <w:r>
              <w:rPr>
                <w:rFonts w:ascii="Arial" w:cs="Arial" w:eastAsia="Arial" w:hAnsi="Arial"/>
                <w:sz w:val="12"/>
                <w:szCs w:val="12"/>
                <w:b w:val="1"/>
                <w:bCs w:val="1"/>
                <w:color w:val="auto"/>
              </w:rPr>
              <w:t>Pro Forma As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0"/>
                <w:szCs w:val="10"/>
                <w:b w:val="1"/>
                <w:bCs w:val="1"/>
                <w:color w:val="auto"/>
              </w:rPr>
              <w:t>(2)(3)</w:t>
            </w: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millions)</w:t>
            </w: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Cash, cash equivalents, and marketable securities</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1,967</w:t>
            </w:r>
          </w:p>
        </w:tc>
        <w:tc>
          <w:tcPr>
            <w:tcW w:w="1420" w:type="dxa"/>
            <w:vAlign w:val="bottom"/>
          </w:tcPr>
          <w:p>
            <w:pPr>
              <w:jc w:val="right"/>
              <w:ind w:right="1028"/>
              <w:spacing w:after="0"/>
              <w:rPr>
                <w:sz w:val="20"/>
                <w:szCs w:val="20"/>
                <w:color w:val="auto"/>
              </w:rPr>
            </w:pPr>
            <w:r>
              <w:rPr>
                <w:rFonts w:ascii="Arial" w:cs="Arial" w:eastAsia="Arial" w:hAnsi="Arial"/>
                <w:sz w:val="17"/>
                <w:szCs w:val="17"/>
                <w:color w:val="auto"/>
              </w:rPr>
              <w:t>$</w:t>
            </w:r>
          </w:p>
        </w:tc>
        <w:tc>
          <w:tcPr>
            <w:tcW w:w="1040" w:type="dxa"/>
            <w:vAlign w:val="bottom"/>
          </w:tcPr>
          <w:p>
            <w:pPr>
              <w:ind w:lef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Working capital</w:t>
            </w:r>
            <w:r>
              <w:rPr>
                <w:rFonts w:ascii="Arial" w:cs="Arial" w:eastAsia="Arial" w:hAnsi="Arial"/>
                <w:sz w:val="23"/>
                <w:szCs w:val="23"/>
                <w:color w:val="auto"/>
                <w:vertAlign w:val="superscript"/>
              </w:rPr>
              <w:t>(4)</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2,214</w:t>
            </w: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Total assets</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3,787</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2,822</w:t>
            </w: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928</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(735)</w:t>
            </w: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4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191</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020" w:right="40" w:hanging="392"/>
        <w:spacing w:after="0" w:line="247" w:lineRule="auto"/>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pro forma column in the balance sheet data above reflects (i) the automatic exchange of all exchangeable shares of our subsidiary, Aspen, outstanding as of June 30, 2023 into 688,787 shares of our non-voting common stock in connection with the effectiveness of the registration statement of which this prospectus forms a part, as if such exchange had occurred on June 30, 2023; (ii) the conversion of all outstanding shares of our non-voting common stock and shares of our non-voting common stock underlying outstanding equity awards, warrants, and exchangeable shares into an equivalent number of shares of our voting common stock immediately prior to the closing of this offering; (iii) the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automatic conversion of 167,302,220 shares of our redeemable convertible preferred stock outstanding as of June 30, 2023 into 167,691,828 shares of our voting common stock</w:t>
      </w:r>
    </w:p>
    <w:p>
      <w:pPr>
        <w:spacing w:after="0" w:line="1" w:lineRule="exact"/>
        <w:rPr>
          <w:sz w:val="20"/>
          <w:szCs w:val="20"/>
          <w:color w:val="auto"/>
        </w:rPr>
      </w:pPr>
    </w:p>
    <w:p>
      <w:pPr>
        <w:jc w:val="both"/>
        <w:ind w:left="1020" w:right="120"/>
        <w:spacing w:after="0" w:line="242" w:lineRule="auto"/>
        <w:rPr>
          <w:sz w:val="20"/>
          <w:szCs w:val="20"/>
          <w:color w:val="auto"/>
        </w:rPr>
      </w:pPr>
      <w:r>
        <w:rPr>
          <w:rFonts w:ascii="Arial" w:cs="Arial" w:eastAsia="Arial" w:hAnsi="Arial"/>
          <w:sz w:val="12"/>
          <w:szCs w:val="12"/>
          <w:color w:val="auto"/>
        </w:rPr>
        <w:t>immediately prior to the closing of this offering, as if such conversion had occurred on June 30, 2023; (iv) the net issuance of shares of our non-voting common stock in connection with the vesting and settlement of certain outstanding RSUs subject to service-based, market-based, and/or liquidity event-based vesting conditions for which the service-based vesting condition and the market-based vesting condition, as applicable, are expected to have been fully or partially satisfied on or before the effectiveness of the</w:t>
      </w:r>
    </w:p>
    <w:p>
      <w:pPr>
        <w:ind w:left="1020" w:right="80"/>
        <w:spacing w:after="0" w:line="242" w:lineRule="auto"/>
        <w:rPr>
          <w:sz w:val="20"/>
          <w:szCs w:val="20"/>
          <w:color w:val="auto"/>
        </w:rPr>
      </w:pPr>
      <w:r>
        <w:rPr>
          <w:rFonts w:ascii="Arial" w:cs="Arial" w:eastAsia="Arial" w:hAnsi="Arial"/>
          <w:sz w:val="12"/>
          <w:szCs w:val="12"/>
          <w:color w:val="auto"/>
        </w:rPr>
        <w:t>registration statement of which this prospectus forms a part, which will satisfy the liquidity event-based vesting condition, assuming that effectiveness occurs on and any remaining vesting continues through such date, after giving effect to the withholding of shares of common stock underlying such RSUs to satisfy the associated estimated tax</w:t>
      </w:r>
    </w:p>
    <w:tbl>
      <w:tblPr>
        <w:tblLayout w:type="fixed"/>
        <w:tblInd w:w="1020" w:type="dxa"/>
        <w:tblCellMar>
          <w:top w:w="0" w:type="dxa"/>
          <w:left w:w="0" w:type="dxa"/>
          <w:bottom w:w="0" w:type="dxa"/>
          <w:right w:w="0" w:type="dxa"/>
        </w:tblCellMar>
      </w:tblPr>
      <w:tr>
        <w:trPr>
          <w:trHeight w:val="128"/>
        </w:trPr>
        <w:tc>
          <w:tcPr>
            <w:tcW w:w="5200" w:type="dxa"/>
            <w:vAlign w:val="bottom"/>
            <w:gridSpan w:val="2"/>
          </w:tcPr>
          <w:p>
            <w:pPr>
              <w:spacing w:after="0" w:line="128" w:lineRule="exact"/>
              <w:rPr>
                <w:sz w:val="20"/>
                <w:szCs w:val="20"/>
                <w:color w:val="auto"/>
              </w:rPr>
            </w:pPr>
            <w:r>
              <w:rPr>
                <w:rFonts w:ascii="Arial" w:cs="Arial" w:eastAsia="Arial" w:hAnsi="Arial"/>
                <w:sz w:val="13"/>
                <w:szCs w:val="13"/>
                <w:color w:val="auto"/>
                <w:w w:val="96"/>
              </w:rPr>
              <w:t>withholding and remittance obligations (based on the assumed initial public offering price of $</w:t>
            </w:r>
          </w:p>
        </w:tc>
        <w:tc>
          <w:tcPr>
            <w:tcW w:w="4380" w:type="dxa"/>
            <w:vAlign w:val="bottom"/>
          </w:tcPr>
          <w:p>
            <w:pPr>
              <w:ind w:left="340"/>
              <w:spacing w:after="0" w:line="128" w:lineRule="exact"/>
              <w:rPr>
                <w:sz w:val="20"/>
                <w:szCs w:val="20"/>
                <w:color w:val="auto"/>
              </w:rPr>
            </w:pPr>
            <w:r>
              <w:rPr>
                <w:rFonts w:ascii="Arial" w:cs="Arial" w:eastAsia="Arial" w:hAnsi="Arial"/>
                <w:sz w:val="13"/>
                <w:szCs w:val="13"/>
                <w:color w:val="auto"/>
                <w:w w:val="97"/>
              </w:rPr>
              <w:t>per share, the midpoint of the price range set forth on the cover page of</w:t>
            </w:r>
          </w:p>
        </w:tc>
      </w:tr>
      <w:tr>
        <w:trPr>
          <w:trHeight w:val="139"/>
        </w:trPr>
        <w:tc>
          <w:tcPr>
            <w:tcW w:w="1840" w:type="dxa"/>
            <w:vAlign w:val="bottom"/>
          </w:tcPr>
          <w:p>
            <w:pPr>
              <w:spacing w:after="0" w:line="139" w:lineRule="exact"/>
              <w:rPr>
                <w:sz w:val="20"/>
                <w:szCs w:val="20"/>
                <w:color w:val="auto"/>
              </w:rPr>
            </w:pPr>
            <w:r>
              <w:rPr>
                <w:rFonts w:ascii="Arial" w:cs="Arial" w:eastAsia="Arial" w:hAnsi="Arial"/>
                <w:sz w:val="13"/>
                <w:szCs w:val="13"/>
                <w:color w:val="auto"/>
                <w:w w:val="95"/>
              </w:rPr>
              <w:t>this prospectus, and an assumed</w:t>
            </w:r>
          </w:p>
        </w:tc>
        <w:tc>
          <w:tcPr>
            <w:tcW w:w="3360" w:type="dxa"/>
            <w:vAlign w:val="bottom"/>
          </w:tcPr>
          <w:p>
            <w:pPr>
              <w:ind w:left="320"/>
              <w:spacing w:after="0" w:line="139" w:lineRule="exact"/>
              <w:rPr>
                <w:sz w:val="20"/>
                <w:szCs w:val="20"/>
                <w:color w:val="auto"/>
              </w:rPr>
            </w:pPr>
            <w:r>
              <w:rPr>
                <w:rFonts w:ascii="Arial" w:cs="Arial" w:eastAsia="Arial" w:hAnsi="Arial"/>
                <w:sz w:val="13"/>
                <w:szCs w:val="13"/>
                <w:color w:val="auto"/>
              </w:rPr>
              <w:t>% tax withholding rate); (v) the cancellation of</w:t>
            </w:r>
          </w:p>
        </w:tc>
        <w:tc>
          <w:tcPr>
            <w:tcW w:w="4380" w:type="dxa"/>
            <w:vAlign w:val="bottom"/>
          </w:tcPr>
          <w:p>
            <w:pPr>
              <w:jc w:val="center"/>
              <w:ind w:left="53"/>
              <w:spacing w:after="0" w:line="139" w:lineRule="exact"/>
              <w:rPr>
                <w:sz w:val="20"/>
                <w:szCs w:val="20"/>
                <w:color w:val="auto"/>
              </w:rPr>
            </w:pPr>
            <w:r>
              <w:rPr>
                <w:rFonts w:ascii="Arial" w:cs="Arial" w:eastAsia="Arial" w:hAnsi="Arial"/>
                <w:sz w:val="13"/>
                <w:szCs w:val="13"/>
                <w:color w:val="auto"/>
                <w:w w:val="92"/>
              </w:rPr>
              <w:t>shares of our outstanding restricted stock to satisfy the associated estimated tax</w:t>
            </w:r>
          </w:p>
        </w:tc>
      </w:tr>
      <w:tr>
        <w:trPr>
          <w:trHeight w:val="139"/>
        </w:trPr>
        <w:tc>
          <w:tcPr>
            <w:tcW w:w="5200" w:type="dxa"/>
            <w:vAlign w:val="bottom"/>
            <w:gridSpan w:val="2"/>
          </w:tcPr>
          <w:p>
            <w:pPr>
              <w:spacing w:after="0" w:line="139" w:lineRule="exact"/>
              <w:rPr>
                <w:sz w:val="20"/>
                <w:szCs w:val="20"/>
                <w:color w:val="auto"/>
              </w:rPr>
            </w:pPr>
            <w:r>
              <w:rPr>
                <w:rFonts w:ascii="Arial" w:cs="Arial" w:eastAsia="Arial" w:hAnsi="Arial"/>
                <w:sz w:val="13"/>
                <w:szCs w:val="13"/>
                <w:color w:val="auto"/>
                <w:w w:val="96"/>
              </w:rPr>
              <w:t>withholding and remittance obligations (based on the assumed initial public offering price of $</w:t>
            </w:r>
          </w:p>
        </w:tc>
        <w:tc>
          <w:tcPr>
            <w:tcW w:w="4380" w:type="dxa"/>
            <w:vAlign w:val="bottom"/>
          </w:tcPr>
          <w:p>
            <w:pPr>
              <w:jc w:val="center"/>
              <w:ind w:left="53"/>
              <w:spacing w:after="0" w:line="139" w:lineRule="exact"/>
              <w:rPr>
                <w:sz w:val="20"/>
                <w:szCs w:val="20"/>
                <w:color w:val="auto"/>
              </w:rPr>
            </w:pPr>
            <w:r>
              <w:rPr>
                <w:rFonts w:ascii="Arial" w:cs="Arial" w:eastAsia="Arial" w:hAnsi="Arial"/>
                <w:sz w:val="13"/>
                <w:szCs w:val="13"/>
                <w:color w:val="auto"/>
                <w:w w:val="93"/>
              </w:rPr>
              <w:t>per share, the midpoint of the price range set forth on the cover page of this</w:t>
            </w:r>
          </w:p>
        </w:tc>
      </w:tr>
      <w:tr>
        <w:trPr>
          <w:trHeight w:val="151"/>
        </w:trPr>
        <w:tc>
          <w:tcPr>
            <w:tcW w:w="1840" w:type="dxa"/>
            <w:vAlign w:val="bottom"/>
          </w:tcPr>
          <w:p>
            <w:pPr>
              <w:spacing w:after="0"/>
              <w:rPr>
                <w:sz w:val="20"/>
                <w:szCs w:val="20"/>
                <w:color w:val="auto"/>
              </w:rPr>
            </w:pPr>
            <w:r>
              <w:rPr>
                <w:rFonts w:ascii="Arial" w:cs="Arial" w:eastAsia="Arial" w:hAnsi="Arial"/>
                <w:sz w:val="13"/>
                <w:szCs w:val="13"/>
                <w:color w:val="auto"/>
              </w:rPr>
              <w:t>prospectus, and an assumed</w:t>
            </w:r>
          </w:p>
        </w:tc>
        <w:tc>
          <w:tcPr>
            <w:tcW w:w="7740" w:type="dxa"/>
            <w:vAlign w:val="bottom"/>
            <w:gridSpan w:val="2"/>
          </w:tcPr>
          <w:p>
            <w:pPr>
              <w:ind w:left="100"/>
              <w:spacing w:after="0"/>
              <w:rPr>
                <w:sz w:val="20"/>
                <w:szCs w:val="20"/>
                <w:color w:val="auto"/>
              </w:rPr>
            </w:pPr>
            <w:r>
              <w:rPr>
                <w:rFonts w:ascii="Arial" w:cs="Arial" w:eastAsia="Arial" w:hAnsi="Arial"/>
                <w:sz w:val="13"/>
                <w:szCs w:val="13"/>
                <w:color w:val="auto"/>
                <w:w w:val="94"/>
              </w:rPr>
              <w:t>% tax withholding rate) due upon the vesting of such restricted stock, which will occur upon the effectiveness of the registration statement of</w:t>
            </w:r>
          </w:p>
        </w:tc>
      </w:tr>
    </w:tbl>
    <w:p>
      <w:pPr>
        <w:ind w:left="1020" w:right="60"/>
        <w:spacing w:after="0" w:line="242" w:lineRule="auto"/>
        <w:rPr>
          <w:sz w:val="20"/>
          <w:szCs w:val="20"/>
          <w:color w:val="auto"/>
        </w:rPr>
      </w:pPr>
      <w:r>
        <w:rPr>
          <w:rFonts w:ascii="Arial" w:cs="Arial" w:eastAsia="Arial" w:hAnsi="Arial"/>
          <w:sz w:val="12"/>
          <w:szCs w:val="12"/>
          <w:color w:val="auto"/>
        </w:rPr>
        <w:t>which this prospectus forms a part; (vi) the reclassification of all outstanding shares of our voting common stock and shares of our voting common stock underlying outstanding equity awards, after giving effect to the conversions described above, into an equivalent number of shares of common stock immediately prior to the closing of this offering; and</w:t>
      </w:r>
    </w:p>
    <w:p>
      <w:pPr>
        <w:ind w:left="1020" w:right="100"/>
        <w:spacing w:after="0" w:line="223" w:lineRule="auto"/>
        <w:rPr>
          <w:sz w:val="20"/>
          <w:szCs w:val="20"/>
          <w:color w:val="auto"/>
        </w:rPr>
      </w:pPr>
      <w:r>
        <w:rPr>
          <w:rFonts w:ascii="Arial" w:cs="Arial" w:eastAsia="Arial" w:hAnsi="Arial"/>
          <w:sz w:val="13"/>
          <w:szCs w:val="13"/>
          <w:color w:val="auto"/>
        </w:rPr>
        <w:t>(vii) stock-based compensation expense of $ associated with RSUs and shares of outstanding restricted stock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and which we expect to recognize in connection with the effectiveness of the registration statement, which will satisfy the liquidity event-based vesting condition, as further described in Notes 2 and 12 to our consolidated financial statements included elsewhere in this prospectus.</w:t>
      </w:r>
    </w:p>
    <w:p>
      <w:pPr>
        <w:spacing w:after="0" w:line="2" w:lineRule="exact"/>
        <w:rPr>
          <w:sz w:val="20"/>
          <w:szCs w:val="20"/>
          <w:color w:val="auto"/>
        </w:rPr>
      </w:pPr>
    </w:p>
    <w:p>
      <w:pPr>
        <w:ind w:left="1020" w:right="940" w:hanging="392"/>
        <w:spacing w:after="0"/>
        <w:tabs>
          <w:tab w:leader="none" w:pos="10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pro forma as adjusted column gives effect to (i) the pro forma adjustments set forth immediately above in footnote (1) and (ii) the sale and issuance by us of shares of our common stock in this offering at the assumed initial public offering price of</w:t>
      </w:r>
    </w:p>
    <w:p>
      <w:pPr>
        <w:spacing w:after="0" w:line="29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20"/>
          </w:cols>
          <w:pgMar w:left="320" w:top="440" w:right="9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6566535" cy="5159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66535" cy="5159375"/>
                    </a:xfrm>
                    <a:prstGeom prst="rect">
                      <a:avLst/>
                    </a:prstGeom>
                    <a:noFill/>
                  </pic:spPr>
                </pic:pic>
              </a:graphicData>
            </a:graphic>
          </wp:anchor>
        </w:drawing>
      </w:r>
    </w:p>
    <w:p>
      <w:pPr>
        <w:spacing w:after="0" w:line="286" w:lineRule="exact"/>
        <w:rPr>
          <w:sz w:val="20"/>
          <w:szCs w:val="20"/>
          <w:color w:val="auto"/>
        </w:rPr>
      </w:pPr>
    </w:p>
    <w:p>
      <w:pPr>
        <w:ind w:left="1020" w:right="380" w:firstLine="1"/>
        <w:spacing w:after="0" w:line="252" w:lineRule="auto"/>
        <w:tabs>
          <w:tab w:leader="none" w:pos="1661" w:val="left"/>
        </w:tabs>
        <w:numPr>
          <w:ilvl w:val="0"/>
          <w:numId w:val="56"/>
        </w:numPr>
        <w:rPr>
          <w:rFonts w:ascii="Arial" w:cs="Arial" w:eastAsia="Arial" w:hAnsi="Arial"/>
          <w:sz w:val="12"/>
          <w:szCs w:val="12"/>
          <w:color w:val="auto"/>
        </w:rPr>
      </w:pPr>
      <w:r>
        <w:rPr>
          <w:rFonts w:ascii="Arial" w:cs="Arial" w:eastAsia="Arial" w:hAnsi="Arial"/>
          <w:sz w:val="12"/>
          <w:szCs w:val="12"/>
          <w:color w:val="auto"/>
        </w:rPr>
        <w:t>per share, the midpoint of the price range set forth on the cover page of this prospectus, after deducting estimated underwriting discounts and commissions and estimated offering expenses payable by us and the use of proceeds to satisfy the assumed tax withholding and remittance obligations described in footnote (1) above.</w:t>
      </w:r>
    </w:p>
    <w:tbl>
      <w:tblPr>
        <w:tblLayout w:type="fixed"/>
        <w:tblInd w:w="620" w:type="dxa"/>
        <w:tblCellMar>
          <w:top w:w="0" w:type="dxa"/>
          <w:left w:w="0" w:type="dxa"/>
          <w:bottom w:w="0" w:type="dxa"/>
          <w:right w:w="0" w:type="dxa"/>
        </w:tblCellMar>
      </w:tblPr>
      <w:tr>
        <w:trPr>
          <w:trHeight w:val="128"/>
        </w:trPr>
        <w:tc>
          <w:tcPr>
            <w:tcW w:w="280" w:type="dxa"/>
            <w:vAlign w:val="bottom"/>
          </w:tcPr>
          <w:p>
            <w:pPr>
              <w:jc w:val="right"/>
              <w:ind w:right="53"/>
              <w:spacing w:after="0" w:line="128" w:lineRule="exact"/>
              <w:rPr>
                <w:sz w:val="20"/>
                <w:szCs w:val="20"/>
                <w:color w:val="auto"/>
              </w:rPr>
            </w:pPr>
            <w:r>
              <w:rPr>
                <w:rFonts w:ascii="Arial" w:cs="Arial" w:eastAsia="Arial" w:hAnsi="Arial"/>
                <w:sz w:val="13"/>
                <w:szCs w:val="13"/>
                <w:color w:val="auto"/>
                <w:w w:val="87"/>
              </w:rPr>
              <w:t>(3)</w:t>
            </w:r>
          </w:p>
        </w:tc>
        <w:tc>
          <w:tcPr>
            <w:tcW w:w="4660" w:type="dxa"/>
            <w:vAlign w:val="bottom"/>
            <w:gridSpan w:val="3"/>
          </w:tcPr>
          <w:p>
            <w:pPr>
              <w:ind w:left="120"/>
              <w:spacing w:after="0" w:line="128" w:lineRule="exact"/>
              <w:rPr>
                <w:sz w:val="20"/>
                <w:szCs w:val="20"/>
                <w:color w:val="auto"/>
              </w:rPr>
            </w:pPr>
            <w:r>
              <w:rPr>
                <w:rFonts w:ascii="Arial" w:cs="Arial" w:eastAsia="Arial" w:hAnsi="Arial"/>
                <w:sz w:val="13"/>
                <w:szCs w:val="13"/>
                <w:color w:val="auto"/>
              </w:rPr>
              <w:t>Each $1.00 increase (decrease) in the assumed initial public offering price of $</w:t>
            </w:r>
          </w:p>
        </w:tc>
        <w:tc>
          <w:tcPr>
            <w:tcW w:w="5000" w:type="dxa"/>
            <w:vAlign w:val="bottom"/>
            <w:gridSpan w:val="2"/>
          </w:tcPr>
          <w:p>
            <w:pPr>
              <w:ind w:left="280"/>
              <w:spacing w:after="0" w:line="128" w:lineRule="exact"/>
              <w:rPr>
                <w:sz w:val="20"/>
                <w:szCs w:val="20"/>
                <w:color w:val="auto"/>
              </w:rPr>
            </w:pPr>
            <w:r>
              <w:rPr>
                <w:rFonts w:ascii="Arial" w:cs="Arial" w:eastAsia="Arial" w:hAnsi="Arial"/>
                <w:sz w:val="13"/>
                <w:szCs w:val="13"/>
                <w:color w:val="auto"/>
                <w:w w:val="93"/>
              </w:rPr>
              <w:t>per share, the midpoint of the price range set forth on the cover page of this prospectus,</w:t>
            </w:r>
          </w:p>
        </w:tc>
      </w:tr>
      <w:tr>
        <w:trPr>
          <w:trHeight w:val="139"/>
        </w:trPr>
        <w:tc>
          <w:tcPr>
            <w:tcW w:w="280" w:type="dxa"/>
            <w:vAlign w:val="bottom"/>
          </w:tcPr>
          <w:p>
            <w:pPr>
              <w:spacing w:after="0"/>
              <w:rPr>
                <w:sz w:val="12"/>
                <w:szCs w:val="12"/>
                <w:color w:val="auto"/>
              </w:rPr>
            </w:pPr>
          </w:p>
        </w:tc>
        <w:tc>
          <w:tcPr>
            <w:tcW w:w="966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3"/>
              </w:rPr>
              <w:t>would increase (decrease) the amount of cash, cash equivalents, and marketable securities, working capital, total assets, additional paid-in capital, and total stockholders’ equity</w:t>
            </w:r>
          </w:p>
        </w:tc>
      </w:tr>
      <w:tr>
        <w:trPr>
          <w:trHeight w:val="139"/>
        </w:trPr>
        <w:tc>
          <w:tcPr>
            <w:tcW w:w="280" w:type="dxa"/>
            <w:vAlign w:val="bottom"/>
          </w:tcPr>
          <w:p>
            <w:pPr>
              <w:spacing w:after="0"/>
              <w:rPr>
                <w:sz w:val="12"/>
                <w:szCs w:val="12"/>
                <w:color w:val="auto"/>
              </w:rPr>
            </w:pPr>
          </w:p>
        </w:tc>
        <w:tc>
          <w:tcPr>
            <w:tcW w:w="1460" w:type="dxa"/>
            <w:vAlign w:val="bottom"/>
          </w:tcPr>
          <w:p>
            <w:pPr>
              <w:ind w:left="120"/>
              <w:spacing w:after="0" w:line="139" w:lineRule="exact"/>
              <w:rPr>
                <w:sz w:val="20"/>
                <w:szCs w:val="20"/>
                <w:color w:val="auto"/>
              </w:rPr>
            </w:pPr>
            <w:r>
              <w:rPr>
                <w:rFonts w:ascii="Arial" w:cs="Arial" w:eastAsia="Arial" w:hAnsi="Arial"/>
                <w:sz w:val="13"/>
                <w:szCs w:val="13"/>
                <w:color w:val="auto"/>
              </w:rPr>
              <w:t>by approximately $</w:t>
            </w:r>
          </w:p>
        </w:tc>
        <w:tc>
          <w:tcPr>
            <w:tcW w:w="8200" w:type="dxa"/>
            <w:vAlign w:val="bottom"/>
            <w:gridSpan w:val="4"/>
          </w:tcPr>
          <w:p>
            <w:pPr>
              <w:ind w:left="280"/>
              <w:spacing w:after="0" w:line="139" w:lineRule="exact"/>
              <w:rPr>
                <w:sz w:val="20"/>
                <w:szCs w:val="20"/>
                <w:color w:val="auto"/>
              </w:rPr>
            </w:pPr>
            <w:r>
              <w:rPr>
                <w:rFonts w:ascii="Arial" w:cs="Arial" w:eastAsia="Arial" w:hAnsi="Arial"/>
                <w:sz w:val="13"/>
                <w:szCs w:val="13"/>
                <w:color w:val="auto"/>
                <w:w w:val="96"/>
              </w:rPr>
              <w:t>million, assuming the number of shares offered by us, as set forth on the cover page of this prospectus, remains the same and after deducting</w:t>
            </w:r>
          </w:p>
        </w:tc>
      </w:tr>
      <w:tr>
        <w:trPr>
          <w:trHeight w:val="139"/>
        </w:trPr>
        <w:tc>
          <w:tcPr>
            <w:tcW w:w="280" w:type="dxa"/>
            <w:vAlign w:val="bottom"/>
          </w:tcPr>
          <w:p>
            <w:pPr>
              <w:spacing w:after="0"/>
              <w:rPr>
                <w:sz w:val="12"/>
                <w:szCs w:val="12"/>
                <w:color w:val="auto"/>
              </w:rPr>
            </w:pPr>
          </w:p>
        </w:tc>
        <w:tc>
          <w:tcPr>
            <w:tcW w:w="966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3"/>
              </w:rPr>
              <w:t>estimated underwriting discounts and commissions and estimated offering expenses payable by us. Similarly, each increase (decrease) of 1,000,000 in the number of shares we</w:t>
            </w:r>
          </w:p>
        </w:tc>
      </w:tr>
      <w:tr>
        <w:trPr>
          <w:trHeight w:val="139"/>
        </w:trPr>
        <w:tc>
          <w:tcPr>
            <w:tcW w:w="280" w:type="dxa"/>
            <w:vAlign w:val="bottom"/>
          </w:tcPr>
          <w:p>
            <w:pPr>
              <w:spacing w:after="0"/>
              <w:rPr>
                <w:sz w:val="12"/>
                <w:szCs w:val="12"/>
                <w:color w:val="auto"/>
              </w:rPr>
            </w:pPr>
          </w:p>
        </w:tc>
        <w:tc>
          <w:tcPr>
            <w:tcW w:w="966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8"/>
              </w:rPr>
              <w:t>are offering would increase (decrease) the amount of cash, cash equivalents, and marketable securities, working capital, total assets, additional paid-in capital, and total</w:t>
            </w:r>
          </w:p>
        </w:tc>
      </w:tr>
      <w:tr>
        <w:trPr>
          <w:trHeight w:val="139"/>
        </w:trPr>
        <w:tc>
          <w:tcPr>
            <w:tcW w:w="280" w:type="dxa"/>
            <w:vAlign w:val="bottom"/>
          </w:tcPr>
          <w:p>
            <w:pPr>
              <w:spacing w:after="0"/>
              <w:rPr>
                <w:sz w:val="12"/>
                <w:szCs w:val="12"/>
                <w:color w:val="auto"/>
              </w:rPr>
            </w:pPr>
          </w:p>
        </w:tc>
        <w:tc>
          <w:tcPr>
            <w:tcW w:w="258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stockholders’ equity by approximately $</w:t>
            </w:r>
          </w:p>
        </w:tc>
        <w:tc>
          <w:tcPr>
            <w:tcW w:w="398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million, assuming the assumed initial public offering price of $</w:t>
            </w:r>
          </w:p>
        </w:tc>
        <w:tc>
          <w:tcPr>
            <w:tcW w:w="3100" w:type="dxa"/>
            <w:vAlign w:val="bottom"/>
          </w:tcPr>
          <w:p>
            <w:pPr>
              <w:ind w:left="280"/>
              <w:spacing w:after="0" w:line="139" w:lineRule="exact"/>
              <w:rPr>
                <w:sz w:val="20"/>
                <w:szCs w:val="20"/>
                <w:color w:val="auto"/>
              </w:rPr>
            </w:pPr>
            <w:r>
              <w:rPr>
                <w:rFonts w:ascii="Arial" w:cs="Arial" w:eastAsia="Arial" w:hAnsi="Arial"/>
                <w:sz w:val="13"/>
                <w:szCs w:val="13"/>
                <w:color w:val="auto"/>
                <w:w w:val="97"/>
              </w:rPr>
              <w:t>per share, the midpoint of the price range set forth</w:t>
            </w:r>
          </w:p>
        </w:tc>
      </w:tr>
      <w:tr>
        <w:trPr>
          <w:trHeight w:val="139"/>
        </w:trPr>
        <w:tc>
          <w:tcPr>
            <w:tcW w:w="280" w:type="dxa"/>
            <w:vAlign w:val="bottom"/>
          </w:tcPr>
          <w:p>
            <w:pPr>
              <w:spacing w:after="0"/>
              <w:rPr>
                <w:sz w:val="12"/>
                <w:szCs w:val="12"/>
                <w:color w:val="auto"/>
              </w:rPr>
            </w:pPr>
          </w:p>
        </w:tc>
        <w:tc>
          <w:tcPr>
            <w:tcW w:w="966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4"/>
              </w:rPr>
              <w:t>on the cover page of this prospectus, remains the same and after deducting estimated underwriting discounts and commissions and estimated offering expenses payable by us.</w:t>
            </w:r>
          </w:p>
        </w:tc>
      </w:tr>
      <w:tr>
        <w:trPr>
          <w:trHeight w:val="139"/>
        </w:trPr>
        <w:tc>
          <w:tcPr>
            <w:tcW w:w="280" w:type="dxa"/>
            <w:vAlign w:val="bottom"/>
          </w:tcPr>
          <w:p>
            <w:pPr>
              <w:spacing w:after="0"/>
              <w:rPr>
                <w:sz w:val="12"/>
                <w:szCs w:val="12"/>
                <w:color w:val="auto"/>
              </w:rPr>
            </w:pPr>
          </w:p>
        </w:tc>
        <w:tc>
          <w:tcPr>
            <w:tcW w:w="966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5"/>
              </w:rPr>
              <w:t>Pro forma adjustments in items (iv) and (vi) of footnote (1) above and the pro forma as adjusted information are illustrative only and will be adjusted based on the actual initial</w:t>
            </w:r>
          </w:p>
        </w:tc>
      </w:tr>
      <w:tr>
        <w:trPr>
          <w:trHeight w:val="151"/>
        </w:trPr>
        <w:tc>
          <w:tcPr>
            <w:tcW w:w="280" w:type="dxa"/>
            <w:vAlign w:val="bottom"/>
          </w:tcPr>
          <w:p>
            <w:pPr>
              <w:spacing w:after="0"/>
              <w:rPr>
                <w:sz w:val="13"/>
                <w:szCs w:val="13"/>
                <w:color w:val="auto"/>
              </w:rPr>
            </w:pPr>
          </w:p>
        </w:tc>
        <w:tc>
          <w:tcPr>
            <w:tcW w:w="4660" w:type="dxa"/>
            <w:vAlign w:val="bottom"/>
            <w:gridSpan w:val="3"/>
          </w:tcPr>
          <w:p>
            <w:pPr>
              <w:ind w:left="120"/>
              <w:spacing w:after="0"/>
              <w:rPr>
                <w:sz w:val="20"/>
                <w:szCs w:val="20"/>
                <w:color w:val="auto"/>
              </w:rPr>
            </w:pPr>
            <w:r>
              <w:rPr>
                <w:rFonts w:ascii="Arial" w:cs="Arial" w:eastAsia="Arial" w:hAnsi="Arial"/>
                <w:sz w:val="13"/>
                <w:szCs w:val="13"/>
                <w:color w:val="auto"/>
              </w:rPr>
              <w:t>public offering price and other terms of this offering determined at pricing.</w:t>
            </w:r>
          </w:p>
        </w:tc>
        <w:tc>
          <w:tcPr>
            <w:tcW w:w="1900" w:type="dxa"/>
            <w:vAlign w:val="bottom"/>
          </w:tcPr>
          <w:p>
            <w:pPr>
              <w:spacing w:after="0"/>
              <w:rPr>
                <w:sz w:val="13"/>
                <w:szCs w:val="13"/>
                <w:color w:val="auto"/>
              </w:rPr>
            </w:pPr>
          </w:p>
        </w:tc>
        <w:tc>
          <w:tcPr>
            <w:tcW w:w="3100" w:type="dxa"/>
            <w:vAlign w:val="bottom"/>
          </w:tcPr>
          <w:p>
            <w:pPr>
              <w:spacing w:after="0"/>
              <w:rPr>
                <w:sz w:val="13"/>
                <w:szCs w:val="13"/>
                <w:color w:val="auto"/>
              </w:rPr>
            </w:pPr>
          </w:p>
        </w:tc>
      </w:tr>
    </w:tbl>
    <w:p>
      <w:pPr>
        <w:ind w:left="1020" w:hanging="392"/>
        <w:spacing w:after="0"/>
        <w:tabs>
          <w:tab w:leader="none" w:pos="10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Working capital is defined as current assets less current liabilities.</w:t>
      </w:r>
    </w:p>
    <w:p>
      <w:pPr>
        <w:spacing w:after="0" w:line="3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Key Business and Non-GAAP Metrics</w:t>
      </w:r>
    </w:p>
    <w:p>
      <w:pPr>
        <w:spacing w:after="0" w:line="214" w:lineRule="exact"/>
        <w:rPr>
          <w:sz w:val="20"/>
          <w:szCs w:val="20"/>
          <w:color w:val="auto"/>
        </w:rPr>
      </w:pPr>
    </w:p>
    <w:p>
      <w:pPr>
        <w:ind w:left="620" w:right="180" w:firstLine="399"/>
        <w:spacing w:after="0" w:line="340"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non-GAAP metrics, among others, to help us evaluate our business, identify trends affecting our performance, formulate business plans, and make strategic decisions.</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gridSpan w:val="2"/>
            <w:vMerge w:val="restart"/>
          </w:tcPr>
          <w:p>
            <w:pPr>
              <w:jc w:val="right"/>
              <w:ind w:right="78"/>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7"/>
              <w:spacing w:after="0" w:line="132"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78"/>
              <w:spacing w:after="0" w:line="132" w:lineRule="exact"/>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7"/>
              <w:spacing w:after="0" w:line="132" w:lineRule="exact"/>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59"/>
              <w:spacing w:after="0" w:line="132"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4"/>
          </w:tcPr>
          <w:p>
            <w:pPr>
              <w:jc w:val="right"/>
              <w:ind w:right="180"/>
              <w:spacing w:after="0" w:line="145" w:lineRule="exact"/>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Orders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171.5</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223.4</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19"/>
              <w:spacing w:after="0"/>
              <w:rPr>
                <w:sz w:val="20"/>
                <w:szCs w:val="20"/>
                <w:color w:val="auto"/>
              </w:rPr>
            </w:pPr>
            <w:r>
              <w:rPr>
                <w:rFonts w:ascii="Arial" w:cs="Arial" w:eastAsia="Arial" w:hAnsi="Arial"/>
                <w:sz w:val="17"/>
                <w:szCs w:val="17"/>
                <w:color w:val="auto"/>
              </w:rPr>
              <w:t>132.3</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Arial" w:cs="Arial" w:eastAsia="Arial" w:hAnsi="Arial"/>
                <w:sz w:val="17"/>
                <w:szCs w:val="17"/>
                <w:color w:val="auto"/>
              </w:rPr>
              <w:t>GTV</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20,736</w:t>
            </w:r>
          </w:p>
        </w:tc>
        <w:tc>
          <w:tcPr>
            <w:tcW w:w="5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8"/>
              <w:spacing w:after="0"/>
              <w:rPr>
                <w:sz w:val="20"/>
                <w:szCs w:val="20"/>
                <w:color w:val="auto"/>
              </w:rPr>
            </w:pPr>
            <w:r>
              <w:rPr>
                <w:rFonts w:ascii="Arial" w:cs="Arial" w:eastAsia="Arial" w:hAnsi="Arial"/>
                <w:sz w:val="17"/>
                <w:szCs w:val="17"/>
                <w:color w:val="auto"/>
              </w:rPr>
              <w:t>24,909</w:t>
            </w:r>
          </w:p>
        </w:tc>
        <w:tc>
          <w:tcPr>
            <w:tcW w:w="3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28,826</w:t>
            </w:r>
          </w:p>
        </w:tc>
        <w:tc>
          <w:tcPr>
            <w:tcW w:w="44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19"/>
              <w:spacing w:after="0"/>
              <w:rPr>
                <w:sz w:val="20"/>
                <w:szCs w:val="20"/>
                <w:color w:val="auto"/>
              </w:rPr>
            </w:pPr>
            <w:r>
              <w:rPr>
                <w:rFonts w:ascii="Arial" w:cs="Arial" w:eastAsia="Arial" w:hAnsi="Arial"/>
                <w:sz w:val="17"/>
                <w:szCs w:val="17"/>
                <w:color w:val="auto"/>
                <w:w w:val="84"/>
              </w:rPr>
              <w:t>14,356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14,937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1,477</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1,834</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4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19"/>
              <w:spacing w:after="0"/>
              <w:rPr>
                <w:sz w:val="20"/>
                <w:szCs w:val="20"/>
                <w:color w:val="auto"/>
              </w:rPr>
            </w:pPr>
            <w:r>
              <w:rPr>
                <w:rFonts w:ascii="Arial" w:cs="Arial" w:eastAsia="Arial" w:hAnsi="Arial"/>
                <w:sz w:val="17"/>
                <w:szCs w:val="17"/>
                <w:color w:val="auto"/>
              </w:rPr>
              <w:t>1,126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Arial" w:cs="Arial" w:eastAsia="Arial" w:hAnsi="Arial"/>
                <w:sz w:val="17"/>
                <w:szCs w:val="17"/>
                <w:color w:val="auto"/>
              </w:rPr>
              <w:t>Gross profit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7"/>
              <w:spacing w:after="0"/>
              <w:rPr>
                <w:sz w:val="20"/>
                <w:szCs w:val="20"/>
                <w:color w:val="auto"/>
              </w:rPr>
            </w:pPr>
            <w:r>
              <w:rPr>
                <w:rFonts w:ascii="Arial" w:cs="Arial" w:eastAsia="Arial" w:hAnsi="Arial"/>
                <w:sz w:val="17"/>
                <w:szCs w:val="17"/>
                <w:color w:val="auto"/>
              </w:rPr>
              <w:t>879</w:t>
            </w:r>
          </w:p>
        </w:tc>
        <w:tc>
          <w:tcPr>
            <w:tcW w:w="5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8"/>
              <w:spacing w:after="0"/>
              <w:rPr>
                <w:sz w:val="20"/>
                <w:szCs w:val="20"/>
                <w:color w:val="auto"/>
              </w:rPr>
            </w:pPr>
            <w:r>
              <w:rPr>
                <w:rFonts w:ascii="Arial" w:cs="Arial" w:eastAsia="Arial" w:hAnsi="Arial"/>
                <w:sz w:val="17"/>
                <w:szCs w:val="17"/>
                <w:color w:val="auto"/>
              </w:rPr>
              <w:t>1,226</w:t>
            </w:r>
          </w:p>
        </w:tc>
        <w:tc>
          <w:tcPr>
            <w:tcW w:w="3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1,831</w:t>
            </w:r>
          </w:p>
        </w:tc>
        <w:tc>
          <w:tcPr>
            <w:tcW w:w="44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19"/>
              <w:spacing w:after="0"/>
              <w:rPr>
                <w:sz w:val="20"/>
                <w:szCs w:val="20"/>
                <w:color w:val="auto"/>
              </w:rPr>
            </w:pPr>
            <w:r>
              <w:rPr>
                <w:rFonts w:ascii="Arial" w:cs="Arial" w:eastAsia="Arial" w:hAnsi="Arial"/>
                <w:sz w:val="17"/>
                <w:szCs w:val="17"/>
                <w:color w:val="auto"/>
              </w:rPr>
              <w:t>769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1,109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60%</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67%</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rPr>
              <w:t>68%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6"/>
                <w:szCs w:val="16"/>
                <w:color w:val="auto"/>
              </w:rPr>
              <w:t>Net income (loss)</w:t>
            </w:r>
            <w:r>
              <w:rPr>
                <w:rFonts w:ascii="Arial" w:cs="Arial" w:eastAsia="Arial" w:hAnsi="Arial"/>
                <w:sz w:val="23"/>
                <w:szCs w:val="23"/>
                <w:color w:val="auto"/>
                <w:vertAlign w:val="superscript"/>
              </w:rPr>
              <w:t>(1)</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(70)</w:t>
            </w:r>
          </w:p>
        </w:tc>
        <w:tc>
          <w:tcPr>
            <w:tcW w:w="5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8"/>
              <w:spacing w:after="0"/>
              <w:rPr>
                <w:sz w:val="20"/>
                <w:szCs w:val="20"/>
                <w:color w:val="auto"/>
              </w:rPr>
            </w:pPr>
            <w:r>
              <w:rPr>
                <w:rFonts w:ascii="Arial" w:cs="Arial" w:eastAsia="Arial" w:hAnsi="Arial"/>
                <w:sz w:val="17"/>
                <w:szCs w:val="17"/>
                <w:color w:val="auto"/>
              </w:rPr>
              <w:t>(73)</w:t>
            </w:r>
          </w:p>
        </w:tc>
        <w:tc>
          <w:tcPr>
            <w:tcW w:w="3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428</w:t>
            </w:r>
          </w:p>
        </w:tc>
        <w:tc>
          <w:tcPr>
            <w:tcW w:w="44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459"/>
              <w:spacing w:after="0"/>
              <w:rPr>
                <w:sz w:val="20"/>
                <w:szCs w:val="20"/>
                <w:color w:val="auto"/>
              </w:rPr>
            </w:pPr>
            <w:r>
              <w:rPr>
                <w:rFonts w:ascii="Arial" w:cs="Arial" w:eastAsia="Arial" w:hAnsi="Arial"/>
                <w:sz w:val="17"/>
                <w:szCs w:val="17"/>
                <w:color w:val="auto"/>
              </w:rPr>
              <w:t>(74)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242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as a percent of GTV</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(0.3)%</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Arial" w:cs="Arial" w:eastAsia="Arial" w:hAnsi="Arial"/>
                <w:sz w:val="17"/>
                <w:szCs w:val="17"/>
                <w:color w:val="auto"/>
              </w:rPr>
              <w:t>Net income (loss) as a percent of revenue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580" w:type="dxa"/>
            <w:vAlign w:val="bottom"/>
          </w:tcPr>
          <w:p>
            <w:pPr>
              <w:spacing w:after="0"/>
              <w:rPr>
                <w:sz w:val="17"/>
                <w:szCs w:val="17"/>
                <w:color w:val="auto"/>
              </w:rPr>
            </w:pP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19"/>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134</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34</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4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59"/>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6"/>
                <w:szCs w:val="16"/>
                <w:color w:val="auto"/>
              </w:rPr>
              <w:t>Adjusted EBITDA as a percent of GTV</w:t>
            </w:r>
            <w:r>
              <w:rPr>
                <w:rFonts w:ascii="Arial" w:cs="Arial" w:eastAsia="Arial" w:hAnsi="Arial"/>
                <w:sz w:val="23"/>
                <w:szCs w:val="23"/>
                <w:color w:val="auto"/>
                <w:vertAlign w:val="superscript"/>
              </w:rPr>
              <w:t>(2)</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0.6%</w:t>
            </w:r>
          </w:p>
        </w:tc>
        <w:tc>
          <w:tcPr>
            <w:tcW w:w="580" w:type="dxa"/>
            <w:vAlign w:val="bottom"/>
          </w:tcPr>
          <w:p>
            <w:pPr>
              <w:spacing w:after="0"/>
              <w:rPr>
                <w:sz w:val="17"/>
                <w:szCs w:val="17"/>
                <w:color w:val="auto"/>
              </w:rPr>
            </w:pPr>
          </w:p>
        </w:tc>
        <w:tc>
          <w:tcPr>
            <w:tcW w:w="1120" w:type="dxa"/>
            <w:vAlign w:val="bottom"/>
          </w:tcPr>
          <w:p>
            <w:pPr>
              <w:jc w:val="right"/>
              <w:ind w:right="278"/>
              <w:spacing w:after="0"/>
              <w:rPr>
                <w:sz w:val="20"/>
                <w:szCs w:val="20"/>
                <w:color w:val="auto"/>
              </w:rPr>
            </w:pPr>
            <w:r>
              <w:rPr>
                <w:rFonts w:ascii="Arial" w:cs="Arial" w:eastAsia="Arial" w:hAnsi="Arial"/>
                <w:sz w:val="17"/>
                <w:szCs w:val="17"/>
                <w:color w:val="auto"/>
              </w:rPr>
              <w:t>0.1%</w:t>
            </w:r>
          </w:p>
        </w:tc>
        <w:tc>
          <w:tcPr>
            <w:tcW w:w="32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19"/>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3"/>
                <w:szCs w:val="23"/>
                <w:color w:val="auto"/>
                <w:vertAlign w:val="superscript"/>
              </w:rPr>
              <w:t>(2)</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020" w:right="40" w:hanging="392"/>
        <w:spacing w:after="0" w:line="252" w:lineRule="auto"/>
        <w:tabs>
          <w:tab w:leader="none" w:pos="10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This included a $358 million benefit during the year ended December 31, 2022, from the release of our full valuation allowance on our deferred tax assets in the United States as it is more likely than not that our U.S. federal and state net deferred tax assets will be realized given our expectation of profitability in certain future periods.</w:t>
      </w:r>
    </w:p>
    <w:p>
      <w:pPr>
        <w:ind w:left="1020" w:right="60" w:hanging="392"/>
        <w:spacing w:after="0" w:line="232" w:lineRule="auto"/>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Adjusted EBITDA, Adjusted EBITDA as a percent of GTV, and Adjusted EBITDA margin are not calculated in accordance with generally accepted accounting principles in the United States, or GAAP. For more information regarding our use of Adjusted EBITDA, Adjusted EBITDA as a percent of GTV, and Adjusted EBITDA margin and a reconciliation of Adjusted EBITDA to net income (loss), the most directly comparable financial measure calculated in accordance with GAAP, see the section titled “Management’s Discussion and Analysis of Financial Condition and Results of Operations—Key Business and Non-GAAP Metrics.”</w:t>
      </w:r>
    </w:p>
    <w:p>
      <w:pPr>
        <w:spacing w:after="0" w:line="176" w:lineRule="exact"/>
        <w:rPr>
          <w:sz w:val="20"/>
          <w:szCs w:val="20"/>
          <w:color w:val="auto"/>
        </w:rPr>
      </w:pPr>
    </w:p>
    <w:p>
      <w:pPr>
        <w:ind w:left="620" w:right="640" w:firstLine="399"/>
        <w:spacing w:after="0" w:line="260" w:lineRule="auto"/>
        <w:rPr>
          <w:sz w:val="20"/>
          <w:szCs w:val="20"/>
          <w:color w:val="auto"/>
        </w:rPr>
      </w:pPr>
      <w:r>
        <w:rPr>
          <w:rFonts w:ascii="Arial" w:cs="Arial" w:eastAsia="Arial" w:hAnsi="Arial"/>
          <w:sz w:val="17"/>
          <w:szCs w:val="17"/>
          <w:color w:val="auto"/>
        </w:rPr>
        <w:t>See the section titled “Management’s Discussion and Analysis of Financial Condition and Results of Operations—Key Business and Non-GAAP Metrics” included elsewhere in this prospectus for a description of, and additional information about, these key business and non-GAAP metrics.</w:t>
      </w: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20"/>
          </w:cols>
          <w:pgMar w:left="320" w:top="440" w:right="9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214" w:lineRule="exact"/>
        <w:rPr>
          <w:sz w:val="20"/>
          <w:szCs w:val="20"/>
          <w:color w:val="auto"/>
        </w:rPr>
      </w:pPr>
    </w:p>
    <w:p>
      <w:pPr>
        <w:ind w:left="460" w:right="140" w:firstLine="413"/>
        <w:spacing w:after="0" w:line="253"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w:t>
      </w:r>
    </w:p>
    <w:p>
      <w:pPr>
        <w:spacing w:after="0" w:line="381"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4" w:lineRule="exact"/>
        <w:rPr>
          <w:sz w:val="20"/>
          <w:szCs w:val="20"/>
          <w:color w:val="auto"/>
        </w:rPr>
      </w:pPr>
    </w:p>
    <w:p>
      <w:pPr>
        <w:ind w:left="460" w:right="380"/>
        <w:spacing w:after="0" w:line="272" w:lineRule="auto"/>
        <w:rPr>
          <w:sz w:val="20"/>
          <w:szCs w:val="20"/>
          <w:color w:val="auto"/>
        </w:rPr>
      </w:pPr>
      <w:r>
        <w:rPr>
          <w:rFonts w:ascii="Arial" w:cs="Arial" w:eastAsia="Arial" w:hAnsi="Arial"/>
          <w:sz w:val="17"/>
          <w:szCs w:val="17"/>
          <w:b w:val="1"/>
          <w:bCs w:val="1"/>
          <w:i w:val="1"/>
          <w:iCs w:val="1"/>
          <w:color w:val="auto"/>
        </w:rPr>
        <w:t>We have experienced rapid growth, operational and strategic expansion, and related impacts to margin and profitability in recent periods. Such historical trends, including growth rates, may not continue in the future.</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have grown rapidly over the last several years. Our GTV increased from $5,144 million for the year ended December 31, 2019 to</w:t>
      </w:r>
    </w:p>
    <w:p>
      <w:pPr>
        <w:spacing w:after="0" w:line="19" w:lineRule="exact"/>
        <w:rPr>
          <w:sz w:val="20"/>
          <w:szCs w:val="20"/>
          <w:color w:val="auto"/>
        </w:rPr>
      </w:pPr>
    </w:p>
    <w:p>
      <w:pPr>
        <w:ind w:left="460" w:right="20"/>
        <w:spacing w:after="0" w:line="253" w:lineRule="auto"/>
        <w:rPr>
          <w:sz w:val="20"/>
          <w:szCs w:val="20"/>
          <w:color w:val="auto"/>
        </w:rPr>
      </w:pPr>
      <w:r>
        <w:rPr>
          <w:rFonts w:ascii="Arial" w:cs="Arial" w:eastAsia="Arial" w:hAnsi="Arial"/>
          <w:sz w:val="17"/>
          <w:szCs w:val="17"/>
          <w:color w:val="auto"/>
        </w:rPr>
        <w:t>$28,826 million for the year ended December 31, 2022, a CAGR of 78%, and our revenue increased from $214 million for the year ended December 31, 2019 to $2,551 million for the year ended December 31, 2022, a CAGR of 128%. Our recent rapid growth has also resulted in increased costs as we expanded our operations to scale our business and address increased customer demand.</w:t>
      </w:r>
    </w:p>
    <w:p>
      <w:pPr>
        <w:spacing w:after="0" w:line="181"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Our recent rapid growth and related changes to our business and operations have been driven in part by the rapid evolution of the online grocery shopping industry, as well as the other retail categories in which we operate, which may not develop as we expect. In particular, our growth rate was impacted significantly by the increase in demand for online grocery shopping driven primarily by the COVID-19 pandemic, which led to significant demand for our offerings. However, our growth rates have decreased from what we experienced during the COVID-19 pandemic and subsequent variant outbreaks and may continue to decrease. The growth rates we experienced at and following the outset of the COVID-19 pandemic are not likely to recur, and the increased demand for our offerings and the growth of the online grocery industry as a whole that was generated by the effects of the pandemic has decreased since 2020 and could further decrease from current levels, as the circumstances that accelerated the growth of our business during the pandemic have subsided and continue to subside. For example, many consumers have returned to shop in-store for themselves or changed their online ordering habits, and such changes to consumer behavior may also cause retailers to reduce their engagement with Instacart if they perceive these changes to decrease the economic benefit they derive from partnering with us. See the section titled “Management’s Discussion and Analysis of Financial Condition and Results of Operations—COVID-19 Impact on Our Business.” Consumer shopping behavior has also been impacted, and may continue to be impacted, by macroeconomic trends, such as inflation and rising interest rates and any associated decrease in consumer discretionary income. For example, decreases in consumer discretionary income due to inflationary or recessionary economic pressures, as well as the cessation of government stimulus available during the COVID-19 pandemic, have adversely impacted customer retention and engagement. These macroeconomic factors have also resulted in customers purchasing fewer items per order and reduced demand for premium or discretionary grocery purchases, which has offset higher grocery prices due to inflation and may decrease average order values when prices normalize. Further, we have increased, and we expect to continue to increase, our sales and marketing campaigns and customer incentive initiatives to continue engaging existing customers and acquire new customers, which may initially reduce our revenue and profitability and may not be successful in growing our revenue or maintaining or increasing profitability. We also expect future trends in our revenue, margin, and profitability to vary in ways that we may not anticipate or predict, including as we experience shifts in revenue mix and customer preferences in fulfillment options, changes in consumer use cases (including as we introduce new use cases), and changes in average order value. These variations may be driven by external factors, such as the subsiding impact of the COVID-19 pandemic as well as macroeconomic conditions, such as inflation, and our strategic initiatives, such as investments in new technologies and offerings, the focus on increasing GTV from Instacart+ members, and our strategic focus on further scaling our operations to improve our margin and</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780"/>
          </w:cols>
          <w:pgMar w:left="320" w:top="440" w:right="79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90" w:lineRule="auto"/>
        <w:rPr>
          <w:sz w:val="20"/>
          <w:szCs w:val="20"/>
          <w:color w:val="auto"/>
        </w:rPr>
      </w:pPr>
      <w:r>
        <w:rPr>
          <w:rFonts w:ascii="Arial" w:cs="Arial" w:eastAsia="Arial" w:hAnsi="Arial"/>
          <w:sz w:val="15"/>
          <w:szCs w:val="15"/>
          <w:color w:val="auto"/>
        </w:rPr>
        <w:t>profitability. New public health outbreaks may also result in temporary increases in demand for our offerings that may not be sustained once the outbreak is contained. Further, our margin and profitability may be negatively impacted during such periods if we do not adequately anticipate such demand to cost-effectively address the increase in customer activity, such as through shopper incentives. We cannot be certain whether we will drive greater engagement from new customers, retailers, or brands or maintain the current level of demand for our offerings over the long term, nor can we anticipate the degree of impact that the subsiding effects of the COVID-19 pandemic will have on the number of retailers, brands, or shoppers who are active on Instacart. Overall growth of our GTV and revenue depends in part on our ability to manage changes to our business and operations, in particular those changes driven by the COVID-19 pandemic, especially as its impact continues to subside. As a result of the foregoing, our recent growth rates and financial performance should not necessarily be considered indicative of our future performance and results of operations.</w:t>
      </w:r>
    </w:p>
    <w:p>
      <w:pPr>
        <w:spacing w:after="0" w:line="156"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Our metrics, including revenue and GTV, may also decline or fluctuate in the future as a result of other factors, including macroeconomic factors, increasing competition, strategic initiatives, and the maturation of our business, among others. Overall growth of our GTV, revenue, margin, and profitability depends on a number of factors, including our ability to:</w:t>
      </w:r>
    </w:p>
    <w:p>
      <w:pPr>
        <w:spacing w:after="0" w:line="87" w:lineRule="exact"/>
        <w:rPr>
          <w:sz w:val="20"/>
          <w:szCs w:val="20"/>
          <w:color w:val="auto"/>
        </w:rPr>
      </w:pPr>
    </w:p>
    <w:p>
      <w:pPr>
        <w:ind w:left="1360" w:right="180" w:hanging="396"/>
        <w:spacing w:after="0" w:line="272"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attract new customers, retailers, brands, and shoppers, including through effective pricing of our offerings, and expand our relationships with existing customers, retailers, brands, and shoppers;</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accurately forecast our revenue and plan our operating expenses and investments for future growth;</w:t>
      </w:r>
    </w:p>
    <w:p>
      <w:pPr>
        <w:spacing w:after="0" w:line="121" w:lineRule="exact"/>
        <w:rPr>
          <w:rFonts w:ascii="Arial" w:cs="Arial" w:eastAsia="Arial" w:hAnsi="Arial"/>
          <w:sz w:val="17"/>
          <w:szCs w:val="17"/>
          <w:color w:val="auto"/>
        </w:rPr>
      </w:pPr>
    </w:p>
    <w:p>
      <w:pPr>
        <w:ind w:left="1360" w:hanging="396"/>
        <w:spacing w:after="0" w:line="303" w:lineRule="auto"/>
        <w:tabs>
          <w:tab w:leader="none" w:pos="1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successfully compete with other companies that are currently in, or may in the future enter, the markets in which we compete, and respond to developments from these competitors such as pricing changes and the introduction of new services;</w:t>
      </w:r>
    </w:p>
    <w:p>
      <w:pPr>
        <w:spacing w:after="0" w:line="54" w:lineRule="exact"/>
        <w:rPr>
          <w:rFonts w:ascii="Arial" w:cs="Arial" w:eastAsia="Arial" w:hAnsi="Arial"/>
          <w:sz w:val="16"/>
          <w:szCs w:val="16"/>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hire, integrate, and retain talented sales, customer service, engineering, and other personnel;</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comply with existing and new laws and regulations applicable to our business;</w:t>
      </w:r>
    </w:p>
    <w:p>
      <w:pPr>
        <w:spacing w:after="0" w:line="121" w:lineRule="exact"/>
        <w:rPr>
          <w:rFonts w:ascii="Arial" w:cs="Arial" w:eastAsia="Arial" w:hAnsi="Arial"/>
          <w:sz w:val="17"/>
          <w:szCs w:val="17"/>
          <w:color w:val="auto"/>
        </w:rPr>
      </w:pPr>
    </w:p>
    <w:p>
      <w:pPr>
        <w:ind w:left="1360" w:right="20" w:hanging="396"/>
        <w:spacing w:after="0" w:line="272"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successfully expand in existing markets and enter new markets, including new geographies, adjacent retail categories, and new fulfillment models;</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the adoption of our Instacart+ membership program to drive increased customer engagement;</w:t>
      </w:r>
    </w:p>
    <w:p>
      <w:pPr>
        <w:spacing w:after="0" w:line="121" w:lineRule="exact"/>
        <w:rPr>
          <w:rFonts w:ascii="Arial" w:cs="Arial" w:eastAsia="Arial" w:hAnsi="Arial"/>
          <w:sz w:val="17"/>
          <w:szCs w:val="17"/>
          <w:color w:val="auto"/>
        </w:rPr>
      </w:pPr>
    </w:p>
    <w:p>
      <w:pPr>
        <w:ind w:left="1360" w:right="40" w:hanging="396"/>
        <w:spacing w:after="0" w:line="272"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successfully launch new offerings and enhance Instacart and its features and use cases, including in response to new trends or competitive dynamics or the needs of customers, retailers, brands, and shoppers;</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the revenue generated by our Instacart Ads offerings;</w:t>
      </w:r>
    </w:p>
    <w:p>
      <w:pPr>
        <w:spacing w:after="0" w:line="121" w:lineRule="exact"/>
        <w:rPr>
          <w:rFonts w:ascii="Arial" w:cs="Arial" w:eastAsia="Arial" w:hAnsi="Arial"/>
          <w:sz w:val="17"/>
          <w:szCs w:val="17"/>
          <w:color w:val="auto"/>
        </w:rPr>
      </w:pPr>
    </w:p>
    <w:p>
      <w:pPr>
        <w:ind w:left="1360" w:right="460" w:hanging="396"/>
        <w:spacing w:after="0" w:line="272"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successfully identify and acquire or invest in businesses, products, or technologies that we believe could complement or expand our offerings;</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avoid interruptions or disruptions in our services;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provide customers, retailers, and shoppers with high-quality support that meets their needs;</w:t>
      </w:r>
    </w:p>
    <w:p>
      <w:pPr>
        <w:spacing w:after="0" w:line="121" w:lineRule="exact"/>
        <w:rPr>
          <w:rFonts w:ascii="Arial" w:cs="Arial" w:eastAsia="Arial" w:hAnsi="Arial"/>
          <w:sz w:val="17"/>
          <w:szCs w:val="17"/>
          <w:color w:val="auto"/>
        </w:rPr>
      </w:pPr>
    </w:p>
    <w:p>
      <w:pPr>
        <w:jc w:val="both"/>
        <w:ind w:left="1360" w:right="40" w:hanging="396"/>
        <w:spacing w:after="0" w:line="260"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effectively manage growth of our infrastructure, personnel, and operations, particularly if our workforce becomes increasingly distributed as we implement a hybrid workforce model, which we refer to as our Flex First workforce model, that permits employees to elect to work remotely on an indefinite basis;</w:t>
      </w:r>
    </w:p>
    <w:p>
      <w:pPr>
        <w:spacing w:after="0" w:line="86"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effectively manage our costs related to our fulfillment methods; and</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maintain and enhance our reputation and the value of our brand.</w:t>
      </w:r>
    </w:p>
    <w:p>
      <w:pPr>
        <w:spacing w:after="0" w:line="210"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As a result, you should not rely on our GTV, revenue growth rate, or other key business metrics for any prior quarterly or annual period as an indication of our future performance.</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We also expect to continue to expend substantial financial and other resources to grow our business, and we may fail to allocate our resources in a manner that results in increased GTV or revenue growth or improved</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720"/>
          </w:cols>
          <w:pgMar w:left="320" w:top="440" w:right="8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56" w:lineRule="auto"/>
        <w:rPr>
          <w:sz w:val="20"/>
          <w:szCs w:val="20"/>
          <w:color w:val="auto"/>
        </w:rPr>
      </w:pPr>
      <w:r>
        <w:rPr>
          <w:rFonts w:ascii="Arial" w:cs="Arial" w:eastAsia="Arial" w:hAnsi="Arial"/>
          <w:sz w:val="17"/>
          <w:szCs w:val="17"/>
          <w:color w:val="auto"/>
        </w:rPr>
        <w:t>margin. In addition, the effectiveness of certain strategies that we have historically relied upon to drive growth in GTV and revenue, such as through attracting new retailers to our platform, have declined and may continue to decline as the scale of our business increases. If our GTV or revenue growth rates decline or our margin is negatively impacted, investors’ perceptions of our business and the trading price of our common stock could be adversely affected.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a history of losses, and we may be unable to sustain profitability or generate profitable growth in the future.</w:t>
      </w:r>
    </w:p>
    <w:p>
      <w:pPr>
        <w:spacing w:after="0" w:line="108" w:lineRule="exact"/>
        <w:rPr>
          <w:sz w:val="20"/>
          <w:szCs w:val="20"/>
          <w:color w:val="auto"/>
        </w:rPr>
      </w:pPr>
    </w:p>
    <w:p>
      <w:pPr>
        <w:ind w:left="460" w:right="20" w:firstLine="413"/>
        <w:spacing w:after="0" w:line="301" w:lineRule="auto"/>
        <w:rPr>
          <w:sz w:val="20"/>
          <w:szCs w:val="20"/>
          <w:color w:val="auto"/>
        </w:rPr>
      </w:pPr>
      <w:r>
        <w:rPr>
          <w:rFonts w:ascii="Arial" w:cs="Arial" w:eastAsia="Arial" w:hAnsi="Arial"/>
          <w:sz w:val="15"/>
          <w:szCs w:val="15"/>
          <w:color w:val="auto"/>
        </w:rPr>
        <w:t>We only recently began generating profit, with net income of $428 million for the year ended December 31, 2022 (including a $358 million benefit from the release of our valuation allowance on our deferred tax assets in the United States), and we have historically experienced significant net losses, including net losses of $70 million and $73 million for the years ended December 31, 2020 and 2021, respectively. As of December 31, 2022, we had an accumulated deficit of $977 million. We will need to sustain or increase revenue while managing our costs to sustain or increase profitability.</w:t>
      </w:r>
    </w:p>
    <w:p>
      <w:pPr>
        <w:spacing w:after="0" w:line="148" w:lineRule="exact"/>
        <w:rPr>
          <w:sz w:val="20"/>
          <w:szCs w:val="20"/>
          <w:color w:val="auto"/>
        </w:rPr>
      </w:pPr>
    </w:p>
    <w:p>
      <w:pPr>
        <w:ind w:left="460" w:right="40" w:firstLine="413"/>
        <w:spacing w:after="0" w:line="268" w:lineRule="auto"/>
        <w:rPr>
          <w:sz w:val="20"/>
          <w:szCs w:val="20"/>
          <w:color w:val="auto"/>
        </w:rPr>
      </w:pPr>
      <w:r>
        <w:rPr>
          <w:rFonts w:ascii="Arial" w:cs="Arial" w:eastAsia="Arial" w:hAnsi="Arial"/>
          <w:sz w:val="16"/>
          <w:szCs w:val="16"/>
          <w:color w:val="auto"/>
        </w:rPr>
        <w:t>Our ability to generate profit is highly impacted by growth in our diversified revenue streams and our ability to drive operational efficiencies in our business. For example, an important driver of our ability to sustain and increase profitability is the growth of our advertising solutions, the pace of which has fluctuated and may continue to fluctuate, including due to the adverse effects of unfavorable macroeconomic conditions, our ability to increase the number of brand partners and effectiveness of our advertising solutions and expand our brand partners’ engagement and advertising volume on Instacart, and our ability to increase our engagement with existing customers and acquire new customers. Our efforts to maintain and increase our profitability may not succeed due to factors such as evolving consumer behavior trends in grocery shopping, including as the effects of the COVID-19 pandemic on demand for online grocery subside, the impacts of future public health outbreaks, customer engagement and retention, changes in our revenue mix, the costs associated with complying with evolving regulatory regimes, including costs associated with order fulfillment, our ability to hire and retain highly skilled personnel, unfavorable macroeconomic conditions, our ability to effectively scale our operations, and the continuing evolution of the online grocery industry, many of which are beyond our control.</w:t>
      </w:r>
    </w:p>
    <w:p>
      <w:pPr>
        <w:spacing w:after="0" w:line="174"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Our ability to generate profit also depends on our ability to manage our costs. We have expended and expect to continue to expend substantial financial and other resources to:</w:t>
      </w:r>
    </w:p>
    <w:p>
      <w:pPr>
        <w:spacing w:after="0" w:line="190" w:lineRule="exact"/>
        <w:rPr>
          <w:sz w:val="20"/>
          <w:szCs w:val="20"/>
          <w:color w:val="auto"/>
        </w:rPr>
      </w:pPr>
    </w:p>
    <w:p>
      <w:pPr>
        <w:ind w:left="1360" w:hanging="396"/>
        <w:spacing w:after="0"/>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increase the engagement of customers, retailers, brands, and shoppers;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drive adoption of Instacart through marketing and incentives and increase awareness through brand campaigns;</w:t>
      </w:r>
    </w:p>
    <w:p>
      <w:pPr>
        <w:spacing w:after="0" w:line="121" w:lineRule="exact"/>
        <w:rPr>
          <w:rFonts w:ascii="Arial" w:cs="Arial" w:eastAsia="Arial" w:hAnsi="Arial"/>
          <w:sz w:val="17"/>
          <w:szCs w:val="17"/>
          <w:color w:val="auto"/>
        </w:rPr>
      </w:pPr>
    </w:p>
    <w:p>
      <w:pPr>
        <w:ind w:left="1360" w:right="220" w:hanging="396"/>
        <w:spacing w:after="0" w:line="272" w:lineRule="auto"/>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enhance Instacart with new offerings, use cases, including Instacart Health and Instacart Business, fulfillment options, and functionality, including through strategic investments and expanded technologies, such as Connected Stores; and</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invest in our operations to continue scaling our business to achieve and sustain long-term efficiencies.</w:t>
      </w:r>
    </w:p>
    <w:p>
      <w:pPr>
        <w:spacing w:after="0" w:line="210"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our efforts to increase revenue and manage operating costs are new and unproven given the unique and evolving complexities of our business and the evolving nature of the online grocery industry. Any failure to adequately increase revenue or manage operating costs could prevent us from sustaining or increasing profitability. Expansion of our offerings to include new use cases, additional technologies, fulfillment options, additional geographic markets, or retail categories adjacent to grocery, may initially harm our profitability. For example, we may make concessions to retailers that are designed to maximize profitability in the long term but may decrease profitability in the short term. We may also incur higher operating</w:t>
      </w:r>
    </w:p>
    <w:p>
      <w:pPr>
        <w:spacing w:after="0" w:line="9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80"/>
          </w:cols>
          <w:pgMar w:left="320" w:top="440" w:right="79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93" w:lineRule="auto"/>
        <w:rPr>
          <w:sz w:val="20"/>
          <w:szCs w:val="20"/>
          <w:color w:val="auto"/>
        </w:rPr>
      </w:pPr>
      <w:r>
        <w:rPr>
          <w:rFonts w:ascii="Arial" w:cs="Arial" w:eastAsia="Arial" w:hAnsi="Arial"/>
          <w:sz w:val="15"/>
          <w:szCs w:val="15"/>
          <w:color w:val="auto"/>
        </w:rPr>
        <w:t>expenses as we implement strategic initiatives, including in response to external pressures such as competition, retailer consolidation, and evolving consumer behavior trends in grocery shopping, including as a result of the subsiding effects of the COVID-19 pandemic. For example, our sales and marketing expenses as well as customer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will also face greater compliance costs associated with the increased scope of our business and being a public company.</w:t>
      </w:r>
    </w:p>
    <w:p>
      <w:pPr>
        <w:spacing w:after="0" w:line="155" w:lineRule="exact"/>
        <w:rPr>
          <w:sz w:val="20"/>
          <w:szCs w:val="20"/>
          <w:color w:val="auto"/>
        </w:rPr>
      </w:pPr>
    </w:p>
    <w:p>
      <w:pPr>
        <w:jc w:val="both"/>
        <w:ind w:left="460" w:right="240" w:firstLine="413"/>
        <w:spacing w:after="0" w:line="287" w:lineRule="auto"/>
        <w:rPr>
          <w:sz w:val="20"/>
          <w:szCs w:val="20"/>
          <w:color w:val="auto"/>
        </w:rPr>
      </w:pPr>
      <w:r>
        <w:rPr>
          <w:rFonts w:ascii="Arial" w:cs="Arial" w:eastAsia="Arial" w:hAnsi="Arial"/>
          <w:sz w:val="15"/>
          <w:szCs w:val="15"/>
          <w:color w:val="auto"/>
        </w:rPr>
        <w:t>Following the completion of this offering, the stock-based compensation expense related to our RSUs and other outstanding equity awards will result in significant increases in our expenses in future periods, which we expect to result in net losses in certain quarters over the near term and may negatively impact our ability to sustain profitability or generate profitable growth in the future. In particular, we will recognize approximately $</w:t>
      </w:r>
    </w:p>
    <w:p>
      <w:pPr>
        <w:spacing w:after="0" w:line="1" w:lineRule="exact"/>
        <w:rPr>
          <w:sz w:val="20"/>
          <w:szCs w:val="20"/>
          <w:color w:val="auto"/>
        </w:rPr>
      </w:pPr>
    </w:p>
    <w:p>
      <w:pPr>
        <w:ind w:left="460" w:right="100"/>
        <w:spacing w:after="0" w:line="276" w:lineRule="auto"/>
        <w:rPr>
          <w:sz w:val="20"/>
          <w:szCs w:val="20"/>
          <w:color w:val="auto"/>
        </w:rPr>
      </w:pPr>
      <w:r>
        <w:rPr>
          <w:rFonts w:ascii="Arial" w:cs="Arial" w:eastAsia="Arial" w:hAnsi="Arial"/>
          <w:sz w:val="16"/>
          <w:szCs w:val="16"/>
          <w:color w:val="auto"/>
        </w:rPr>
        <w:t>of stock-based compensation expense associated with the satisfaction of the liquidity event-based vesting condition for outstanding RSUs and shares of outstanding restricted stock in the quarter in which this offering is completed. As such, we expect to incur a net loss for the quarter and year in which this offering is completed, primarily as a result of recognition of this stock-based compensation amount.</w:t>
      </w:r>
    </w:p>
    <w:p>
      <w:pPr>
        <w:spacing w:after="0" w:line="164"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We may encounter unforeseen operating expenses, difficulties, complications, delays, and other factors, including as we expand our business, execute on strategic initiatives, and navigate macroeconomic uncertainty and any future public health concerns or outbreaks, which may result in losses or a failure to generate profitable growth in future periods.</w:t>
      </w:r>
    </w:p>
    <w:p>
      <w:pPr>
        <w:spacing w:after="0" w:line="175"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As such, due to these factors and others described in this “Risk Factors” section, we may not be able to sustain profitability or generate profitable growth in the future. If we are unable to sustain or increase profitability, the value of our business and the trading price of our common stock may be negatively impacted.</w:t>
      </w:r>
    </w:p>
    <w:p>
      <w:pPr>
        <w:spacing w:after="0" w:line="276" w:lineRule="exact"/>
        <w:rPr>
          <w:sz w:val="20"/>
          <w:szCs w:val="20"/>
          <w:color w:val="auto"/>
        </w:rPr>
      </w:pPr>
    </w:p>
    <w:p>
      <w:pPr>
        <w:ind w:left="460" w:right="20"/>
        <w:spacing w:after="0" w:line="260" w:lineRule="auto"/>
        <w:rPr>
          <w:sz w:val="20"/>
          <w:szCs w:val="20"/>
          <w:color w:val="auto"/>
        </w:rPr>
      </w:pPr>
      <w:r>
        <w:rPr>
          <w:rFonts w:ascii="Arial" w:cs="Arial" w:eastAsia="Arial" w:hAnsi="Arial"/>
          <w:sz w:val="17"/>
          <w:szCs w:val="17"/>
          <w:b w:val="1"/>
          <w:bCs w:val="1"/>
          <w:i w:val="1"/>
          <w:iCs w:val="1"/>
          <w:color w:val="auto"/>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spacing w:after="0" w:line="74"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We significantly scaled and expanded our business and operations in 2020, 2021, and the first half of 2022, largely in response to the effects of the COVID-19 pandemic, which has led to unprecedented usage of our offerings from new and existing customers and significant changes to the online grocery industry. Accordingly, we have limited experience in, and data and results from, operating our business at its current scale, scope, and complexity and in a rapidly evolving market and economic environment. We also have limited data from, and experience operating our business in, a post-COVID-19 environment and cannot fully predict how businesses, consumers, shoppers, or our partners, including retailers and advertisers, will operate in this environment.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In particular, we face risks and challenges relating to our ability to, among other things:</w:t>
      </w:r>
    </w:p>
    <w:p>
      <w:pPr>
        <w:spacing w:after="0" w:line="82" w:lineRule="exact"/>
        <w:rPr>
          <w:sz w:val="20"/>
          <w:szCs w:val="20"/>
          <w:color w:val="auto"/>
        </w:rPr>
      </w:pPr>
    </w:p>
    <w:p>
      <w:pPr>
        <w:ind w:left="1360" w:hanging="396"/>
        <w:spacing w:after="0"/>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accurately forecast our revenue and budget for and manage our expenses;</w:t>
      </w:r>
    </w:p>
    <w:p>
      <w:pPr>
        <w:spacing w:after="0" w:line="121" w:lineRule="exact"/>
        <w:rPr>
          <w:rFonts w:ascii="Arial" w:cs="Arial" w:eastAsia="Arial" w:hAnsi="Arial"/>
          <w:sz w:val="17"/>
          <w:szCs w:val="17"/>
          <w:color w:val="auto"/>
        </w:rPr>
      </w:pPr>
    </w:p>
    <w:p>
      <w:pPr>
        <w:ind w:left="1360" w:right="240" w:hanging="396"/>
        <w:spacing w:after="0" w:line="272" w:lineRule="auto"/>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attract new customers, retailers, brands, and shoppers and retain or increase the engagement of existing customers, retailers, brands, and shoppers in a cost-effective manner;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comply with existing and new laws and regulations applicable to our business;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plan for and manage capital expenditures;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anticipate and respond to macroeconomic changes and changes in the markets in which we operate;</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maintain and enhance the value of our reputation and brand;</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80"/>
          </w:cols>
          <w:pgMar w:left="320" w:top="440" w:right="79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396"/>
        <w:spacing w:after="0"/>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effectively manage our growth as the market for online grocery shopping continues to evolve;</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successfully expand our geographic reach;</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hire, integrate, and retain talented people at all levels of our organization; and</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successfully maintain and enhance Instacart and our technology infrastructure for customers, retailers, brands, and shoppers.</w:t>
      </w:r>
    </w:p>
    <w:p>
      <w:pPr>
        <w:spacing w:after="0" w:line="221" w:lineRule="exact"/>
        <w:rPr>
          <w:sz w:val="20"/>
          <w:szCs w:val="20"/>
          <w:color w:val="auto"/>
        </w:rPr>
      </w:pPr>
    </w:p>
    <w:p>
      <w:pPr>
        <w:ind w:left="460" w:right="40" w:firstLine="413"/>
        <w:spacing w:after="0" w:line="286" w:lineRule="auto"/>
        <w:rPr>
          <w:sz w:val="20"/>
          <w:szCs w:val="20"/>
          <w:color w:val="auto"/>
        </w:rPr>
      </w:pPr>
      <w:r>
        <w:rPr>
          <w:rFonts w:ascii="Arial" w:cs="Arial" w:eastAsia="Arial" w:hAnsi="Arial"/>
          <w:sz w:val="15"/>
          <w:szCs w:val="15"/>
          <w:color w:val="auto"/>
        </w:rPr>
        <w:t>Any predictions about our future revenue and expenses may not be as accurate as they would be if we had a longer history operating our business at its current scale, scope, and complexity, operated in a more predictable market or regulatory environment, or had more certainty regarding levels of demand for our offerings. We have limited experience operating our business at its current scale but without the demand levels driven by the COVID-19 pandemic and its variant outbreaks, and our future growth will depend heavily on our ability to successfully execute on our strategic initiatives without these factors. For example, as we expanded our business to address increased demand stemming from the COVID-19 pandemic, we introduced new features, use cases (such as convenience and prepared meals), fulfillment options (such as pickup and priority), and functionalities in our offerings, and made strategic investments in new technologies and initiatives, such as Connected Stores. We have also invested heavily in Instacart Ads and grew our number of brand partners. In addition, we have recently invested in new strategic initiatives such as Instacart Health and Instacart Business to expand the scope of our business. Our future growth depends on the perceived value of our expanded offerings as a whole to retailers, customers, shoppers, and brand partners, as well as our ability to balance the effects of various strategic initiatives, including our focus on further scaling our operations to improve our margin and profitability. For example, as we promote Instacart+ to customers to increase customer loyalty and order volume, we may experience lower average order value from such customers. We have limited experience operating this expanded business model and may not be able to accurately predict and plan for the impacts it may have on our growth rates, revenue mix, margin and profitability, as well as outside factors that may impact our business model, such as changes in consumer shopping behavior, retailer preferences, competition, and macroeconomic factors.</w:t>
      </w:r>
    </w:p>
    <w:p>
      <w:pPr>
        <w:spacing w:after="0" w:line="162"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Our limited history and experience operating our current business may also negatively impact our ability to plan strategic investments and initiatives to further expand our business and offerings, including to support our retail partners, brand partners, shoppers, and customers,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and new marketing and consumer awareness strategies.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stresses our ability to plan for operational and strategic initiatives and forecast our future results of operations. We are also devoting significant resources to bolster our capacity and information technology infrastructure, financial and accounting systems and controls, sales and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spacing w:after="0" w:line="171"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We are currently operating in a more volatile macroeconomic environment due to inflation, rising interest rates, instability in the banking system, and other conditions, and we have limited experience operating our business at its current scale in such an environment or in economic recessions. The principal inflationary factors affecting our business are higher prices of products offered by retail partners through Instacart, including due to higher raw material costs, shipping and freight costs, higher fuel prices that are borne by our partners, and reductions in consumer discretionary spending. Higher retailer prices, resulting in increased grocery costs, reduced consumer discretionary spending, and reductions of EBT SNAP benefit allotments offered by government authorities, negatively impact consumer demand for online grocery as consumers return to in-store shopping to save on service and delivery fees and also reduce order frequency, drive lower order volume, and</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780"/>
          </w:cols>
          <w:pgMar w:left="320" w:top="440" w:right="79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85" w:lineRule="auto"/>
        <w:rPr>
          <w:sz w:val="20"/>
          <w:szCs w:val="20"/>
          <w:color w:val="auto"/>
        </w:rPr>
      </w:pPr>
      <w:r>
        <w:rPr>
          <w:rFonts w:ascii="Arial" w:cs="Arial" w:eastAsia="Arial" w:hAnsi="Arial"/>
          <w:sz w:val="15"/>
          <w:szCs w:val="15"/>
          <w:color w:val="auto"/>
        </w:rPr>
        <w:t>impact average order values. As a result, we have experienced and may continue to experience lower GTV and orders as well as impacts to average order values, which negatively impact our revenue and margin. These reductions in consumer spending power may continue to be offset by the increase in GTV and average order values that commenced in the second half of 2022 due to higher grocery prices as a result of inflation, but this offsetting effect may dissipate if and when grocery prices begin to normalize. These factors and the magnitude of their effects are expected to cause our average order value to continue fluctuating over the near term. In addition, actual or perceived worsening of an economic recession has and may continue to result in customers reducing their spend on more premium products, and our brand partners have reduced and may continue to reduce their overall advertising budgets, either of which may harm our revenue and margin. Customers have also reduced and may continue to reduce the number of items purchased overall, which has produced fulfillment efficiencies in the short term but may harm our revenue, margin, and profitability if and when inflationary pressures subside. We may also not be able to fully offset higher costs through operational efficiencies and/or price increases, and while certain of our new offerings are focused on value and affordability, these initiatives will not fully offset pricing challenges faced by customers and general negative impacts of inflationary pressures.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customer incentives or refunds due to shopper delays or incorrect orders, which have historically occurred and reduce our revenue and profitability. An economic recession may exacerbate any of these factors and introduce new challenges to our business, which we may not be able to adequately anticipate and plan given our limited experience operating our business at its current scale. Certain of our longer-term strategic initiatives may also be obstructed or have unintended effects in the event of an economic recession, which we may not be able to predict.</w:t>
      </w:r>
    </w:p>
    <w:p>
      <w:pPr>
        <w:spacing w:after="0" w:line="16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You should consider and evaluate our prospects in light of the risks and uncertainties frequently encountered by growing companies in rapidly evolving markets, in particular, markets that are or could be materially impacted by significant regulatory changes, global pandemics, and economic recessions such as the online grocery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scope, and complexity as well as the evolution of our business and the online grocery industry driven by impacts of the COVID-19 pandemic and the subsiding effects of the COVID-19 pandemic on demand for online grocery, or other factors, our results of operations could differ materially from our expectations, and our business, financial condition, and results of operations could be adversely affected.</w:t>
      </w:r>
    </w:p>
    <w:p>
      <w:pPr>
        <w:spacing w:after="0" w:line="275"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b w:val="1"/>
          <w:bCs w:val="1"/>
          <w:i w:val="1"/>
          <w:iCs w:val="1"/>
          <w:color w:val="auto"/>
        </w:rPr>
        <w:t>If we fail to cost-effectively acquire new customers or increase the engagement of our existing customers, including through effective marketing strategies, our business would be harmed.</w:t>
      </w:r>
    </w:p>
    <w:p>
      <w:pPr>
        <w:spacing w:after="0" w:line="63"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 customers and their level of engagement on Instacart may decline materially or fluctuate as a result of many factors, including, among other things:</w:t>
      </w:r>
    </w:p>
    <w:p>
      <w:pPr>
        <w:spacing w:after="0" w:line="90" w:lineRule="exact"/>
        <w:rPr>
          <w:sz w:val="20"/>
          <w:szCs w:val="20"/>
          <w:color w:val="auto"/>
        </w:rPr>
      </w:pPr>
    </w:p>
    <w:p>
      <w:pPr>
        <w:ind w:left="1360" w:hanging="396"/>
        <w:spacing w:after="0"/>
        <w:tabs>
          <w:tab w:leader="none" w:pos="1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dissatisfaction with the operation of, or pricing on, Instacart, including our customer support services;</w:t>
      </w:r>
    </w:p>
    <w:p>
      <w:pPr>
        <w:spacing w:after="0" w:line="121" w:lineRule="exact"/>
        <w:rPr>
          <w:rFonts w:ascii="Arial" w:cs="Arial" w:eastAsia="Arial" w:hAnsi="Arial"/>
          <w:sz w:val="17"/>
          <w:szCs w:val="17"/>
          <w:color w:val="auto"/>
        </w:rPr>
      </w:pPr>
    </w:p>
    <w:p>
      <w:pPr>
        <w:ind w:left="1360" w:right="160" w:hanging="396"/>
        <w:spacing w:after="0" w:line="260" w:lineRule="auto"/>
        <w:tabs>
          <w:tab w:leader="none" w:pos="1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actual or perceived quality of service provided by shoppers, such as picking the wrong item, making a poor substitution for out-of-stock items, failing to deliver items on a timely basis or at all, or customers having negative experiences in their interactions with shoppers, particularly during demand surges;</w:t>
      </w:r>
    </w:p>
    <w:p>
      <w:pPr>
        <w:spacing w:after="0" w:line="86" w:lineRule="exact"/>
        <w:rPr>
          <w:rFonts w:ascii="Arial" w:cs="Arial" w:eastAsia="Arial" w:hAnsi="Arial"/>
          <w:sz w:val="17"/>
          <w:szCs w:val="17"/>
          <w:color w:val="auto"/>
        </w:rPr>
      </w:pPr>
    </w:p>
    <w:p>
      <w:pPr>
        <w:ind w:left="1360" w:right="20" w:hanging="396"/>
        <w:spacing w:after="0" w:line="272" w:lineRule="auto"/>
        <w:tabs>
          <w:tab w:leader="none" w:pos="1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macroeconomic uncertainty, inflation, rising interest rates, supply chain challenges, cessation of government stimulus available during the COVID-19 pandemic, and actual or perceived risk of economic recession;</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 of using Instacart, including customer fees, compared to in-store shopping or other alternatives;</w:t>
      </w:r>
    </w:p>
    <w:p>
      <w:pPr>
        <w:spacing w:after="0" w:line="14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20"/>
          </w:cols>
          <w:pgMar w:left="320" w:top="440" w:right="8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396"/>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actual or perceived quality of service, quality, pricing, and availability of products provided by retailers;</w:t>
      </w:r>
    </w:p>
    <w:p>
      <w:pPr>
        <w:spacing w:after="0" w:line="121" w:lineRule="exact"/>
        <w:rPr>
          <w:rFonts w:ascii="Arial" w:cs="Arial" w:eastAsia="Arial" w:hAnsi="Arial"/>
          <w:sz w:val="17"/>
          <w:szCs w:val="17"/>
          <w:color w:val="auto"/>
        </w:rPr>
      </w:pPr>
    </w:p>
    <w:p>
      <w:pPr>
        <w:ind w:left="1360" w:hanging="396"/>
        <w:spacing w:after="0" w:line="272"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breadth and variety of retailers that are available to customers on Instacart, including retailers with whom we have a limited or informal arrangement for availability on Instacart;</w:t>
      </w:r>
    </w:p>
    <w:p>
      <w:pPr>
        <w:spacing w:after="0" w:line="76" w:lineRule="exact"/>
        <w:rPr>
          <w:rFonts w:ascii="Arial" w:cs="Arial" w:eastAsia="Arial" w:hAnsi="Arial"/>
          <w:sz w:val="17"/>
          <w:szCs w:val="17"/>
          <w:color w:val="auto"/>
        </w:rPr>
      </w:pPr>
    </w:p>
    <w:p>
      <w:pPr>
        <w:ind w:left="1360" w:right="80" w:hanging="396"/>
        <w:spacing w:after="0" w:line="272"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future public health outbreaks, or a future outbreak of disease or similar public health concern, as well as a return to pre-COVID shopping behavior;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negative publicity related to our brand, including as a result of safety incidents and other events;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actual or perceived public policy positions;</w:t>
      </w:r>
    </w:p>
    <w:p>
      <w:pPr>
        <w:spacing w:after="0" w:line="121" w:lineRule="exact"/>
        <w:rPr>
          <w:rFonts w:ascii="Arial" w:cs="Arial" w:eastAsia="Arial" w:hAnsi="Arial"/>
          <w:sz w:val="17"/>
          <w:szCs w:val="17"/>
          <w:color w:val="auto"/>
        </w:rPr>
      </w:pPr>
    </w:p>
    <w:p>
      <w:pPr>
        <w:ind w:left="1360" w:right="80" w:hanging="396"/>
        <w:spacing w:after="0" w:line="272"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failure to maintain good relationships with shoppers resulting in fewer shoppers available for customers, particularly during peak demand; or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dissatisfaction with the user experience on our platform, new and current offerings, or changes we make to our offerings.</w:t>
      </w:r>
    </w:p>
    <w:p>
      <w:pPr>
        <w:spacing w:after="0" w:line="210"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recently experienced and may continue to experience decreases in new customer acquisition rates and customer cohort retention, particularly among our customer cohorts acquired during the COVID-19 pandemic and variant outbreaks. These decreases are due to a variety of factors, including, to a large extent, the subsiding impact of the COVID-19 pandemic and variant outbreaks on demand for online grocery as well as macroeconomic uncertainty, actual or perceived risks of economic recession, cessation of government stimulus, and inflation. Other factors may include the increasing initial size of our customer cohorts as our business scales and the increasing demographic diversity of our customer base. As a result, we have increased and may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our marketing efforts, we may not be able to retain our existing customers or convert first-time customers, including those using customer incentives such as discount promotions, into customers who regularly use and engage with our offerings. We may also fail to achieve or maintain sufficient customer engagement with our platform due to inflationary or recessionary economic pressures that result in decreases in consumer discretionary income, particularly as government stimulus provided in connection with the pandemic ends, as well as other shifts in consumer shopping behaviors. As the effects of the COVID-19 pandemic and its variants subside, including the cessation of government stimulus, it is increasingly important to our business and its ability to grow for consumers to perceive long-term value from Instacart versus in-store shopping or less costly alternatives, particularly for lower income consumers. Further, we may not be able to accurately assess the effectiveness of our marketing campaigns and strategies in acquiring new customers or increasing existing customer engagement for several periods. The effectiveness of our marketing strategies may also be obfuscated due to temporary or periodic external factors, such as future public health outbreaks, macroeconomic factors, and changes in the regulatory landscape. Further, we have limited experience designing and conducting large scale brand marketing campaigns and consumer awareness strategies in the context of the evolving online grocery industry and competitive landscape and shifting consumer preferences. Failure to effectively design and conduct such campaigns and strategies may negatively impact our ability to acquire new customers and increase engagement with existing customers, which would harm our revenue growth and business. Even if we are successful in attracting new customers or reengaging customers that have stopped using Instacart, such customers may have overall decreased engagement with Instacart or total spend, including due to macroeconomic factors such as higher inflation, a shift toward lower GTV or margin use cases such as convenience or pickup orders, and the subsiding effects of the COVID-19 pandemic.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value over convenience or selection. If we do not successfully address the current and future needs of</w:t>
      </w:r>
    </w:p>
    <w:p>
      <w:pPr>
        <w:spacing w:after="0" w:line="3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780"/>
          </w:cols>
          <w:pgMar w:left="320" w:top="440" w:right="79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20"/>
        <w:spacing w:after="0" w:line="256" w:lineRule="auto"/>
        <w:rPr>
          <w:sz w:val="20"/>
          <w:szCs w:val="20"/>
          <w:color w:val="auto"/>
        </w:rPr>
      </w:pPr>
      <w:r>
        <w:rPr>
          <w:rFonts w:ascii="Arial" w:cs="Arial" w:eastAsia="Arial" w:hAnsi="Arial"/>
          <w:sz w:val="17"/>
          <w:szCs w:val="17"/>
          <w:color w:val="auto"/>
        </w:rPr>
        <w:t>consumers in different demographics, primarily certain age and income groups, including through brand marketing campaigns and introduction and promotion of relevant use cases, features, fulfillment options, and other functionalities, we may be unable to attract new customers or increase engagement with existing customers. In addition, we may also experience increased customer churn, including to competitors, which would harm our business and revenue.</w:t>
      </w:r>
    </w:p>
    <w:p>
      <w:pPr>
        <w:spacing w:after="0" w:line="179" w:lineRule="exact"/>
        <w:rPr>
          <w:sz w:val="20"/>
          <w:szCs w:val="20"/>
          <w:color w:val="auto"/>
        </w:rPr>
      </w:pPr>
    </w:p>
    <w:p>
      <w:pPr>
        <w:ind w:left="460" w:right="80" w:firstLine="413"/>
        <w:spacing w:after="0" w:line="285" w:lineRule="auto"/>
        <w:rPr>
          <w:sz w:val="20"/>
          <w:szCs w:val="20"/>
          <w:color w:val="auto"/>
        </w:rPr>
      </w:pPr>
      <w:r>
        <w:rPr>
          <w:rFonts w:ascii="Arial" w:cs="Arial" w:eastAsia="Arial" w:hAnsi="Arial"/>
          <w:sz w:val="15"/>
          <w:szCs w:val="15"/>
          <w:color w:val="auto"/>
        </w:rPr>
        <w:t>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may be lower intent users of Instacart with reduced engagement or total spend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 options, may result in negative impacts to other metrics. For example, an increase in Instacart+ orders, changes in product categories shopped, reduced spend on more premium or discretionary products, or a shift toward convenience, priority, or rapid delivery orders, may result in a decrease in average order value. Such shifts may also negatively impact certain retailers’ actual or perceived benefit from engaging with Instacart. We may also fail to retain customers, or experience reduced demand for our services, due to negative impacts to our reputation and brand, including due to complaints and negative publicity about us, our offerings, or our competitors, even if factually incorrect or based on isolated incidents. For example, if we are unable to increase shopper availability during demand surges, including due to inclement weather or future public health outbreaks, customers may experience delays in receiving orders or incorrect order fulfillment, which may harm our brand and reputation. In addition, inventory shortages at our retail partners’ stores, which are not within our control, may also negatively impact consumers’ perception of our offerings. In particular, disruptions in the global supply chain, including those resulting from labor shortages, closures of manufacturing facilities, transportation restrictions and limitations, war and international conflicts, and increased demand for certain consumer products, have limited, and may continue to limit, the ability of our retail partners to obtain products, maintain stock of such products in a timely and cost-efficient manner, and otherwise respond to consumer demands. Although we do not carry product inventory, and as a result, we are not directly impacted by supply chain disruptions, product shortages have resulted in, and may continue to result in, higher rates of out-of-stock items and delivery delays by our shoppers, which have resulted in, and may continue to result in, more customer cancellations and redeliveries and overall customer dissatisfaction.</w:t>
      </w:r>
    </w:p>
    <w:p>
      <w:pPr>
        <w:spacing w:after="0" w:line="363"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regularly provide potentially dissatisfied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GTV, orders,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 partners as well as our ability to attract new retailer and brand partners. Past and future increases in the fees that we charge our customers may also reduce overall engagement by our customers or negatively impact new customer acquisition. If we are not able to continue to expand our customer base or fail to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80"/>
          </w:cols>
          <w:pgMar w:left="320" w:top="440" w:right="79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0"/>
        <w:spacing w:after="0" w:line="272" w:lineRule="auto"/>
        <w:rPr>
          <w:sz w:val="20"/>
          <w:szCs w:val="20"/>
          <w:color w:val="auto"/>
        </w:rPr>
      </w:pPr>
      <w:r>
        <w:rPr>
          <w:rFonts w:ascii="Arial" w:cs="Arial" w:eastAsia="Arial" w:hAnsi="Arial"/>
          <w:sz w:val="17"/>
          <w:szCs w:val="17"/>
          <w:b w:val="1"/>
          <w:bCs w:val="1"/>
          <w:i w:val="1"/>
          <w:iCs w:val="1"/>
          <w:color w:val="auto"/>
        </w:rPr>
        <w:t>The success of our business is dependent on our relationships with retailers. The loss of one or more of our retail partners or reduction in their engagement with Instacart could harm our business.</w:t>
      </w:r>
    </w:p>
    <w:p>
      <w:pPr>
        <w:spacing w:after="0" w:line="63" w:lineRule="exact"/>
        <w:rPr>
          <w:sz w:val="20"/>
          <w:szCs w:val="20"/>
          <w:color w:val="auto"/>
        </w:rPr>
      </w:pPr>
    </w:p>
    <w:p>
      <w:pPr>
        <w:jc w:val="both"/>
        <w:ind w:left="460" w:firstLine="413"/>
        <w:spacing w:after="0" w:line="256" w:lineRule="auto"/>
        <w:rPr>
          <w:sz w:val="20"/>
          <w:szCs w:val="20"/>
          <w:color w:val="auto"/>
        </w:rPr>
      </w:pPr>
      <w:r>
        <w:rPr>
          <w:rFonts w:ascii="Arial" w:cs="Arial" w:eastAsia="Arial" w:hAnsi="Arial"/>
          <w:sz w:val="17"/>
          <w:szCs w:val="17"/>
          <w:color w:val="auto"/>
        </w:rPr>
        <w:t>In order to attract and expand our relationships with consumers, brands, and shoppers, we must attract new retailers and maintain our relationships with existing retailers. Consumers have strong preferences for their favorite retailers due to the trust these brands have created over generations, and our ability to increase consumer and brand adoption of Instacart depends on our ability to maintain our retail partners and maintain or increase their adoption of our offerings.</w:t>
      </w:r>
    </w:p>
    <w:p>
      <w:pPr>
        <w:spacing w:after="0" w:line="179"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5"/>
          <w:szCs w:val="15"/>
          <w:color w:val="auto"/>
        </w:rPr>
        <w:t>Our ability to attract and retain retailers depends on our ability to generate revenue for them. Retailers will not continue to do business with us if they do not believe that joining and engaging with Instacart will generate a competitive return relative to other alternatives, including from our competitors. Retailers have in the past chosen, and could continue to 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which may not be within our control or whose impacts are difficult to predict. In particular, the COVID-19 pandemic, and related macroeconomic effects such as supply shortages and inflation, resulted in fluctuations in consumer shopping behaviors and preferences. For example, decreases in consumer discretionary income due to inflationary or recessionary economic pressures, as well as the cessation of government stimulus available during the COVID-19 pandemic, have impacted and may continue to impact average order values, have resulted in and may continue to result in decreased customer retention and engagement, and have reduced and may continue to reduce demand for premium or discretionary grocery purchases, which in each case may provide for less favorable economics for certain of our retail partners, including if we determine to increase fees as a result. An increase in retailer operating costs, or other deterioration in the financial condition of retailers, whether due to macroeconomics conditions (such as inflation) or otherwise, could cause retailers to raise prices, renegotiate contract terms, or cease operations, which we expect may influence our retailer fee terms. Further, as we expand our own offerings, changes in the mix of consumer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spacing w:after="0" w:line="171"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We enter into services agreements with our retail partners that provide for service fees in exchange for providing access to our technology solution.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may decide to not renew their agreements or ask to modify their agreement terms in a cost-prohibitive or strategically detrimental manner when their agreements are up for renewal, including in the near term, due to factors such as macroeconomic uncertainty, the impact of future public health outbreaks, dissatisfaction with existing or proposed terms in their service agreements, changes in customer shopping behavior and preferences on Instacart and among our use cases, fulfillment options, and other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lower average order values, and other factors.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780"/>
          </w:cols>
          <w:pgMar w:left="320" w:top="440" w:right="79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86" w:lineRule="auto"/>
        <w:rPr>
          <w:sz w:val="20"/>
          <w:szCs w:val="20"/>
          <w:color w:val="auto"/>
        </w:rPr>
      </w:pPr>
      <w:r>
        <w:rPr>
          <w:rFonts w:ascii="Arial" w:cs="Arial" w:eastAsia="Arial" w:hAnsi="Arial"/>
          <w:sz w:val="15"/>
          <w:szCs w:val="15"/>
          <w:color w:val="auto"/>
        </w:rPr>
        <w:t>Retailers have in the past shifted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For example, Whole Foods Market, which was a significant retail partner in 2018, ceased using our services in May 2019 following its acquisition by Amazon.com, which operates its own online grocery platform. Retailers could also experience downturns or fail, including due to macroeconomic pressures, fail to adopt additional offerings or fulfillment methods,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spacing w:after="0" w:line="165"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6"/>
          <w:szCs w:val="16"/>
          <w:color w:val="auto"/>
        </w:rPr>
        <w:t>We currently generate significant revenue and GTV from a small number of retailers. Our top three retailers accounted for approximately 43% of our GTV for the years ended December 31, 2021 and 2022, as well as for the six months ended June 30, 2023. While we expect that the revenue and GTV from our largest retail partners will decrease as a percent of our total revenue and GTV over time as we generate more revenue and GTV from other retailers, we also believe that revenue and GTV from our largest retailers may continue to account for a significant portion of our revenue and GTV for the foreseeable future. If any of these retailers were to suspend, limit, or cease their operations or otherwise terminate their relationships with us, the attractiveness of Instacart to consumers and brands could be materially and adversely affected.</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fail to cost-effectively engage shoppers on Instacart, or attract new shoppers, our business could be harmed.</w:t>
      </w:r>
    </w:p>
    <w:p>
      <w:pPr>
        <w:spacing w:after="0" w:line="108" w:lineRule="exact"/>
        <w:rPr>
          <w:sz w:val="20"/>
          <w:szCs w:val="20"/>
          <w:color w:val="auto"/>
        </w:rPr>
      </w:pPr>
    </w:p>
    <w:p>
      <w:pPr>
        <w:ind w:left="460" w:right="320" w:firstLine="413"/>
        <w:spacing w:after="0" w:line="256" w:lineRule="auto"/>
        <w:rPr>
          <w:sz w:val="20"/>
          <w:szCs w:val="20"/>
          <w:color w:val="auto"/>
        </w:rPr>
      </w:pPr>
      <w:r>
        <w:rPr>
          <w:rFonts w:ascii="Arial" w:cs="Arial" w:eastAsia="Arial" w:hAnsi="Arial"/>
          <w:sz w:val="17"/>
          <w:szCs w:val="17"/>
          <w:color w:val="auto"/>
        </w:rPr>
        <w:t>Shoppers pick and deliver goods to customers on Instacart. We enter into agreements with shoppers for them to provide fulfillment services to customers through Instacart and our 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spacing w:after="0" w:line="179"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If there are not enough shoppers on Instacart, customer orders may be late, may go unfulfilled, or may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(such as smaller order sizes), actual or perceived economic advantages of providing services with other companies that engage independent contractors, including our competitors, our growth objectives and our business and prospects could be seriously harmed.</w:t>
      </w:r>
    </w:p>
    <w:p>
      <w:pPr>
        <w:spacing w:after="0" w:line="174" w:lineRule="exact"/>
        <w:rPr>
          <w:sz w:val="20"/>
          <w:szCs w:val="20"/>
          <w:color w:val="auto"/>
        </w:rPr>
      </w:pPr>
    </w:p>
    <w:p>
      <w:pPr>
        <w:jc w:val="both"/>
        <w:ind w:left="460" w:right="60" w:firstLine="413"/>
        <w:spacing w:after="0" w:line="311" w:lineRule="auto"/>
        <w:rPr>
          <w:sz w:val="20"/>
          <w:szCs w:val="20"/>
          <w:color w:val="auto"/>
        </w:rPr>
      </w:pPr>
      <w:r>
        <w:rPr>
          <w:rFonts w:ascii="Arial" w:cs="Arial" w:eastAsia="Arial" w:hAnsi="Arial"/>
          <w:sz w:val="15"/>
          <w:szCs w:val="15"/>
          <w:color w:val="auto"/>
        </w:rPr>
        <w:t>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shopper incentives, our retail partners, having a poor experience on Instacart, or deciding to pursue other work opportunities. For example, shoppers may prefer</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80"/>
          </w:cols>
          <w:pgMar w:left="320" w:top="440" w:right="79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color w:val="auto"/>
        </w:rPr>
        <w:t>to provide services through other companies that engage independent contractors if these companies provide benefits such as insurance or if shoppers simply prefer other app-based work opportunities, such as passenger transportation or restaurant delivery, for non-economic reasons.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and shoppers choosing not to provide their services through Instacart, and negative press. Any protests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spacing w:after="0" w:line="170"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From time to time, we have experienced, and expect to continue to experience, shopper shortages, often due to factors that are not within our control and which may be difficult to predict. We provide shoppers with significant flexibility in when, where, and how they wish to shop. Shoppers are also permitted to provide services on other app-based platforms. To the extent that we experience shopper shortages, we may need to provide or increase 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as a result of any future public health outbreaks.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another online grocery platform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spacing w:after="0" w:line="163"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required us to, or may in the future require us to, fix minimum levels of compensation and provide certain benefits for shoppers, disclose additional details about orders, prices, and shopper earnings,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may also negatively affect our ability to attract and retain retailers, customers, or shoppers. Even if not costly or time-consuming, such changes could reduce the number of shoppers in those markets or extend the time required to recruit new shoppers to Instacart, which would adversely impact our growth, business, and results of operations.</w:t>
      </w:r>
    </w:p>
    <w:p>
      <w:pPr>
        <w:spacing w:after="0" w:line="170"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Often, we are forced to balance tradeoffs between the satisfaction of various constituents on Instacart, as a change that one category views as positive may be viewed as negative to another category. For example, we take certain measures that 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60"/>
          </w:cols>
          <w:pgMar w:left="320" w:top="440" w:right="8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303" w:lineRule="auto"/>
        <w:rPr>
          <w:sz w:val="20"/>
          <w:szCs w:val="20"/>
          <w:color w:val="auto"/>
        </w:rPr>
      </w:pPr>
      <w:r>
        <w:rPr>
          <w:rFonts w:ascii="Arial" w:cs="Arial" w:eastAsia="Arial" w:hAnsi="Arial"/>
          <w:sz w:val="16"/>
          <w:szCs w:val="16"/>
          <w:color w:val="auto"/>
        </w:rPr>
        <w:t>which may cause frustration with customers and retailers. If we do not adequately balance the tradeoffs among the various constituents on Instacart and continuously assess such tradeoffs in the context of prevailing market and competitive factors, our business may be harmed.</w:t>
      </w:r>
    </w:p>
    <w:p>
      <w:pPr>
        <w:spacing w:after="0" w:line="245" w:lineRule="exact"/>
        <w:rPr>
          <w:sz w:val="20"/>
          <w:szCs w:val="20"/>
          <w:color w:val="auto"/>
        </w:rPr>
      </w:pPr>
    </w:p>
    <w:p>
      <w:pPr>
        <w:ind w:left="460" w:right="140"/>
        <w:spacing w:after="0" w:line="272" w:lineRule="auto"/>
        <w:rPr>
          <w:sz w:val="20"/>
          <w:szCs w:val="20"/>
          <w:color w:val="auto"/>
        </w:rPr>
      </w:pPr>
      <w:r>
        <w:rPr>
          <w:rFonts w:ascii="Arial" w:cs="Arial" w:eastAsia="Arial" w:hAnsi="Arial"/>
          <w:sz w:val="17"/>
          <w:szCs w:val="17"/>
          <w:b w:val="1"/>
          <w:bCs w:val="1"/>
          <w:i w:val="1"/>
          <w:iCs w:val="1"/>
          <w:color w:val="auto"/>
        </w:rPr>
        <w:t>We are still in the early stages of building our Instacart Ads offerings. If we fail to grow our advertising revenue, our business, financial condition, and results of operations would be negatively impacted.</w:t>
      </w:r>
    </w:p>
    <w:p>
      <w:pPr>
        <w:spacing w:after="0" w:line="63" w:lineRule="exact"/>
        <w:rPr>
          <w:sz w:val="20"/>
          <w:szCs w:val="20"/>
          <w:color w:val="auto"/>
        </w:rPr>
      </w:pPr>
    </w:p>
    <w:p>
      <w:pPr>
        <w:ind w:left="460" w:firstLine="413"/>
        <w:spacing w:after="0" w:line="266" w:lineRule="auto"/>
        <w:rPr>
          <w:sz w:val="20"/>
          <w:szCs w:val="20"/>
          <w:color w:val="auto"/>
        </w:rPr>
      </w:pPr>
      <w:r>
        <w:rPr>
          <w:rFonts w:ascii="Arial" w:cs="Arial" w:eastAsia="Arial" w:hAnsi="Arial"/>
          <w:sz w:val="16"/>
          <w:szCs w:val="16"/>
          <w:color w:val="auto"/>
        </w:rPr>
        <w:t>We are still in the early stages of building our Instacart Ads offerings and are continuing to grow and scale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recognize revenue in the amount that we have the right to invoice as advertising services are rendered, which occurs upon delivery of clicks for Sponsored Product ads, upon delivery of impressions, or over the contract term on a fixed fee basis for display ads. Payment for our advertising offerings is generally due 30 to 90 days upon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where we offer advertising, attract new retailers and expand our relationships with existing retailers, acquire new customers and increase the engagement of existing customers, and increase the breadth and functionality of our advertising products to create more value for our brand partners, including 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or expand our relationships with more retailers, or if we are unable to acquire new customers or increase the engagement of existing customers, we may not be able to successfully grow our advertising and other revenue.</w:t>
      </w:r>
    </w:p>
    <w:p>
      <w:pPr>
        <w:spacing w:after="0" w:line="181" w:lineRule="exact"/>
        <w:rPr>
          <w:sz w:val="20"/>
          <w:szCs w:val="20"/>
          <w:color w:val="auto"/>
        </w:rPr>
      </w:pPr>
    </w:p>
    <w:p>
      <w:pPr>
        <w:ind w:left="460" w:right="60" w:firstLine="413"/>
        <w:spacing w:after="0" w:line="251" w:lineRule="auto"/>
        <w:rPr>
          <w:sz w:val="20"/>
          <w:szCs w:val="20"/>
          <w:color w:val="auto"/>
        </w:rPr>
      </w:pPr>
      <w:r>
        <w:rPr>
          <w:rFonts w:ascii="Arial" w:cs="Arial" w:eastAsia="Arial" w:hAnsi="Arial"/>
          <w:sz w:val="17"/>
          <w:szCs w:val="17"/>
          <w:color w:val="auto"/>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In addition, Google has announced that it will cease support for advertising cookies that permit the tracking of users across sites and applications and instead will introduce new advertising targeting solutions from its Privacy Sandbox. The long-term impact of these and other privacy and regulatory changes remains uncertain and may harm our growth, business, and profitability.</w:t>
      </w:r>
    </w:p>
    <w:p>
      <w:pPr>
        <w:spacing w:after="0" w:line="186"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In addition, expenditures by brands tend to be cyclical, reflecting overall economic conditions and budgeting and buying patterns. Adverse macroeconomic conditions, including as a result of the COVID-19 pandemic,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from inflation, rising interest rates, global supply chain disruptions, labor shortages, geopolitical events including the war in Ukraine, and reduced consumer confidence. These factors had a negative impact on our advertising revenue in 2022 and the first half of 2023, and such impact may continue in future periods. These factors may also negatively impact our ability to</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780"/>
          </w:cols>
          <w:pgMar w:left="320" w:top="440" w:right="79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forecast our advertising revenue as the extent of the ongoing impact of these macroeconomic factors on our business and on global economic activity generally is uncertain and may continue to adversely affect our business, operations, and financial results. In addition, our brand partners’ sales generated from digital marketing campaigns on Instacart may fail to meet their expectations, including as a result of decreases in GTV growth, which in turn may result in reductions in future brand partner digital marketing spend on Instacart and related decreases in advertising and other revenue in future periods. Our ability to sustain or increase profitability depends in part on our advertising revenue, and failure to maintain or grow our advertising revenue could harm our prospects, business, financial condition, and results of operations, as well as impact our ability to strategically lower fees and invest in larger marketing campaigns, new offerings, and select geographic expansions.</w:t>
      </w:r>
    </w:p>
    <w:p>
      <w:pPr>
        <w:spacing w:after="0" w:line="273" w:lineRule="exact"/>
        <w:rPr>
          <w:sz w:val="20"/>
          <w:szCs w:val="20"/>
          <w:color w:val="auto"/>
        </w:rPr>
      </w:pPr>
    </w:p>
    <w:p>
      <w:pPr>
        <w:ind w:left="460"/>
        <w:spacing w:after="0" w:line="303" w:lineRule="auto"/>
        <w:rPr>
          <w:sz w:val="20"/>
          <w:szCs w:val="20"/>
          <w:color w:val="auto"/>
        </w:rPr>
      </w:pPr>
      <w:r>
        <w:rPr>
          <w:rFonts w:ascii="Arial" w:cs="Arial" w:eastAsia="Arial" w:hAnsi="Arial"/>
          <w:sz w:val="16"/>
          <w:szCs w:val="16"/>
          <w:b w:val="1"/>
          <w:bCs w:val="1"/>
          <w:i w:val="1"/>
          <w:iCs w:val="1"/>
          <w:color w:val="auto"/>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4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The markets in which we compete are evolving rapidly and are highly competitive with increasing competitive pressure. Our business is complex and encompasses a number of offering types and fulfillment methods.</w:t>
      </w:r>
    </w:p>
    <w:p>
      <w:pPr>
        <w:spacing w:after="0" w:line="165" w:lineRule="exact"/>
        <w:rPr>
          <w:sz w:val="20"/>
          <w:szCs w:val="20"/>
          <w:color w:val="auto"/>
        </w:rPr>
      </w:pPr>
    </w:p>
    <w:p>
      <w:pPr>
        <w:ind w:left="460" w:right="100" w:firstLine="413"/>
        <w:spacing w:after="0" w:line="284" w:lineRule="auto"/>
        <w:rPr>
          <w:sz w:val="20"/>
          <w:szCs w:val="20"/>
          <w:color w:val="auto"/>
        </w:rPr>
      </w:pPr>
      <w:r>
        <w:rPr>
          <w:rFonts w:ascii="Arial" w:cs="Arial" w:eastAsia="Arial" w:hAnsi="Arial"/>
          <w:sz w:val="15"/>
          <w:szCs w:val="15"/>
          <w:color w:val="auto"/>
        </w:rPr>
        <w:t>With respect to Instacart Marketplace, our current and potential competitors include: (i) existing and well-established online grocery or shopping alternatives, including digital-first platforms, such as Amazon and Thrive Market, (ii) brick-and-mortar retailers that have their own digital offering, such as Target and Walmart, some of which decide to partner with Instacart to complement their own offerings, (iii) companies that provide fulfillment services for third parties, including retailers, whether online or offline, such as DoorDash, Shipt (acquired by Target), and Uber Eats, (iv) digital-first platforms entering the grocery market by owning inventory, including DashMart (owned by DoorDash), Fresh Direct, Getir, and Gopuff, which may include existing retailers on Instacart, which could eventually eliminate their need to partner with us or limit their use of Instacart Marketplace,</w:t>
      </w:r>
    </w:p>
    <w:p>
      <w:pPr>
        <w:spacing w:after="0" w:line="3" w:lineRule="exact"/>
        <w:rPr>
          <w:sz w:val="20"/>
          <w:szCs w:val="20"/>
          <w:color w:val="auto"/>
        </w:rPr>
      </w:pPr>
    </w:p>
    <w:p>
      <w:pPr>
        <w:ind w:left="460" w:hanging="3"/>
        <w:spacing w:after="0" w:line="250" w:lineRule="auto"/>
        <w:tabs>
          <w:tab w:leader="none" w:pos="6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companies that provide fulfillment services that focus on discrete categories of products, such as alcohol or prescription delivery, including Drizly (acquired by Uber), and (vi) companies that offer direct to consumer ingredient or meal offerings, such as Blue Apron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delivery platform.</w:t>
      </w:r>
    </w:p>
    <w:p>
      <w:pPr>
        <w:spacing w:after="0" w:line="185"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With respect to Instacart Enterprise Platform, our current and potential competitors include: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Scan &amp; Pay, Lists, Carrot Tags and other in-store applications, which face competition from other retailer technology solution providers, such as Veeve.</w:t>
      </w:r>
    </w:p>
    <w:p>
      <w:pPr>
        <w:spacing w:after="0" w:line="174"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With respect to Instacart Ads, our current and potential competitors include: (i) third-party platforms that assist retailers with monetization of their digital offerings for consumers, such as CitrusAd (acquired by Publicis Groupe), Criteo, and Quotient, (ii) first-party retailer-owned solutions that provide online advertising opportunities to CPG brands on their owned and operated domains, such as Amazon, Target, Walmart, and others, some of which are also</w:t>
      </w:r>
    </w:p>
    <w:p>
      <w:pPr>
        <w:spacing w:after="0" w:line="11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740"/>
          </w:cols>
          <w:pgMar w:left="320" w:top="440" w:right="8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40"/>
        <w:spacing w:after="0" w:line="284" w:lineRule="auto"/>
        <w:rPr>
          <w:sz w:val="20"/>
          <w:szCs w:val="20"/>
          <w:color w:val="auto"/>
        </w:rPr>
      </w:pPr>
      <w:r>
        <w:rPr>
          <w:rFonts w:ascii="Arial" w:cs="Arial" w:eastAsia="Arial" w:hAnsi="Arial"/>
          <w:sz w:val="16"/>
          <w:szCs w:val="16"/>
          <w:color w:val="auto"/>
        </w:rPr>
        <w:t>retailers on Instacart, (iii) companies that provide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spacing w:after="0" w:line="157" w:lineRule="exact"/>
        <w:rPr>
          <w:sz w:val="20"/>
          <w:szCs w:val="20"/>
          <w:color w:val="auto"/>
        </w:rPr>
      </w:pPr>
    </w:p>
    <w:p>
      <w:pPr>
        <w:ind w:left="460" w:right="60" w:firstLine="413"/>
        <w:spacing w:after="0" w:line="254" w:lineRule="auto"/>
        <w:rPr>
          <w:sz w:val="20"/>
          <w:szCs w:val="20"/>
          <w:color w:val="auto"/>
        </w:rPr>
      </w:pPr>
      <w:r>
        <w:rPr>
          <w:rFonts w:ascii="Arial" w:cs="Arial" w:eastAsia="Arial" w:hAnsi="Arial"/>
          <w:sz w:val="17"/>
          <w:szCs w:val="17"/>
          <w:color w:val="auto"/>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spacing w:after="0" w:line="181"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Further, while we work to expand further in the United States and Canada and potentially enter international markets, and introduce new offerings across a range of industries, many of our competitors remain focused on a limited number of products or on a narrow geographic scope, allowing them to develop specialized expertise and employ resources in a more targeted manner than we do. As we and our competitors introduce new offerings, and as existing offerings evolve, we 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spacing w:after="0" w:line="155"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Many of our competitors are well-capitalized and are able to offer discounted or free services, shopper incentives, consumer discounts and promotions, innovative products and offerings, and alternative pricing models, which may be more attractive to consumers, retailers, brands, or shoppers than those that we offer. In addition, we may not be able to effectively compete with service offerings from vertically integrated competitors, such as Amazon or Drizly, which control both the brick-and-mortar retailer and online fulfillment technology. Certain brick-and-mortar retailers that have their own digital offering, such as Walmart, also have significant size, scale, geographic, and shopper base advantages, which may allow them to grow online GTV or capture increasing share of the online grocery market more effectively and at a faster rate than us. Competitors may also offer fulfillment options from our retail partners, despite 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spacing w:after="0" w:line="17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For all of these reasons, we may not be able to compete successfully against our current and future competitors. Our inability to compete effectively would have an adverse effect on our ability to acquire new customers, retailers, and brand partners or increase the engagement of our existing customers, retailers, and brand partners, or would otherwise harm our business, financial condition, and results of operations. Third parties may also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780"/>
          </w:cols>
          <w:pgMar w:left="320" w:top="440" w:right="79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480"/>
        <w:spacing w:after="0" w:line="260" w:lineRule="auto"/>
        <w:rPr>
          <w:sz w:val="20"/>
          <w:szCs w:val="20"/>
          <w:color w:val="auto"/>
        </w:rPr>
      </w:pPr>
      <w:r>
        <w:rPr>
          <w:rFonts w:ascii="Arial" w:cs="Arial" w:eastAsia="Arial" w:hAnsi="Arial"/>
          <w:sz w:val="17"/>
          <w:szCs w:val="17"/>
          <w:b w:val="1"/>
          <w:bCs w:val="1"/>
          <w:i w:val="1"/>
          <w:iCs w:val="1"/>
          <w:color w:val="auto"/>
        </w:rPr>
        <w:t>The COVID-19 pandemic had a significant impact on our business, and there is uncertainty regarding its future impact and the impact of any future public health outbreaks on our business, operations, and the markets and communities in which we, consumers, retailers, brands, and shoppers operate.</w:t>
      </w:r>
    </w:p>
    <w:p>
      <w:pPr>
        <w:spacing w:after="0" w:line="74" w:lineRule="exact"/>
        <w:rPr>
          <w:sz w:val="20"/>
          <w:szCs w:val="20"/>
          <w:color w:val="auto"/>
        </w:rPr>
      </w:pPr>
    </w:p>
    <w:p>
      <w:pPr>
        <w:ind w:left="460" w:right="40" w:firstLine="413"/>
        <w:spacing w:after="0" w:line="287" w:lineRule="auto"/>
        <w:rPr>
          <w:sz w:val="20"/>
          <w:szCs w:val="20"/>
          <w:color w:val="auto"/>
        </w:rPr>
      </w:pPr>
      <w:r>
        <w:rPr>
          <w:rFonts w:ascii="Arial" w:cs="Arial" w:eastAsia="Arial" w:hAnsi="Arial"/>
          <w:sz w:val="15"/>
          <w:szCs w:val="15"/>
          <w:color w:val="auto"/>
        </w:rPr>
        <w:t>The COVID-19 pandemic had a significant impact on the markets and communities in which we and consumers, retailers, brands, and shoppers operate and resulted in significant changes in demand for our offerings and our business in general over a limited time period. The growth in the number of customers, retailers, brands, and shoppers, as well as usage by customers, of our offerings during the COVID-19 pandemic resulted in some temporary response delays and outages, which negatively impacted our business and operations. Additionally, operational changes at retailers, such as limiting hours of operations, the number of items that can be purchased, or the total number of individuals allowed in a store at any one time, impacted the ability of customers to place orders through Instacart and otherwise caused operational disruption and led to customer dissatisfaction. The COVID-19 pandemic also caused surges in demand for our offerings that resulted in shopper shortages despite the availability of shopper incentives that we provided. These shortages were at times exacerbated by periods of reduced shopper activity due to perceived risk of infection or health risk or renewed governmental restrictions and mandates. In response, we invested significant financial resources, including in the form of bonuses, higher earnings and additional benefits, and organizational efforts to address these technical and operational challenges. We also invested significant financial resources across our business operations to protect the health and safety of customers, shoppers, and employees, and had to significantly modify our operations and adjust our services and technology.</w:t>
      </w:r>
    </w:p>
    <w:p>
      <w:pPr>
        <w:spacing w:after="0" w:line="15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While these effects have subsided and continue to subside, the full extent to which the COVID-19 pandemic may continue to impact our business, results of operations, and financial condition will depend on future developments that are uncertain and cannot be accurately predicted. We cannot assure you that these effects will remain reduced in the future, including due to potential new public health outbreaks. We could face further operational disruptions and incur additional expenses in connection with future public health outbreaks, including expenses associated with our health and safety protocols and processes, that could adversely affect our business and results of operations. Further, due to the size, scope, and nature of our operations, which have significantly expanded since the start of the COVID-19 pandemic, the expenses we may need to incur to protect the health and safety of shoppers and certain of our employees may be higher than similar expenses that companies in other industries may need to incur. To the extent future public health outbreaks adversely affect our business and financial results, they may also have the effect of heightening many of the other risks described in this “Risk Factors” section.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Mergers or other strategic transactions by competitors or retailers could weaken our competitive position and adversely affect our business.</w:t>
      </w:r>
    </w:p>
    <w:p>
      <w:pPr>
        <w:spacing w:after="0" w:line="131" w:lineRule="exact"/>
        <w:rPr>
          <w:sz w:val="20"/>
          <w:szCs w:val="20"/>
          <w:color w:val="auto"/>
        </w:rPr>
      </w:pPr>
    </w:p>
    <w:p>
      <w:pPr>
        <w:ind w:left="460" w:right="140" w:firstLine="413"/>
        <w:spacing w:after="0" w:line="289" w:lineRule="auto"/>
        <w:rPr>
          <w:sz w:val="20"/>
          <w:szCs w:val="20"/>
          <w:color w:val="auto"/>
        </w:rPr>
      </w:pPr>
      <w:r>
        <w:rPr>
          <w:rFonts w:ascii="Arial" w:cs="Arial" w:eastAsia="Arial" w:hAnsi="Arial"/>
          <w:sz w:val="15"/>
          <w:szCs w:val="15"/>
          <w:color w:val="auto"/>
        </w:rPr>
        <w:t>If one or more competitors or retailers were to merge, acquire, or partner with another competitor or retailer, the change in the competitive landscape could adversely affect our ability to compete effectively. For example, Uber acquired Postmates and Cornershop in 2020 and completed its acquisition of Drizly in 2021, all of which are competitors. Consolidation amongst major retailer partners, such as the pending merger between Albertsons and Kroger,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parties with whom we have relationships, which could limit our ability to promote our offerings to those retailers and reduce our number of customers. As a result of these and future potential acquisitions,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00"/>
          </w:cols>
          <w:pgMar w:left="320" w:top="440" w:right="7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failure to achieve increased market acceptance of online grocery shopping and our offerings could seriously harm our business.</w:t>
      </w:r>
    </w:p>
    <w:p>
      <w:pPr>
        <w:spacing w:after="0" w:line="120"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consumer in-store experience through an online platform is difficult due to broad consumer demands on selection, quality, value, and convenience. Grocery shopping habits and related consumer preferences are complex and diverse across and within markets and across demographics and age groups. Changing traditional grocery shopping habits is difficult, and if consumers and retailers do not embrace the transition to online grocery shopping as we expect, our business and operations could be harmed. The amount of influence we may have over these shopping habits and preferences, and the methods at our disposal to exercise such influence (including marketing and incentives), may be limited, and we are dependent on external influences over shopping habits, such as public health incidents and inclement weather, and macroeconomic factors such as inflationary pressures.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 of factors beyond our control, including macroeconomic conditions, continued market acceptance of our offerings, the timing of development and release of new offerings and features by us and our competitors, technological change, brand recognition, and growth or contraction in our markets. If we fail to achieve increased market acceptance of our offerings, our business could be seriously harmed.</w:t>
      </w:r>
    </w:p>
    <w:p>
      <w:pPr>
        <w:spacing w:after="0" w:line="266" w:lineRule="exact"/>
        <w:rPr>
          <w:sz w:val="20"/>
          <w:szCs w:val="20"/>
          <w:color w:val="auto"/>
        </w:rPr>
      </w:pPr>
    </w:p>
    <w:p>
      <w:pPr>
        <w:ind w:left="460" w:right="140"/>
        <w:spacing w:after="0" w:line="272" w:lineRule="auto"/>
        <w:rPr>
          <w:sz w:val="20"/>
          <w:szCs w:val="20"/>
          <w:color w:val="auto"/>
        </w:rPr>
      </w:pPr>
      <w:r>
        <w:rPr>
          <w:rFonts w:ascii="Arial" w:cs="Arial" w:eastAsia="Arial" w:hAnsi="Arial"/>
          <w:sz w:val="17"/>
          <w:szCs w:val="17"/>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63" w:lineRule="exact"/>
        <w:rPr>
          <w:sz w:val="20"/>
          <w:szCs w:val="20"/>
          <w:color w:val="auto"/>
        </w:rPr>
      </w:pPr>
    </w:p>
    <w:p>
      <w:pPr>
        <w:jc w:val="both"/>
        <w:ind w:left="460" w:right="440" w:firstLine="413"/>
        <w:spacing w:after="0" w:line="311" w:lineRule="auto"/>
        <w:rPr>
          <w:sz w:val="20"/>
          <w:szCs w:val="20"/>
          <w:color w:val="auto"/>
        </w:rPr>
      </w:pPr>
      <w:r>
        <w:rPr>
          <w:rFonts w:ascii="Arial" w:cs="Arial" w:eastAsia="Arial" w:hAnsi="Arial"/>
          <w:sz w:val="15"/>
          <w:szCs w:val="15"/>
          <w:color w:val="auto"/>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51" w:lineRule="exact"/>
        <w:rPr>
          <w:sz w:val="20"/>
          <w:szCs w:val="20"/>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accurately forecast revenue and appropriately plan our expenses;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macroeconomic pressures, such as inflation and supply chain disruptions;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impact of future public health threats on our business;</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subsiding effects of the COVID-19 pandemic on demand for online grocery;</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revenue and fulfillment option mix shifts as we enhance Instacart with new offerings, use cases, and functionality;</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timing of the recognition of our deferred revenue;</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timing of strategic investments and expenditures;</w:t>
      </w:r>
    </w:p>
    <w:p>
      <w:pPr>
        <w:spacing w:after="0" w:line="121" w:lineRule="exact"/>
        <w:rPr>
          <w:rFonts w:ascii="Arial" w:cs="Arial" w:eastAsia="Arial" w:hAnsi="Arial"/>
          <w:sz w:val="17"/>
          <w:szCs w:val="17"/>
          <w:color w:val="auto"/>
        </w:rPr>
      </w:pPr>
    </w:p>
    <w:p>
      <w:pPr>
        <w:ind w:left="1360" w:right="580" w:hanging="396"/>
        <w:spacing w:after="0" w:line="272"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fluctuations in operating expenses, including cost of revenue, as we seek to improve efficiencies, comply with changing regulatory requirements, and expand our business, offerings, and technologies;</w:t>
      </w:r>
    </w:p>
    <w:p>
      <w:pPr>
        <w:spacing w:after="0" w:line="76" w:lineRule="exact"/>
        <w:rPr>
          <w:rFonts w:ascii="Arial" w:cs="Arial" w:eastAsia="Arial" w:hAnsi="Arial"/>
          <w:sz w:val="17"/>
          <w:szCs w:val="17"/>
          <w:color w:val="auto"/>
        </w:rPr>
      </w:pPr>
    </w:p>
    <w:p>
      <w:pPr>
        <w:ind w:left="1360" w:right="100" w:hanging="396"/>
        <w:spacing w:after="0" w:line="272"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changes to financial accounting standards and the interpretation of those standards, which may affect the way we recognize and report our financial results;</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effectiveness of our internal controls;</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780"/>
          </w:cols>
          <w:pgMar w:left="320" w:top="440" w:right="79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396"/>
        <w:spacing w:after="0"/>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seasonality of our business; and</w:t>
      </w:r>
    </w:p>
    <w:p>
      <w:pPr>
        <w:spacing w:after="0" w:line="121" w:lineRule="exact"/>
        <w:rPr>
          <w:rFonts w:ascii="Arial" w:cs="Arial" w:eastAsia="Arial" w:hAnsi="Arial"/>
          <w:sz w:val="17"/>
          <w:szCs w:val="17"/>
          <w:color w:val="auto"/>
        </w:rPr>
      </w:pPr>
    </w:p>
    <w:p>
      <w:pPr>
        <w:ind w:left="1360" w:hanging="396"/>
        <w:spacing w:after="0"/>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ability to collect payments from retailers and brands on a timely basis.</w:t>
      </w:r>
    </w:p>
    <w:p>
      <w:pPr>
        <w:spacing w:after="0" w:line="210"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The impact of one or more of the foregoing and other factors may cause our results of operations to vary significantly. In particular, we experienced substantial growth stemming from the increased demand for online grocery driven primarily by the COVID-19 pandemic and have also made significant changes to our business, including through scaling our operations to meet the increased demand and implementing new business and product initiatives, which have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Our business also continues to be impacted by adverse macroeconomic conditions and lingering effects of the COVID-19 pandemic, such as inflation and supply chain issues. As such, for these and other factors stated above, quarter-to-quarter and year-over-year comparisons of our results of operations may not be meaningful and should not be unduly relied upon as an indication of future performance.</w:t>
      </w:r>
    </w:p>
    <w:p>
      <w:pPr>
        <w:spacing w:after="0" w:line="157"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Our operating cash flows may fluctuate significantly from period to period as a result of new initiatives and the timing of payments made to and/or received from retailers, shoppers, and vendors. In particular, certain transaction types, such as those involving EBT SNAP benefits and alcohol sales, have resulted and may continue to result in longer collection cycles. For example, in the second half of 2021, we experienced longer collection cycles due to the larger volume of EBT SNAP and alcohol transactions. Additionally, we make substantial weekly payments to shoppers on Tuesdays for services delivered on Instacart. As a result,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each reporting period. Due to this timing, our cash flows from operating activities may not be directly comparable from period to period.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Seasonality may cause fluctuations in our sales and results of operations.</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We experience seasonality in both the number of orders and GTV on Instacart, as well as in our advertising and other revenue. We typically see lower levels of order volume growth in the second quarter and a portion of the third quarter resulting from lower usage of our offerings during the spring and summer months, followed by higher levels of order volume growth in the second half of the year during the back-to-school period and holiday season. Our rapid growth and the impact of the COVID-19 pandemic have made, and may in the future make, seasonal fluctuations difficult to detect, and future public health outbreaks may obscure future seasonality trends. In addition, during periods of inclement weather, the number of available shoppers generally decreases, while the number of orders from customers may increase,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Moreover, other seasonal trends may develop or these existing seasonal trends may become more extreme, and the existing seasonality and customer and shopper behavior that we experience may change or become more significant, which would contribute to fluctuations in our results of operations.</w:t>
      </w:r>
    </w:p>
    <w:p>
      <w:pPr>
        <w:spacing w:after="0" w:line="264"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b w:val="1"/>
          <w:bCs w:val="1"/>
          <w:i w:val="1"/>
          <w:iCs w:val="1"/>
          <w:color w:val="auto"/>
        </w:rPr>
        <w:t>If we or the third parties we rely on experience a security incident or unauthorized parties otherwise obtain access to or alter customers’ or shoppers’ data, our systems or data, our partners’ data, or Instacart, Instacart may be perceived as not being secure, and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46"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Operating our business and platform involves the collection, use, storage, transmission, and other processing of sensitive, proprietary, and confidential information, including personal information of customers, shoppers,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780"/>
          </w:cols>
          <w:pgMar w:left="320" w:top="440" w:right="79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269" w:lineRule="auto"/>
        <w:rPr>
          <w:sz w:val="20"/>
          <w:szCs w:val="20"/>
          <w:color w:val="auto"/>
        </w:rPr>
      </w:pPr>
      <w:r>
        <w:rPr>
          <w:rFonts w:ascii="Arial" w:cs="Arial" w:eastAsia="Arial" w:hAnsi="Arial"/>
          <w:sz w:val="16"/>
          <w:szCs w:val="16"/>
          <w:color w:val="auto"/>
        </w:rPr>
        <w:t>and personnel, our proprietary and confidential information, and the confidential information of partners including retailers and brands. Security incidents compromising the confidentiality, integrity, and availability of this information and our systems (or those of third parties upon which we rely) could result from a variety of evolving threats including but not limited to cyber-attacks, computer malware (including as a result of advanced persistent threat intrusions), malicious code (such as viruses and worms), social engineering (including spear phishing and ransomware attacks), denial-of-service attacks (such as credential stuffing), credential harvesting, supply-chain attacks, software bugs, server malfunctions, software or hardware failures, efforts by individuals or groups of hackers and sophisticated organizations, security vulnerabilities in the software or systems on which we rely, the malfeasance or error of our personnel (such as through theft or misuse), loss of data or other information technology assets, adware, telecommunications failures, earthquakes, fires, floods, and other similar threats.</w:t>
      </w:r>
    </w:p>
    <w:p>
      <w:pPr>
        <w:spacing w:after="0" w:line="174"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2"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also rely on a number of third parties to operate our critical business systems and process confidential and personal information, such as the payment processors that process customer credit card payments, cloud service providers, and customer care centers. Our ability to monitor these third parties’ information security practices is limited, and these third parties may themselves inappropriately access such confidential and personal information or may not have adequate security measures and could experience a security incident that compromises the confidentiality, integrity, or availability of the systems they operate for us or the information they process on our behalf, which could harm our reputation or adversely affect our business. If our third-party service providers experience a security incident or other interruption, we could experience adverse consequences. These supply chain attacks have increased in frequency and severity and we cannot guarantee that our service providers’ infrastructure or that the infrastructure of any partners of our service providers have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to them or be sufficient to allow us to obtain indemnification or recovery from them for data security-related liability that they cause us to incur.</w:t>
      </w:r>
    </w:p>
    <w:p>
      <w:pPr>
        <w:spacing w:after="0" w:line="171"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Remote work has become more common per our Flex First workforce model and has increased risks to our information technology systems and data, as more of our employees utilize network connections, computers, and devices outside our premises or network, including working at home, while in transit and in public locations.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and while we have implemented technical and administrative safeguards to help protect our systems as our employees and service providers work remotely, we may be subject to increased cybersecurity risk, which could expose us to risks of data or financial loss, and could disrupt our business operations. There is no guarantee that the privacy, data security, and data protection safeguards we have put in place will be completely effective or that we will not encounter risks associated with employees and service providers accessing company data and systems remotely. Additionally, future or past business transactions (such as acquisitions or integrations) have exposed and may in the future expose us to additional cybersecurity risks and vulnerabilities, as our systems could be negatively affected by vulnerabilities present in acquired or integrated entities’ systems and</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780"/>
          </w:cols>
          <w:pgMar w:left="320" w:top="440" w:right="79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5" w:lineRule="exact"/>
        <w:rPr>
          <w:sz w:val="20"/>
          <w:szCs w:val="20"/>
          <w:color w:val="auto"/>
        </w:rPr>
      </w:pPr>
    </w:p>
    <w:p>
      <w:pPr>
        <w:jc w:val="both"/>
        <w:ind w:left="460" w:right="80" w:firstLine="413"/>
        <w:spacing w:after="0" w:line="296" w:lineRule="auto"/>
        <w:rPr>
          <w:sz w:val="20"/>
          <w:szCs w:val="20"/>
          <w:color w:val="auto"/>
        </w:rPr>
      </w:pPr>
      <w:r>
        <w:rPr>
          <w:rFonts w:ascii="Arial" w:cs="Arial" w:eastAsia="Arial" w:hAnsi="Arial"/>
          <w:sz w:val="15"/>
          <w:szCs w:val="15"/>
          <w:color w:val="auto"/>
        </w:rPr>
        <w:t>Security incidents have occurred in the past, and may occur in the future, resulting in unauthorized, unlawful, or inappropriate access to, inability to access, disclosure of, or loss of the sensitive, proprietary and confidential information that we handle. For example, we have experienced in the past, and could experience in the future, credential stuffing attacks in which malicious third parties use credentials compromised in data breaches suffered by other companies to access accounts on Instacart. While we employ security measures designed to prevent, detect, and mitigate the potential for harm to our users from the misuse of user credentials on our network, these measures may not be effective in every instance.</w:t>
      </w:r>
    </w:p>
    <w:p>
      <w:pPr>
        <w:spacing w:after="0" w:line="152"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Cybercrime and hacking techniques are constantly evolving, and we or the third parties we work with may be unable to anticipate attempted security breaches, react in a timely manner, or implement adequate preventative measures, particularly given increasing use of hacking techniques designed to circumvent controls, avoid detection, and remove or obfuscate forensic artifacts. If we, or the third parties we rely on, suffer, or are perceived to have suffered, a security breach or other security incident, we may experience a loss of customer confidence in the security of Instacart and damage to our brand, reduced demand for our offerings, and disruption of normal business operations. Such an incident may also require us to spend material resources to investigate and correct the issue and to prevent recurrence, expose us to legal liabilities, including litigation, regulatory enforcement, and indemnity obligations, and adversely affect our business, financial condition, and results of operations. Further, applicable privacy, data security, and data protection obligations may require us to notify relevant stakeholders of security incidents. Such disclosures are costly, and the disclosure or the failure to comply with such requirements could lead to adverse consequences. These risks are likely to increase as we continue to grow and process, store, and transmit increasingly large amounts of data. Our contracts may not contain limitations of liability, and even where they do, there can be no assurance that limitations of liability in our contracts are sufficient to protect us from liabilities, damages, or claims related to our privacy, data security, and data protection obligations. We cannot be sure that our insurance coverage will be adequate or sufficient to protect us from or to mitigate liabilities arising out of our privacy, data security, and data protection practices, that such coverage will continue to be available on commercially reasonable terms or at all, or that such coverage will pay future claims. We also cannot assure you that any security measures that we or the third parties we rely on have implemented will be effective against current or future security threats, despite taking measures designed to protect the security of the confidential and personal information under our control.</w:t>
      </w:r>
    </w:p>
    <w:p>
      <w:pPr>
        <w:spacing w:after="0" w:line="269" w:lineRule="exact"/>
        <w:rPr>
          <w:sz w:val="20"/>
          <w:szCs w:val="20"/>
          <w:color w:val="auto"/>
        </w:rPr>
      </w:pPr>
    </w:p>
    <w:p>
      <w:pPr>
        <w:ind w:left="460" w:right="420"/>
        <w:spacing w:after="0" w:line="272" w:lineRule="auto"/>
        <w:rPr>
          <w:sz w:val="20"/>
          <w:szCs w:val="20"/>
          <w:color w:val="auto"/>
        </w:rPr>
      </w:pPr>
      <w:r>
        <w:rPr>
          <w:rFonts w:ascii="Arial" w:cs="Arial" w:eastAsia="Arial" w:hAnsi="Arial"/>
          <w:sz w:val="17"/>
          <w:szCs w:val="17"/>
          <w:b w:val="1"/>
          <w:bCs w:val="1"/>
          <w:i w:val="1"/>
          <w:iCs w:val="1"/>
          <w:color w:val="auto"/>
        </w:rPr>
        <w:t>Interruptions or performance problems, including failure to ensure accessibility, associated with our offerings and technology capabilities may adversely affect our business, financial condition, and results of operations.</w:t>
      </w:r>
    </w:p>
    <w:p>
      <w:pPr>
        <w:spacing w:after="0" w:line="63"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 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 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customers, retailers, brands, or shoppers, or cause incorrect calculations relating to the payments we make to or fees we receive from or charge to customers, retailers, brands, or shoppers. We have from time to time found defects or errors in our system and may discover additional defects or errors in the future that could result in platform unavailability or system disruption. In addition, we have experienced, and may in the future experience, disruptions, outages, and other performance</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80"/>
          </w:cols>
          <w:pgMar w:left="320" w:top="440" w:right="79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68" w:lineRule="auto"/>
        <w:rPr>
          <w:sz w:val="20"/>
          <w:szCs w:val="20"/>
          <w:color w:val="auto"/>
        </w:rPr>
      </w:pPr>
      <w:r>
        <w:rPr>
          <w:rFonts w:ascii="Arial" w:cs="Arial" w:eastAsia="Arial" w:hAnsi="Arial"/>
          <w:sz w:val="16"/>
          <w:szCs w:val="16"/>
          <w:color w:val="auto"/>
        </w:rPr>
        <w:t>problems due to a variety of other factors, including infrastructure changes, introductions of new functionality, human errors, capacity constraints due to an overwhelming number of customers accessing our offerings and technology capabilities simultaneously, website hosting disruptions, interruptions to business and operations due to 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in losses in revenue including through issuing appeasement credits and refunds as well as incentives for future orders to impacted customers, though such losses have not been material to date. System failures in the future could result in significant losses of revenue, including due to losses of customers or retailers due to perceived weaknesses in our systems and protective measures. In addition, the affected party could seek monetary recourse from us for their losses, and such claims, even if unsuccessful, would likely be time-consuming and costly for us to address. Further, in some instances, we may not be able to identify the cause or causes of these performance problems or adequate remedies within an acceptable period of time.</w:t>
      </w:r>
    </w:p>
    <w:p>
      <w:pPr>
        <w:spacing w:after="0" w:line="174"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customers, retailers, brands, or shoppers, lost or delayed market acceptance of Instacart and our offerings, delays in payment to us by retailers, injury to our reputation and brand, regulatory inquiries,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may adversely impact our business.</w:t>
      </w:r>
    </w:p>
    <w:p>
      <w:pPr>
        <w:spacing w:after="0" w:line="272"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If we are not able to continue to introduce new features or offerings successfully and to make enhancements to existing offerings, our ability to grow and operate our business could be adversely affected.</w:t>
      </w:r>
    </w:p>
    <w:p>
      <w:pPr>
        <w:spacing w:after="0" w:line="63"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Our ability to attract new customers, retailers, brands, and shoppers and increase revenue from existing customers, retailers,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consumers, retailers, brands, and shoppers. The success of these and any other enhancements or developments depend on several factors, including their timely introduction and completion, sufficient demand, and cost effectiveness. It is difficult to accurately predict consumer, retailer, brand, or shopper adoption of new features or offerings, and related shifts in consumer shopping behavior, as well as our recent rapid growth and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challenges and competing technologies to gain market acceptance, then our business and results of operations will be adversely affected.</w:t>
      </w:r>
    </w:p>
    <w:p>
      <w:pPr>
        <w:spacing w:after="0" w:line="159" w:lineRule="exact"/>
        <w:rPr>
          <w:sz w:val="20"/>
          <w:szCs w:val="20"/>
          <w:color w:val="auto"/>
        </w:rPr>
      </w:pPr>
    </w:p>
    <w:p>
      <w:pPr>
        <w:ind w:left="460" w:right="120" w:firstLine="413"/>
        <w:spacing w:after="0" w:line="253" w:lineRule="auto"/>
        <w:rPr>
          <w:sz w:val="20"/>
          <w:szCs w:val="20"/>
          <w:color w:val="auto"/>
        </w:rPr>
      </w:pPr>
      <w:r>
        <w:rPr>
          <w:rFonts w:ascii="Arial" w:cs="Arial" w:eastAsia="Arial" w:hAnsi="Arial"/>
          <w:sz w:val="17"/>
          <w:szCs w:val="17"/>
          <w:color w:val="auto"/>
        </w:rPr>
        <w:t>Our ability to develop new offerings, features, and functionality to meet industry demands is important to remaining attractive to consumers, retailers, brands, and shoppers, and if we fail to continue to successfully innovate, we could lose existing customers, retailers,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780"/>
          </w:cols>
          <w:pgMar w:left="320" w:top="440" w:right="79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287" w:lineRule="auto"/>
        <w:rPr>
          <w:sz w:val="20"/>
          <w:szCs w:val="20"/>
          <w:color w:val="auto"/>
        </w:rPr>
      </w:pPr>
      <w:r>
        <w:rPr>
          <w:rFonts w:ascii="Arial" w:cs="Arial" w:eastAsia="Arial" w:hAnsi="Arial"/>
          <w:sz w:val="15"/>
          <w:szCs w:val="15"/>
          <w:color w:val="auto"/>
        </w:rPr>
        <w:t>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 We are increasing our investment in product development and hiring and retaining highly skilled engineering personnel to support these efforts, but such investments may not be effective in maintaining or improving the experience for customers, shoppers, or retailers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spacing w:after="0" w:line="163"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Our use of artificial intelligence and machine learning, or AIML, including the use of generative artificial intelligence, such as those based on large language models, in our offerings presents additional risks. AIML models may be trained on biased, flawed, insufficient, inaccurate, and/or unlicensed data sets and, as a result, the output of these AIML models may be biased, inappropriate, controversial, offensive, inaccurate, misleading, and/or infringe on third-party intellectual property. Our offerings based on AIML may expose us to additional lawsuits and regulatory investigations and subject us to legal liability as well as brand and reputational harm.</w:t>
      </w:r>
    </w:p>
    <w:p>
      <w:pPr>
        <w:spacing w:after="0" w:line="283" w:lineRule="exact"/>
        <w:rPr>
          <w:sz w:val="20"/>
          <w:szCs w:val="20"/>
          <w:color w:val="auto"/>
        </w:rPr>
      </w:pPr>
    </w:p>
    <w:p>
      <w:pPr>
        <w:jc w:val="both"/>
        <w:ind w:left="460" w:right="360"/>
        <w:spacing w:after="0" w:line="260" w:lineRule="auto"/>
        <w:rPr>
          <w:sz w:val="20"/>
          <w:szCs w:val="20"/>
          <w:color w:val="auto"/>
        </w:rPr>
      </w:pPr>
      <w:r>
        <w:rPr>
          <w:rFonts w:ascii="Arial" w:cs="Arial" w:eastAsia="Arial" w:hAnsi="Arial"/>
          <w:sz w:val="17"/>
          <w:szCs w:val="17"/>
          <w:b w:val="1"/>
          <w:bCs w:val="1"/>
          <w:i w:val="1"/>
          <w:iCs w:val="1"/>
          <w:color w:val="auto"/>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spacing w:after="0" w:line="74"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We have made substantial investments to expand our offerings and technologies to capitalize on new and unproven business opportunities, including new fulfillment options, expansion into retail categories outside of grocery, strategic initiatives such as Instacart Health and Instacart Business, the development of hardware products, and automated, AI, and machine learning-enabled technologies. We intend to continue investing significant resources in developing these technologies, tools, initiatives, features, and offerings that we believe will enable our success in new markets or areas of business and/or strengthen our core business. For example, we have expanded our offerings to retailers in categories adjacent to the grocery industry, including alcohol, pharmacy, electronics, beauty, and home improvement. We have also recently launched Connected Stores, a bundle of in-store technologies, including artificial intelligence-powered shopping carts and customer checkout solutions, offered to our retail partners. If we do not spend our development budget efficiently or effectively on commercially successful and innovative technologies or ventures, or if we are unable to timely introduce and commercialize such offerings, we may not realize the expected 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of time before they become accretive to our revenue or margin, and if they never become accretive, we may be contractually obligated to make payments or incur expenses in connection with initiatives for an extended period without sufficient, or any, economic or financial benefit. For example, we have entered into warehouse leases in connection with our Carrot Warehouses offering, which involve upfront lease payment commitments and upfront capital expenditures. Further, our development efforts with respect to new offerings and technologies could distract management from current operations and divert capital and other resources from our more established offerings and technologies. For example, the design, development, manufacture, and distribution of hardware products produced by Caper is a new line of business for us that will require continued investment in operating expenses, headcount, and executive time and attention.</w:t>
      </w:r>
    </w:p>
    <w:p>
      <w:pPr>
        <w:spacing w:after="0" w:line="9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780"/>
          </w:cols>
          <w:pgMar w:left="320" w:top="440" w:right="79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firstLine="413"/>
        <w:spacing w:after="0" w:line="286" w:lineRule="auto"/>
        <w:rPr>
          <w:sz w:val="20"/>
          <w:szCs w:val="20"/>
          <w:color w:val="auto"/>
        </w:rPr>
      </w:pPr>
      <w:r>
        <w:rPr>
          <w:rFonts w:ascii="Arial" w:cs="Arial" w:eastAsia="Arial" w:hAnsi="Arial"/>
          <w:sz w:val="15"/>
          <w:szCs w:val="15"/>
          <w:color w:val="auto"/>
        </w:rPr>
        <w:t>Producing and offering hardware products will also involve new or heightened risks to our business, such as manufacturing and inventory risks resulting from supply chain disruptions, user safety risks and additional expenses resulting from product defects. Although we believe these investments will improve our financial results over the long term, they may negatively impact our short-term financial results, which may be inconsistent with the short-term expectations of our stockholders. Moreover, there can be no assurance that consumer, retailer, or brand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or collectively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spacing w:after="0" w:line="266" w:lineRule="exact"/>
        <w:rPr>
          <w:sz w:val="20"/>
          <w:szCs w:val="20"/>
          <w:color w:val="auto"/>
        </w:rPr>
      </w:pPr>
    </w:p>
    <w:p>
      <w:pPr>
        <w:ind w:left="460" w:right="640"/>
        <w:spacing w:after="0" w:line="377" w:lineRule="auto"/>
        <w:rPr>
          <w:sz w:val="20"/>
          <w:szCs w:val="20"/>
          <w:color w:val="auto"/>
        </w:rPr>
      </w:pPr>
      <w:r>
        <w:rPr>
          <w:rFonts w:ascii="Arial" w:cs="Arial" w:eastAsia="Arial" w:hAnsi="Arial"/>
          <w:sz w:val="14"/>
          <w:szCs w:val="14"/>
          <w:b w:val="1"/>
          <w:bCs w:val="1"/>
          <w:i w:val="1"/>
          <w:iCs w:val="1"/>
          <w:color w:val="auto"/>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spacing w:after="0" w:line="1"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Promoting awareness and driving adoption of our offerings is important to our ability to grow our business, and attracting and engaging new customers, retailers, brands, and shoppers can be costly. Our consumer marketing efforts currently include, without limitation, digital performance marketing that includes search, programmatic, and social; customer relationship management, or CRM, based marketing that includes push notifications, text messaging, and email marketing; and co-marketing efforts with retailers, payment providers, and brands. To drive existing customer reengagement, we also utilize targeted promotions including time-limited free delivery offers and coupons.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customer incentive initiatives as the circumstances that accelerated the growth of our business stemming from the effects of the COVID-19 pandemic subside,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we expect that our business, financial condition, and results of operations would be adversely affected.</w:t>
      </w:r>
    </w:p>
    <w:p>
      <w:pPr>
        <w:spacing w:after="0" w:line="266" w:lineRule="exact"/>
        <w:rPr>
          <w:sz w:val="20"/>
          <w:szCs w:val="20"/>
          <w:color w:val="auto"/>
        </w:rPr>
      </w:pPr>
    </w:p>
    <w:p>
      <w:pPr>
        <w:ind w:left="460" w:right="620"/>
        <w:spacing w:after="0" w:line="272" w:lineRule="auto"/>
        <w:rPr>
          <w:sz w:val="20"/>
          <w:szCs w:val="20"/>
          <w:color w:val="auto"/>
        </w:rPr>
      </w:pPr>
      <w:r>
        <w:rPr>
          <w:rFonts w:ascii="Arial" w:cs="Arial" w:eastAsia="Arial" w:hAnsi="Arial"/>
          <w:sz w:val="17"/>
          <w:szCs w:val="17"/>
          <w:b w:val="1"/>
          <w:bCs w:val="1"/>
          <w:i w:val="1"/>
          <w:iCs w:val="1"/>
          <w:color w:val="auto"/>
        </w:rPr>
        <w:t>If we fail to maintain and enhance our brand, our ability to engage or expand our base of customers, retailers, brands, and shoppers will be impaired and our business, financial condition, and results of operations may suffer.</w:t>
      </w:r>
    </w:p>
    <w:p>
      <w:pPr>
        <w:spacing w:after="0" w:line="63" w:lineRule="exact"/>
        <w:rPr>
          <w:sz w:val="20"/>
          <w:szCs w:val="20"/>
          <w:color w:val="auto"/>
        </w:rPr>
      </w:pPr>
    </w:p>
    <w:p>
      <w:pPr>
        <w:ind w:left="460" w:right="120" w:firstLine="413"/>
        <w:spacing w:after="0" w:line="254" w:lineRule="auto"/>
        <w:rPr>
          <w:sz w:val="20"/>
          <w:szCs w:val="20"/>
          <w:color w:val="auto"/>
        </w:rPr>
      </w:pPr>
      <w:r>
        <w:rPr>
          <w:rFonts w:ascii="Arial" w:cs="Arial" w:eastAsia="Arial" w:hAnsi="Arial"/>
          <w:sz w:val="17"/>
          <w:szCs w:val="17"/>
          <w:color w:val="auto"/>
        </w:rPr>
        <w:t>Maintaining and enhancing our reputation as a differentiated and category-defining company is critical to attracting and expanding our relationships with customers, retailers,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780"/>
          </w:cols>
          <w:pgMar w:left="320" w:top="440" w:right="79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40"/>
        <w:spacing w:after="0" w:line="291" w:lineRule="auto"/>
        <w:rPr>
          <w:sz w:val="20"/>
          <w:szCs w:val="20"/>
          <w:color w:val="auto"/>
        </w:rPr>
      </w:pPr>
      <w:r>
        <w:rPr>
          <w:rFonts w:ascii="Arial" w:cs="Arial" w:eastAsia="Arial" w:hAnsi="Arial"/>
          <w:sz w:val="15"/>
          <w:szCs w:val="15"/>
          <w:color w:val="auto"/>
        </w:rPr>
        <w:t>of our brand or lead to increased sales. The strength of our brand will depend largely on our ability to provide quality services at competitive prices. Brand promotion activities may not yield increased revenue, and even if they do, the increased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spacing w:after="0" w:line="157"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network effects could occur as a result of trust and safety incidents. The loss of customers or retailers due to poor shopper performance or a trust and safety incident caused by a shopper, customer, or third party could harm our business. In addition, negative publicity related to key brands that we have partnered with may damage our reputation, even if the publicity is not directly related to us. If we fail to maintain, protect, and enhance our brand successfully or to maintain loyalty among customers, retailers, brands, and shoppers, or if we incur substantial expenses in unsuccessful attempts to maintain, protect, and enhance our brand, we may fail to attract or increase the engagement of customers, retailers, brands, and shoppers, and our business, financial condition, and results of operations may suffer.</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fail to offer high-quality support, our ability to attract and engage customers could suffer.</w:t>
      </w:r>
    </w:p>
    <w:p>
      <w:pPr>
        <w:spacing w:after="0" w:line="108"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Customers and shoppers rely on our support personnel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If we do not help customers and shoppers quickly resolve issues and provide effective ongoing support, our ability to maintain and expand our revenue from existing and new customers could suffer, as well as our reputation with existing or potential customers.</w:t>
      </w:r>
    </w:p>
    <w:p>
      <w:pPr>
        <w:spacing w:after="0" w:line="286" w:lineRule="exact"/>
        <w:rPr>
          <w:sz w:val="20"/>
          <w:szCs w:val="20"/>
          <w:color w:val="auto"/>
        </w:rPr>
      </w:pPr>
    </w:p>
    <w:p>
      <w:pPr>
        <w:ind w:left="460" w:right="620"/>
        <w:spacing w:after="0" w:line="340" w:lineRule="auto"/>
        <w:rPr>
          <w:sz w:val="20"/>
          <w:szCs w:val="20"/>
          <w:color w:val="auto"/>
        </w:rPr>
      </w:pPr>
      <w:r>
        <w:rPr>
          <w:rFonts w:ascii="Arial" w:cs="Arial" w:eastAsia="Arial" w:hAnsi="Arial"/>
          <w:sz w:val="15"/>
          <w:szCs w:val="15"/>
          <w:b w:val="1"/>
          <w:bCs w:val="1"/>
          <w:i w:val="1"/>
          <w:iCs w:val="1"/>
          <w:color w:val="auto"/>
        </w:rPr>
        <w:t>Our pricing methodologies are impacted by a number of factors and ultimately may not be successful in attracting and engaging customers, retailers, brands, and shoppers. Future changes to our pricing model could adversely affect our business.</w:t>
      </w:r>
    </w:p>
    <w:p>
      <w:pPr>
        <w:spacing w:after="0" w:line="18"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Demand for our offerings is highly sensitive to a range of factors, including our strategies relating to the amount of potential earnings required to attract shoppers, incentives paid to shoppers, and the fees we charge retailers, brands, and customers. Many factors, including operating costs, legal and regulatory requirements, constraints or changes, supply chain issues, the price sensitivity of consumers in different income groups or other demographics, inflation, and our current and future competitors’ pricing and marketing strategies, could significantly affect our pricing strategies. There can be no assurance that we will not be forced, through competition, regulation, or otherwise, to reduce the price of delivery for customers, increase the incentives we pay to shoppers that utilize Instacart, reduce the fees we charge retailers or brands, or increase our marketing and other expenses to attract and increase the engagement of customers, retailers, brands, and shoppers in response to competitive, regulatory, and other external pressures. For example, certain of our competitors offer, or may in the future offer, lower-priced or a broader range of offerings, including subscription offerings for bundled services. We may need to spend significant amounts on marketing and both customer and shopper incentives to deploy</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80"/>
          </w:cols>
          <w:pgMar w:left="320" w:top="440" w:right="79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60"/>
        <w:spacing w:after="0" w:line="289" w:lineRule="auto"/>
        <w:rPr>
          <w:sz w:val="20"/>
          <w:szCs w:val="20"/>
          <w:color w:val="auto"/>
        </w:rPr>
      </w:pPr>
      <w:r>
        <w:rPr>
          <w:rFonts w:ascii="Arial" w:cs="Arial" w:eastAsia="Arial" w:hAnsi="Arial"/>
          <w:sz w:val="15"/>
          <w:szCs w:val="15"/>
          <w:color w:val="auto"/>
        </w:rPr>
        <w:t>innovative and novel pricing and incentive strategies to retain or attract new customers and shoppers. We have launched, and may in the future launch, new pricing strategies and initiatives, such as subscription offerings like Instacart+, and customer or shopper loyalty programs, or modify existing pricing methodologies or pricing models, due to a variety of reasons, including to address changes in the market for our offerings as competitors introduce new offerings and features or in response to regulatory or other legal challenges, any of which may not ultimately be successful in attracting and engaging customers, retailers, brands, or shoppers. We also offer retailers tools and products, including through our Eversight business, to enable them to optimize online pricing and promotions strategies. If these solutions fail to generate improved results for retailer sales, retailers may choose to not use such solutions. If these solutions negatively impact consumer price perception, our brand reputation and our ability to attract and retain customers could be harmed. The increasing complexity of our pricing models and related expansion of our business may also require us to update our internal systems for invoicing retailers or brands or incur costs to remediate errors or disputes in existing invoices.</w:t>
      </w:r>
    </w:p>
    <w:p>
      <w:pPr>
        <w:spacing w:after="0" w:line="157"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Further, consumers’ price sensitivity may vary by geographic location, and as we expand, our pricing methodologies may not enable us to compete effectively in these locations. In particular, if we were to continue expanding internationally, we may be required to change our pricing strategies and to adjust to different cultural norms, including with respect to consumer pricing and gratuities. While we do and will attempt to set prices based on our prior operating experience and customer, retailer, brand, and shopper feedback and engagement levels, our assessments may not be accurate or there may be errors in the technology used in our pricing, and we could be underpricing or overpricing our services. In particular, we have limited experience pricing our offerings in a post-COVID-19 environment and at the current scale, scope, and complexity of our business. As a result, our historical data and operating experience may be insufficient to adequately inform our future pricing strategies for changing market environments. In addition, if the services on Instacart change, then we may need to revise our pricing methodologies. Changes to any components of our pricing model may, among other things, result in customer dissatisfaction, lead to a loss of customers on Instacart, and seriously harm our business.</w:t>
      </w:r>
    </w:p>
    <w:p>
      <w:pPr>
        <w:spacing w:after="0" w:line="157" w:lineRule="exact"/>
        <w:rPr>
          <w:sz w:val="20"/>
          <w:szCs w:val="20"/>
          <w:color w:val="auto"/>
        </w:rPr>
      </w:pPr>
    </w:p>
    <w:p>
      <w:pPr>
        <w:ind w:left="460" w:right="480"/>
        <w:spacing w:after="0" w:line="377" w:lineRule="auto"/>
        <w:rPr>
          <w:sz w:val="20"/>
          <w:szCs w:val="20"/>
          <w:color w:val="auto"/>
        </w:rPr>
      </w:pPr>
      <w:r>
        <w:rPr>
          <w:rFonts w:ascii="Arial" w:cs="Arial" w:eastAsia="Arial" w:hAnsi="Arial"/>
          <w:sz w:val="14"/>
          <w:szCs w:val="14"/>
          <w:b w:val="1"/>
          <w:bCs w:val="1"/>
          <w:i w:val="1"/>
          <w:iCs w:val="1"/>
          <w:color w:val="auto"/>
        </w:rPr>
        <w:t>If customers, retailers, brands, shoppers, or other third parties using Instacart engage in, or are subject to, criminal, violent, inappropriate, or dangerous activity, it could have an adverse impact on our reputation, business, financial condition, and results of operations</w:t>
      </w:r>
      <w:r>
        <w:rPr>
          <w:rFonts w:ascii="Arial" w:cs="Arial" w:eastAsia="Arial" w:hAnsi="Arial"/>
          <w:sz w:val="14"/>
          <w:szCs w:val="14"/>
          <w:color w:val="auto"/>
        </w:rPr>
        <w:t>.</w:t>
      </w:r>
    </w:p>
    <w:p>
      <w:pPr>
        <w:spacing w:after="0" w:line="1"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We are not able to control or predict the actions of customers, retailers,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customers, retailers,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 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Moreover, our third-party service providers may fail to conduct such background checks adequately or disclose information that could be relevant to a determination of eligibility. We have in the past received, and we expect to continue to receive, complaints from shoppers, customers, and other third parties, as well as actual or threatened legal action against us related to shopper and customer conduct.</w:t>
      </w:r>
    </w:p>
    <w:p>
      <w:pPr>
        <w:spacing w:after="0" w:line="159" w:lineRule="exact"/>
        <w:rPr>
          <w:sz w:val="20"/>
          <w:szCs w:val="20"/>
          <w:color w:val="auto"/>
        </w:rPr>
      </w:pPr>
    </w:p>
    <w:p>
      <w:pPr>
        <w:ind w:left="460" w:right="320" w:firstLine="413"/>
        <w:spacing w:after="0" w:line="274" w:lineRule="auto"/>
        <w:rPr>
          <w:sz w:val="20"/>
          <w:szCs w:val="20"/>
          <w:color w:val="auto"/>
        </w:rPr>
      </w:pPr>
      <w:r>
        <w:rPr>
          <w:rFonts w:ascii="Arial" w:cs="Arial" w:eastAsia="Arial" w:hAnsi="Arial"/>
          <w:sz w:val="16"/>
          <w:szCs w:val="16"/>
          <w:color w:val="auto"/>
        </w:rPr>
        <w:t>If shoppers or individuals impersonating shoppers or customers engage in criminal activity, fraud, including identify theft, use of stolen or fraudulent credit card data, misconduct, or inappropriate conduct or use Instacart as a conduit for criminal activity, or we fail to identify or detect, or experience delays in identifying or detecting such activity or events, our offerings may not be viewed as safe, and we may receive negative press coverage as a result, which would adversely impact our brand, reputation, and business. We have in the past experienced, and may experience in the future, inappropriate conduct and criminal activity by certain shoppers or other bad actors,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80"/>
          </w:cols>
          <w:pgMar w:left="320" w:top="440" w:right="79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85" w:lineRule="auto"/>
        <w:rPr>
          <w:sz w:val="20"/>
          <w:szCs w:val="20"/>
          <w:color w:val="auto"/>
        </w:rPr>
      </w:pPr>
      <w:r>
        <w:rPr>
          <w:rFonts w:ascii="Arial" w:cs="Arial" w:eastAsia="Arial" w:hAnsi="Arial"/>
          <w:sz w:val="15"/>
          <w:szCs w:val="15"/>
          <w:color w:val="auto"/>
        </w:rPr>
        <w:t>including fraudulent uses of credit cards, social engineering attacks to gain access to customer and shopper accounts, as well as fraudulent use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while generally not contractually required, we have historically provided retailers with business concessions for related losses in certain cases and may provide 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customers, retailers, brands, shoppers, or other third parties, our ability to attract customers, retailers, brands, and shoppers may be harmed, and our reputation, business, and financial results could be adversely affected.</w:t>
      </w:r>
    </w:p>
    <w:p>
      <w:pPr>
        <w:spacing w:after="0" w:line="167" w:lineRule="exact"/>
        <w:rPr>
          <w:sz w:val="20"/>
          <w:szCs w:val="20"/>
          <w:color w:val="auto"/>
        </w:rPr>
      </w:pPr>
    </w:p>
    <w:p>
      <w:pPr>
        <w:ind w:left="460" w:right="240" w:firstLine="413"/>
        <w:spacing w:after="0" w:line="340" w:lineRule="auto"/>
        <w:rPr>
          <w:sz w:val="20"/>
          <w:szCs w:val="20"/>
          <w:color w:val="auto"/>
        </w:rPr>
      </w:pPr>
      <w:r>
        <w:rPr>
          <w:rFonts w:ascii="Arial" w:cs="Arial" w:eastAsia="Arial" w:hAnsi="Arial"/>
          <w:sz w:val="15"/>
          <w:szCs w:val="15"/>
          <w:color w:val="auto"/>
        </w:rPr>
        <w:t>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spacing w:after="0" w:line="119"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Further, we may be subject to claims of significant liability based on traffic accidents, deaths, injuries, or other incidents that are caused by shoppers or third parties while using Instacart, or even when shoppers or third parties are not actively using Instacart. On a smaller scale, we may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our shoppers that our insurance policies may not cover or the cost of our policies may increase. Our automobile liability and general liability insurance policies do not cover all claims to which we are exposed and are not always adequate to indemnify us for all liability.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into other products and offerings, this insurance risk will grow.</w:t>
      </w:r>
    </w:p>
    <w:p>
      <w:pPr>
        <w:spacing w:after="0" w:line="264"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b w:val="1"/>
          <w:bCs w:val="1"/>
          <w:i w:val="1"/>
          <w:iCs w:val="1"/>
          <w:color w:val="auto"/>
        </w:rPr>
        <w:t>The impact of economic conditions, public health incidents, weather events, and natural catastrophes, including the resulting effect on consumer spending, may harm our business and results of operations.</w:t>
      </w:r>
    </w:p>
    <w:p>
      <w:pPr>
        <w:spacing w:after="0" w:line="63"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Our results of operations may vary based on the impact of changes in our industry or the economy on us and consumers, retailers, brands, and shoppers. Negative conditions in the general economy both in the United States and abroad, including conditions resulting from the COVID-19 pandemic or other public health threats, the military conflict involving Russia and Ukraine and economic sanctions imposed on Russia and Belarus, bank failures, changes in gross domestic product growth, financial and credit market fluctuations, international trade relations, political turmoil, weather events, and natural catastrophes, including warfare and terrorist attacks on the United States or elsewhere, could adversely affect our liquidity and financial condition as well as demand for our</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60"/>
          </w:cols>
          <w:pgMar w:left="320" w:top="440" w:right="8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296" w:lineRule="auto"/>
        <w:rPr>
          <w:sz w:val="20"/>
          <w:szCs w:val="20"/>
          <w:color w:val="auto"/>
        </w:rPr>
      </w:pPr>
      <w:r>
        <w:rPr>
          <w:rFonts w:ascii="Arial" w:cs="Arial" w:eastAsia="Arial" w:hAnsi="Arial"/>
          <w:sz w:val="15"/>
          <w:szCs w:val="15"/>
          <w:color w:val="auto"/>
        </w:rPr>
        <w:t>offerings and the growth of our business. In particular, we generate a significant proportion of our GTV from a limited number of geographical markets. If such negative conditions disproportionally affect these markets, the demand for our offerings and the growth of our business may be more severely impacted. In addition, these events and any impact of these events on critical infrastructure in the United States and elsewhere, have the potential to disrupt our business and the business of our retail partners and brand partners, as well as the ability of shoppers using Instacart to complete deliveries. Such disruptions may create additional costs for us to maintain or resume operations and may also negatively affect the growth of our business.</w:t>
      </w:r>
    </w:p>
    <w:p>
      <w:pPr>
        <w:spacing w:after="0" w:line="152" w:lineRule="exact"/>
        <w:rPr>
          <w:sz w:val="20"/>
          <w:szCs w:val="20"/>
          <w:color w:val="auto"/>
        </w:rPr>
      </w:pPr>
    </w:p>
    <w:p>
      <w:pPr>
        <w:ind w:left="460" w:right="160" w:firstLine="413"/>
        <w:spacing w:after="0" w:line="290" w:lineRule="auto"/>
        <w:rPr>
          <w:sz w:val="20"/>
          <w:szCs w:val="20"/>
          <w:color w:val="auto"/>
        </w:rPr>
      </w:pPr>
      <w:r>
        <w:rPr>
          <w:rFonts w:ascii="Arial" w:cs="Arial" w:eastAsia="Arial" w:hAnsi="Arial"/>
          <w:sz w:val="15"/>
          <w:szCs w:val="15"/>
          <w:color w:val="auto"/>
        </w:rPr>
        <w:t>Our results of operations are impacted by the amount of disposable income that consumers have to spend on online grocery shopping. Actual or perceived risks of an economic recession and recent inflationary pressures have adversely impacted consumer disposable income and resulted in decreased customer retention and engagement as well as reduced demand for premium or discretionary grocery purchases. In addition, in response to adverse economic conditions or a decrease in discretionary income, consumers may opt to purchase groceries or other consumer goods themselves, instead of through Instacart, or choose to purchase groceries from bargain or other lower-cost retailers that are not on Instacart. If spending at many of the retailers in our network declines, or if a significant number of these retailers goes out of business, consumers may be less likely to use our service, which could harm our business and results of operations. Customers may also reduce their spending on Instacart due to decreases in discretionary income, leading to lower average order values, which could cause our retail partners to reduce or cease engagement with Instacart.</w:t>
      </w:r>
    </w:p>
    <w:p>
      <w:pPr>
        <w:spacing w:after="0" w:line="156"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In addition, increases in food, labor, fuel, energy, supply, and other costs have caused our retail partners to raise prices and may cause further price increases in the future. Factors such as inflation, the impact of climate change, increased food costs, increased labor and employee benefit costs, increased rent costs, and increased energy costs may also increase retailers’ operating costs. Many of the factors affecting retailers’ costs are beyond the control of our retail partners. In many cases, these retailers may not be able to pass along these increased costs to consumers and, as a result, may reduce product offerings or cease operations. Additionally, if retailers continue to raise prices, customer order volume may decline. Further, increases in gas prices or other factors that increase the costs to operate motor vehicles could make it prohibitively expensive for shoppers to deliver to customers.</w:t>
      </w:r>
    </w:p>
    <w:p>
      <w:pPr>
        <w:spacing w:after="0" w:line="256" w:lineRule="exact"/>
        <w:rPr>
          <w:sz w:val="20"/>
          <w:szCs w:val="20"/>
          <w:color w:val="auto"/>
        </w:rPr>
      </w:pPr>
    </w:p>
    <w:p>
      <w:pPr>
        <w:ind w:left="460" w:right="60"/>
        <w:spacing w:after="0" w:line="340" w:lineRule="auto"/>
        <w:rPr>
          <w:sz w:val="20"/>
          <w:szCs w:val="20"/>
          <w:color w:val="auto"/>
        </w:rPr>
      </w:pPr>
      <w:r>
        <w:rPr>
          <w:rFonts w:ascii="Arial" w:cs="Arial" w:eastAsia="Arial" w:hAnsi="Arial"/>
          <w:sz w:val="15"/>
          <w:szCs w:val="15"/>
          <w:b w:val="1"/>
          <w:bCs w:val="1"/>
          <w:i w:val="1"/>
          <w:iCs w:val="1"/>
          <w:color w:val="auto"/>
        </w:rPr>
        <w:t>Our workforce and operations have grown substantially since our inception, and we expect to continue expanding the scale of our operations. If we are unable to effectively manage that growth, our financial performance and future prospects will be adversely affected.</w:t>
      </w:r>
    </w:p>
    <w:p>
      <w:pPr>
        <w:spacing w:after="0" w:line="1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Since our inception, we have experienced rapid growth in the United States and Canada, with particularly rapid growth in 2020 and 2021 due to increased demand during the COVID-19 pandemic.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spacing w:after="0" w:line="181"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As our operations have expanded, we have grown from 2,216 full-time employees as of December 31, 2020 to 3,486 full-time employees as of June 30, 2023. While the pace of our headcount expansion has slowed, we may continue to grow our number of employees in order to meet our business plans or comply with regulatory changes. Our organizational structure will continue to evolve as we add additional customers, retailers, brands, shoppers, employees, offerings, and technologies, improve upon our product infrastructure, and as we continue to expand further domestically and internationally. Properly managing our growth will require us to continue to hire, train, and manage qualified employees and staff, including engineers, operations personnel, financial and accounting staff, and sales and marketing staff, and to improve and maintain our technology. If our new hires perform poorly, if we are unsuccessful in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60"/>
          </w:cols>
          <w:pgMar w:left="320" w:top="440" w:right="81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53" w:lineRule="auto"/>
        <w:rPr>
          <w:sz w:val="20"/>
          <w:szCs w:val="20"/>
          <w:color w:val="auto"/>
        </w:rPr>
      </w:pPr>
      <w:r>
        <w:rPr>
          <w:rFonts w:ascii="Arial" w:cs="Arial" w:eastAsia="Arial" w:hAnsi="Arial"/>
          <w:sz w:val="17"/>
          <w:szCs w:val="17"/>
          <w:color w:val="auto"/>
        </w:rPr>
        <w:t>bargaining agreement. Such negotiations or collective bargaining agreement may negatively impact our financial performance or results of operations.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spacing w:after="0" w:line="18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processing and reporting, operational and financial systems, procedures, and controls. Our current and planned personnel, systems, procedures, and controls may not be adequate to support our future operations. We will require additional capital and management resources to grow and mature in these areas. Such investments may also require diversion of financial resources from other projects, such as the development of Instacart and related offerings. If we are unable to manage our rapid growth effectively, it could have a material adverse effect on our business, results of operations, and financial condition.</w:t>
      </w:r>
    </w:p>
    <w:p>
      <w:pPr>
        <w:spacing w:after="0" w:line="272"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b w:val="1"/>
          <w:bCs w:val="1"/>
          <w:i w:val="1"/>
          <w:iCs w:val="1"/>
          <w:color w:val="auto"/>
        </w:rPr>
        <w:t>We depend on highly skilled personnel to grow and operate our business, and if we are unable to hire, retain, and motivate our personnel, we may not be able to grow effectively.</w:t>
      </w:r>
    </w:p>
    <w:p>
      <w:pPr>
        <w:spacing w:after="0" w:line="63"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success and future growth depend largely upon the continued services of our management team. From time to time, there may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The loss of one or more of our executive 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spacing w:after="0" w:line="172"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Further, inflationary pressure may result in employee attrition to the extent our compensation does not keep up with inflation.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if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80"/>
          </w:cols>
          <w:pgMar w:left="320" w:top="440" w:right="79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72" w:lineRule="auto"/>
        <w:rPr>
          <w:sz w:val="20"/>
          <w:szCs w:val="20"/>
          <w:color w:val="auto"/>
        </w:rPr>
      </w:pPr>
      <w:r>
        <w:rPr>
          <w:rFonts w:ascii="Arial" w:cs="Arial" w:eastAsia="Arial" w:hAnsi="Arial"/>
          <w:sz w:val="16"/>
          <w:szCs w:val="16"/>
          <w:color w:val="auto"/>
        </w:rPr>
        <w:t>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cannot maintain our company culture as we grow, our business and competitive position may be harmed.</w:t>
      </w:r>
    </w:p>
    <w:p>
      <w:pPr>
        <w:spacing w:after="0" w:line="108"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employees elect to work remotely on an indefinite basis as permitted by our Flex First workforce model. Remote work may negatively impact employee morale and productivity and may also harm collaboration and innovation. If we fail to maintain our company culture, our business and competitive position may be harmed.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exposed to collection and credit risks, which could impact our results of operations.</w:t>
      </w:r>
    </w:p>
    <w:p>
      <w:pPr>
        <w:spacing w:after="0" w:line="108" w:lineRule="exact"/>
        <w:rPr>
          <w:sz w:val="20"/>
          <w:szCs w:val="20"/>
          <w:color w:val="auto"/>
        </w:rPr>
      </w:pPr>
    </w:p>
    <w:p>
      <w:pPr>
        <w:ind w:left="460" w:right="80" w:firstLine="413"/>
        <w:spacing w:after="0" w:line="291" w:lineRule="auto"/>
        <w:rPr>
          <w:sz w:val="20"/>
          <w:szCs w:val="20"/>
          <w:color w:val="auto"/>
        </w:rPr>
      </w:pPr>
      <w:r>
        <w:rPr>
          <w:rFonts w:ascii="Arial" w:cs="Arial" w:eastAsia="Arial" w:hAnsi="Arial"/>
          <w:sz w:val="15"/>
          <w:szCs w:val="15"/>
          <w:color w:val="auto"/>
        </w:rPr>
        <w:t>Our accounts receivable are subject to collection and credit risks, which could negatively impact our results of operations and affect our liquidity and our ability to fully fund our ongoing operations. Retailers are generally obligated to pay our fees within 45 days of invoicing. In times of economic recession or uncertainty or as a result of any disruptive event such as instability in the banking system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spacing w:after="0" w:line="258" w:lineRule="exact"/>
        <w:rPr>
          <w:sz w:val="20"/>
          <w:szCs w:val="20"/>
          <w:color w:val="auto"/>
        </w:rPr>
      </w:pPr>
    </w:p>
    <w:p>
      <w:pPr>
        <w:ind w:left="460" w:right="120"/>
        <w:spacing w:after="0" w:line="303"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a similar rate, if at all.</w:t>
      </w:r>
    </w:p>
    <w:p>
      <w:pPr>
        <w:spacing w:after="0" w:line="4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estimates of market opportunity and forecasts of market growth included in this prospectus may prove to be inaccurate. Market opportunity estimates and growth forecasts included in this prospectus are subject to significant uncertainty and are based on assumptions and estimates that may not prove to be accurate, including the risks described herein. Even if the market in which we compete achieves the forecasted growth, our business could fail to grow at a similar rate, if at all.</w:t>
      </w:r>
    </w:p>
    <w:p>
      <w:pPr>
        <w:spacing w:after="0" w:line="179" w:lineRule="exact"/>
        <w:rPr>
          <w:sz w:val="20"/>
          <w:szCs w:val="20"/>
          <w:color w:val="auto"/>
        </w:rPr>
      </w:pPr>
    </w:p>
    <w:p>
      <w:pPr>
        <w:ind w:left="460" w:right="160" w:firstLine="413"/>
        <w:spacing w:after="0" w:line="254" w:lineRule="auto"/>
        <w:rPr>
          <w:sz w:val="20"/>
          <w:szCs w:val="20"/>
          <w:color w:val="auto"/>
        </w:rPr>
      </w:pPr>
      <w:r>
        <w:rPr>
          <w:rFonts w:ascii="Arial" w:cs="Arial" w:eastAsia="Arial" w:hAnsi="Arial"/>
          <w:sz w:val="17"/>
          <w:szCs w:val="17"/>
          <w:color w:val="auto"/>
        </w:rPr>
        <w:t>The variables that go into the calculation of our market opportunity are subject to change over time, and there is no guarantee that any particular number or percentage of addressable consumers, retailers,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this prospectus should not be taken as indicative of our future growth.</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60"/>
          </w:cols>
          <w:pgMar w:left="320" w:top="440" w:right="81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540"/>
        <w:spacing w:after="0" w:line="377" w:lineRule="auto"/>
        <w:rPr>
          <w:sz w:val="20"/>
          <w:szCs w:val="20"/>
          <w:color w:val="auto"/>
        </w:rPr>
      </w:pPr>
      <w:r>
        <w:rPr>
          <w:rFonts w:ascii="Arial" w:cs="Arial" w:eastAsia="Arial" w:hAnsi="Arial"/>
          <w:sz w:val="14"/>
          <w:szCs w:val="14"/>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For example, in August 2021, we acquired CaterXpress Pty. Ltd. DBA FoodStorm, or FoodStorm, which offers software for self-serve kiosks that in-store customers use to place orders for catering, prepared food, deli, and bakery items; in October 2021, we acquired SBOT Technologies Inc. DBA Caper, or Caper, a provider of artificial intelligence-powered shopping carts and consumer checkout solutions for retailers; in August 2022, we acquired Eversight, Inc., or Eversight, which offers AI-powered technology to create compelling savings opportunities for customers in real-time; and in September 2022, we acquired Rosie Applications Inc., or Rosie, which provides eCommerce storefront experiences specifically for local, independent retailers. The identification of suitable acquisition candidates can be difficult, time-consuming, and costly, and we may not be able to successfully complete identified acquisitions, including as a result of regulatory inquiries or actions by antitrust authorities. In particular, our proposed or completed acquisitions may be subject to investigations or enforcement actions by U.S. antitrust enforcement agencies such as the Department of Justice and the Federal Trade Commission, which have recently increased their scrutiny of merger activity, particularly in the technology sector. In addition, once we have completed an acquisition, we may not be able to successfully integrate the acquired business. The risks we face in connection with acquisitions include:</w:t>
      </w:r>
    </w:p>
    <w:p>
      <w:pPr>
        <w:spacing w:after="0" w:line="76" w:lineRule="exact"/>
        <w:rPr>
          <w:sz w:val="20"/>
          <w:szCs w:val="20"/>
          <w:color w:val="auto"/>
        </w:rPr>
      </w:pPr>
    </w:p>
    <w:p>
      <w:pPr>
        <w:ind w:left="1360" w:hanging="498"/>
        <w:spacing w:after="0" w:line="256"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90" w:lineRule="exact"/>
        <w:rPr>
          <w:rFonts w:ascii="Arial" w:cs="Arial" w:eastAsia="Arial" w:hAnsi="Arial"/>
          <w:sz w:val="17"/>
          <w:szCs w:val="17"/>
          <w:color w:val="auto"/>
        </w:rPr>
      </w:pPr>
    </w:p>
    <w:p>
      <w:pPr>
        <w:ind w:left="1360" w:right="200" w:hanging="498"/>
        <w:spacing w:after="0" w:line="260"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acquisition may result in regulatory inquiries or actions, including remedies imposed by antitrust authorities such as divestitures, ownership or operational restrictions, or other structural or behavioral remedies, either as a condition to or following the completion of a transaction;</w:t>
      </w:r>
    </w:p>
    <w:p>
      <w:pPr>
        <w:spacing w:after="0" w:line="86" w:lineRule="exact"/>
        <w:rPr>
          <w:rFonts w:ascii="Arial" w:cs="Arial" w:eastAsia="Arial" w:hAnsi="Arial"/>
          <w:sz w:val="17"/>
          <w:szCs w:val="17"/>
          <w:color w:val="auto"/>
        </w:rPr>
      </w:pPr>
    </w:p>
    <w:p>
      <w:pPr>
        <w:ind w:left="1360" w:right="200" w:hanging="498"/>
        <w:spacing w:after="0" w:line="303" w:lineRule="auto"/>
        <w:tabs>
          <w:tab w:leader="none" w:pos="1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offerings, technologies, personnel, or operations of any company that we acquire, particularly if key personnel of the acquired company decide not to work for us;</w:t>
      </w:r>
    </w:p>
    <w:p>
      <w:pPr>
        <w:spacing w:after="0" w:line="54" w:lineRule="exact"/>
        <w:rPr>
          <w:rFonts w:ascii="Arial" w:cs="Arial" w:eastAsia="Arial" w:hAnsi="Arial"/>
          <w:sz w:val="16"/>
          <w:szCs w:val="16"/>
          <w:color w:val="auto"/>
        </w:rPr>
      </w:pPr>
    </w:p>
    <w:p>
      <w:pPr>
        <w:ind w:left="1360" w:hanging="498"/>
        <w:spacing w:after="0"/>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acquisition may disrupt our ongoing business, divert resources, increase our expenses, and distract our management;</w:t>
      </w:r>
    </w:p>
    <w:p>
      <w:pPr>
        <w:spacing w:after="0" w:line="121"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customer purchases for both us and the company acquired due to customer uncertainty about continuity and effectiveness of service from either company;</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may encounter difficulties in, or may be unable to, successfully sell any acquired products;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use of cash to pay for an acquisition would limit other potential uses for our cash;</w:t>
      </w:r>
    </w:p>
    <w:p>
      <w:pPr>
        <w:spacing w:after="0" w:line="121" w:lineRule="exact"/>
        <w:rPr>
          <w:rFonts w:ascii="Arial" w:cs="Arial" w:eastAsia="Arial" w:hAnsi="Arial"/>
          <w:sz w:val="17"/>
          <w:szCs w:val="17"/>
          <w:color w:val="auto"/>
        </w:rPr>
      </w:pPr>
    </w:p>
    <w:p>
      <w:pPr>
        <w:ind w:left="1360" w:right="40" w:hanging="498"/>
        <w:spacing w:after="0" w:line="272"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we incur debt to fund such acquisition, such debt may subject us to material restrictions on our ability to conduct our business, as well as financial maintenance covenants; and</w:t>
      </w:r>
    </w:p>
    <w:p>
      <w:pPr>
        <w:spacing w:after="0" w:line="76" w:lineRule="exact"/>
        <w:rPr>
          <w:rFonts w:ascii="Arial" w:cs="Arial" w:eastAsia="Arial" w:hAnsi="Arial"/>
          <w:sz w:val="17"/>
          <w:szCs w:val="17"/>
          <w:color w:val="auto"/>
        </w:rPr>
      </w:pPr>
    </w:p>
    <w:p>
      <w:pPr>
        <w:ind w:left="1360" w:right="500" w:hanging="498"/>
        <w:spacing w:after="0" w:line="272"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we issue a significant amount of equity securities in connection with future acquisitions, existing stockholders may be diluted and earnings per share may decrease.</w:t>
      </w:r>
    </w:p>
    <w:p>
      <w:pPr>
        <w:spacing w:after="0" w:line="165"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occurrence of any of these foregoing risks could adversely affect our business, financial condition, and results of operations and expose us to unknown risks or liabilities.</w:t>
      </w: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80"/>
          </w:cols>
          <w:pgMar w:left="320" w:top="440" w:right="79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74" w:lineRule="exact"/>
        <w:rPr>
          <w:sz w:val="20"/>
          <w:szCs w:val="20"/>
          <w:color w:val="auto"/>
        </w:rPr>
      </w:pPr>
    </w:p>
    <w:p>
      <w:pPr>
        <w:ind w:left="460" w:right="20" w:firstLine="413"/>
        <w:spacing w:after="0" w:line="266" w:lineRule="auto"/>
        <w:rPr>
          <w:sz w:val="20"/>
          <w:szCs w:val="20"/>
          <w:color w:val="auto"/>
        </w:rPr>
      </w:pPr>
      <w:r>
        <w:rPr>
          <w:rFonts w:ascii="Arial" w:cs="Arial" w:eastAsia="Arial" w:hAnsi="Arial"/>
          <w:sz w:val="16"/>
          <w:szCs w:val="16"/>
          <w:color w:val="auto"/>
        </w:rPr>
        <w:t>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as of or for the applicable period of measurement, there are inherent challenges in these measurements. For example, reported monthly active orderers may overstate or overestimate the number of unique individuals who actively use our offerings or the number of orders in any given period, as one customer may register for, and use, multiple accounts, which could also negatively impact our estimates of customer growth or retention. We may also refine our methodology for tracking certain operational metrics from time to time, to the extent practicable, including to improve overall accuracy and alignment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We have also tracked the impact of the COVID-19 pandemic and its variant outbreaks on our metrics, including orders influenced by the COVID-19 pandemic versus other factors, which are subject to numerous assumptions and a limited time period of data.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may require additional capital to support the growth of our business, and this capital might not be available on acceptable terms, if at all.</w:t>
      </w:r>
    </w:p>
    <w:p>
      <w:pPr>
        <w:spacing w:after="0" w:line="131" w:lineRule="exact"/>
        <w:rPr>
          <w:sz w:val="20"/>
          <w:szCs w:val="20"/>
          <w:color w:val="auto"/>
        </w:rPr>
      </w:pPr>
    </w:p>
    <w:p>
      <w:pPr>
        <w:ind w:left="460" w:right="100" w:firstLine="413"/>
        <w:spacing w:after="0" w:line="287" w:lineRule="auto"/>
        <w:rPr>
          <w:sz w:val="20"/>
          <w:szCs w:val="20"/>
          <w:color w:val="auto"/>
        </w:rPr>
      </w:pPr>
      <w:r>
        <w:rPr>
          <w:rFonts w:ascii="Arial" w:cs="Arial" w:eastAsia="Arial" w:hAnsi="Arial"/>
          <w:sz w:val="15"/>
          <w:szCs w:val="15"/>
          <w:color w:val="auto"/>
        </w:rPr>
        <w:t>We have funded our operations since our founding primarily through equity financings and cash generated from our operations. 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interest rate increases,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spacing w:after="0" w:line="163"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80"/>
          </w:cols>
          <w:pgMar w:left="320" w:top="440" w:right="79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256" w:lineRule="auto"/>
        <w:rPr>
          <w:sz w:val="20"/>
          <w:szCs w:val="20"/>
          <w:color w:val="auto"/>
        </w:rPr>
      </w:pPr>
      <w:r>
        <w:rPr>
          <w:rFonts w:ascii="Arial" w:cs="Arial" w:eastAsia="Arial" w:hAnsi="Arial"/>
          <w:sz w:val="17"/>
          <w:szCs w:val="17"/>
          <w:color w:val="auto"/>
        </w:rPr>
        <w:t>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378"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Risks Related to Our Legal and Regulatory Environment</w:t>
      </w:r>
    </w:p>
    <w:p>
      <w:pPr>
        <w:spacing w:after="0" w:line="315" w:lineRule="exact"/>
        <w:rPr>
          <w:sz w:val="20"/>
          <w:szCs w:val="20"/>
          <w:color w:val="auto"/>
        </w:rPr>
      </w:pPr>
    </w:p>
    <w:p>
      <w:pPr>
        <w:ind w:left="460" w:right="360"/>
        <w:spacing w:after="0" w:line="303" w:lineRule="auto"/>
        <w:rPr>
          <w:sz w:val="20"/>
          <w:szCs w:val="20"/>
          <w:color w:val="auto"/>
        </w:rPr>
      </w:pPr>
      <w:r>
        <w:rPr>
          <w:rFonts w:ascii="Arial" w:cs="Arial" w:eastAsia="Arial" w:hAnsi="Arial"/>
          <w:sz w:val="16"/>
          <w:szCs w:val="16"/>
          <w:b w:val="1"/>
          <w:bCs w:val="1"/>
          <w:i w:val="1"/>
          <w:iCs w:val="1"/>
          <w:color w:val="auto"/>
        </w:rPr>
        <w:t>If the contractor status of shoppers who use Instacart is successfully challenged, or if additional requirements are placed on our engagement of independent contractors, we may face adverse business, financial, tax, legal, and other consequences.</w:t>
      </w:r>
    </w:p>
    <w:p>
      <w:pPr>
        <w:spacing w:after="0" w:line="42" w:lineRule="exact"/>
        <w:rPr>
          <w:sz w:val="20"/>
          <w:szCs w:val="20"/>
          <w:color w:val="auto"/>
        </w:rPr>
      </w:pPr>
    </w:p>
    <w:p>
      <w:pPr>
        <w:ind w:left="460" w:right="20" w:firstLine="413"/>
        <w:spacing w:after="0" w:line="266" w:lineRule="auto"/>
        <w:rPr>
          <w:sz w:val="20"/>
          <w:szCs w:val="20"/>
          <w:color w:val="auto"/>
        </w:rPr>
      </w:pPr>
      <w:r>
        <w:rPr>
          <w:rFonts w:ascii="Arial" w:cs="Arial" w:eastAsia="Arial" w:hAnsi="Arial"/>
          <w:sz w:val="16"/>
          <w:szCs w:val="16"/>
          <w:color w:val="auto"/>
        </w:rPr>
        <w:t>We are involved in multiple individual and class-action lawsuits and government actions that claim that shoppers should be classified as employees rather than as independent contractors. See the section titled “Business—Legal Proceedings—Independent Contractor Classification Matters.”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and local ordinance requirements, and unemployment insurance and workers’ compensation contributions. Although we believe that we comply with applicable requirements and that shoppers are properly classified as independent contractors, we may be required to make significant payments, including through settlements, penalties, and interest as a result of these audits. Adverse determinations regarding the independent contractor status of shoppers could, among other things, significantly increase our costs to serve customers, impair or prevent the fulfillment of customer orders, or result in losses in excess of the accrued amounts in our reserve balances, any of which could seriously harm our business. Additionally, such adverse determinations may result in altering our business model and operations, including restricting the flexibility of shoppers by instituting minimum, maximum, or set hours of work, or designated locations for work, or controlling costs in other ways (such as limiting shopper access to Instacart or eliminating tips), which could result in disruption to service and harm our business. Shoppers may also be entitled to the reimbursement of certain expenses and benefits under existing employment-related laws, such as those pertaining to medical insurance and minimum wage and overtime, which could result in us being liable for employment and withholding tax and benefits for such individuals, as well as other related liabilities. Such adverse determinations could also expose us to significant retroactive liability, such as liability for meal breaks, overtime premiums, and statutory penalties.</w:t>
      </w:r>
    </w:p>
    <w:p>
      <w:pPr>
        <w:spacing w:after="0" w:line="182"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Further, the state of the law regarding independent contractor status varies from jurisdiction to jurisdiction and among governmental agencies and is subject to change based on court decisions and regulation. For example, on April 30, 2018, in its decision in Dynamex Operations West, Inc. v. L.A. Superior Court, or Dynamex, the California Supreme Court adopted a new standard, referred to as the “ABC” test, for determining whether a company “employs” or is the “employer” for purposes of the California Wage Orders. The Dynamex decision alters the analysis of whether an individual has been properly classified as an independent contractor in California, making it more difficult to properly classify a worker as such. The California legislature subsequently codified the “ABC” test in the Dynamex decision as the default standard for independent contractor misclassification. On December 16, 2020, the California state ballot initiative, Proposition 22, which provides a framework that offers legal certainty regarding the status of independent work and protects worker flexibility and the quality of on-demand work, among other things, became effective. Proposition 22 was expected to provide more legal certainty over the classification of workers on Instacart in California from the time it became effective on December 16, 2020. However, on August 20, 2021, a judge in Alameda County Superior Court granted a writ that, if upheld, would order the State of California not to enforce Proposition 22 on the ground that it is unconstitutional. The California Attorney General filed an appeal, and on March 13, 2023, the appellate court largely reversed the superior court and effectively upheld Proposition 22. Plaintiffs have appealed the decision to the California Supreme Court. If the appellate court ruling is reversed by the California Supreme Court, we will</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80"/>
          </w:cols>
          <w:pgMar w:left="320" w:top="440" w:right="79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20"/>
        <w:spacing w:after="0" w:line="253" w:lineRule="auto"/>
        <w:rPr>
          <w:sz w:val="20"/>
          <w:szCs w:val="20"/>
          <w:color w:val="auto"/>
        </w:rPr>
      </w:pPr>
      <w:r>
        <w:rPr>
          <w:rFonts w:ascii="Arial" w:cs="Arial" w:eastAsia="Arial" w:hAnsi="Arial"/>
          <w:sz w:val="17"/>
          <w:szCs w:val="17"/>
          <w:color w:val="auto"/>
        </w:rPr>
        <w:t>face continued legal uncertainty over whether we can properly classify a shopper as an independent contractor in California. Even if Proposition 22 is determined to be enforceable, we may still face allegations that certain of our business practices do not satisfy all the elements of Proposition 22. Further, Proposition 22 entitles shoppers in California to certain new pay standards and benefits, and imposes certain requirements, which increases costs for us in California, where approximately 13% of shoppers who use Instacart were located as of June 30, 2023. While we believe we properly provide all requisite pay standards and benefits under Proposition 22, we may nonetheless face various claims involving disputes over such pay standards and benefits.</w:t>
      </w:r>
    </w:p>
    <w:p>
      <w:pPr>
        <w:spacing w:after="0" w:line="182"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6"/>
          <w:szCs w:val="16"/>
          <w:color w:val="auto"/>
        </w:rPr>
        <w:t xml:space="preserve">We expect continuing challenges to the independent contractor classification of shoppers who use Instacart, or the imposition of additional requirements on the use of contractors, in California and in various other jurisdictions. If legislation, regulations, or judicial decisions regarding contractors change adversely in California or other jurisdictions, including any changes similar to the </w:t>
      </w:r>
      <w:r>
        <w:rPr>
          <w:rFonts w:ascii="Arial" w:cs="Arial" w:eastAsia="Arial" w:hAnsi="Arial"/>
          <w:sz w:val="16"/>
          <w:szCs w:val="16"/>
          <w:i w:val="1"/>
          <w:iCs w:val="1"/>
          <w:color w:val="auto"/>
        </w:rPr>
        <w:t>Dynamex</w:t>
      </w:r>
      <w:r>
        <w:rPr>
          <w:rFonts w:ascii="Arial" w:cs="Arial" w:eastAsia="Arial" w:hAnsi="Arial"/>
          <w:sz w:val="16"/>
          <w:szCs w:val="16"/>
          <w:color w:val="auto"/>
        </w:rPr>
        <w:t xml:space="preserve"> decision or California legislation, or if Proposition 22 is ultimately found to be unconstitutional, it would increase the already existing risk that shoppers who use Instacart could be construed as employees or increase costs through additional requirements imposed on the use of contractors, and would therefore significantly negatively impact our ability to contract with independent contractors for order fulfillment in those jurisdictions.</w:t>
      </w:r>
    </w:p>
    <w:p>
      <w:pPr>
        <w:spacing w:after="0" w:line="167"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Continuing legal uncertainty regarding shopper classification may also impair our ability to expand our offerings, pursue new business verticals, and innovate on our operational strategies. Such activities may require novel or different delivery fulfillment models that result in increased risk of litigation against our existing model, or increased risk of adverse determinations in our ongoing actions and proceedings. Any adverse determination or implementation of laws, legislation, or regulations that result in shoppers who use Instacart being classified as employees would result in disruption of service to customers and us having to incur additional expenses to employ shoppers, which could materially impair our business and results of our operations and specifically impact our current financial statement presentation including revenue and cost of revenue. In addition, a determination in, or settlement of, any legal proceeding or legislation that results in shoppers who use Instacart being classified as employees would likely require us to significantly alter our existing business model and operations and impair our ability to innovate upon and expand our offerings, which could have a material adverse effect on our results of operations and future growth. Further, if we increase customer fees or charges as a result of the increased costs under Proposition 22 or additional requirements or limitations on the use of contractors, we may experience customer dissatisfaction with such increased fees, which could result in decreased customer use of our offerings. Additionally, if we are unable to fully offset any additional costs incurred in connection with these compliance efforts, our results of operations may be adversely affected.</w:t>
      </w:r>
    </w:p>
    <w:p>
      <w:pPr>
        <w:spacing w:after="0" w:line="260" w:lineRule="exact"/>
        <w:rPr>
          <w:sz w:val="20"/>
          <w:szCs w:val="20"/>
          <w:color w:val="auto"/>
        </w:rPr>
      </w:pPr>
    </w:p>
    <w:p>
      <w:pPr>
        <w:ind w:left="460" w:right="520"/>
        <w:spacing w:after="0" w:line="272" w:lineRule="auto"/>
        <w:rPr>
          <w:sz w:val="20"/>
          <w:szCs w:val="20"/>
          <w:color w:val="auto"/>
        </w:rPr>
      </w:pPr>
      <w:r>
        <w:rPr>
          <w:rFonts w:ascii="Arial" w:cs="Arial" w:eastAsia="Arial" w:hAnsi="Arial"/>
          <w:sz w:val="17"/>
          <w:szCs w:val="17"/>
          <w:b w:val="1"/>
          <w:bCs w:val="1"/>
          <w:i w:val="1"/>
          <w:iCs w:val="1"/>
          <w:color w:val="auto"/>
        </w:rPr>
        <w:t>Adverse litigation judgments or settlements resulting from legal proceedings in which we are or may be involved could expose us to monetary damages or limit our ability to operate our business.</w:t>
      </w:r>
    </w:p>
    <w:p>
      <w:pPr>
        <w:spacing w:after="0" w:line="63" w:lineRule="exact"/>
        <w:rPr>
          <w:sz w:val="20"/>
          <w:szCs w:val="20"/>
          <w:color w:val="auto"/>
        </w:rPr>
      </w:pPr>
    </w:p>
    <w:p>
      <w:pPr>
        <w:ind w:left="460" w:right="40" w:firstLine="413"/>
        <w:spacing w:after="0" w:line="267" w:lineRule="auto"/>
        <w:rPr>
          <w:sz w:val="20"/>
          <w:szCs w:val="20"/>
          <w:color w:val="auto"/>
        </w:rPr>
      </w:pPr>
      <w:r>
        <w:rPr>
          <w:rFonts w:ascii="Arial" w:cs="Arial" w:eastAsia="Arial" w:hAnsi="Arial"/>
          <w:sz w:val="16"/>
          <w:szCs w:val="16"/>
          <w:color w:val="auto"/>
        </w:rPr>
        <w:t>We have in the past been, are currently, and may in the future become, involved in claims, lawsuits, arbitration proceedings, administrative actions, government investigations, and other legal and regulatory proceedings. We are subject to legal proceedings relating to various matters including whether we fulfilled our contractual obligations to or improperly withheld pay or tips from shoppers, whether we adequately protected the public’s or shoppers’ health and safety, whether we properly provide protected leave, whether we properly paid sales tax, whether we properly implemented our service fees, whether we improperly conduct background checks of shoppers, and whether we are responsible for injury resulting from alleged shopper actions or negligence. We are also subject to legal proceedings involving bodily injury and property damage, labor and employment, anti-discrimination claims, commercial and contract disputes, unfair competition, consumer protection, intellectual property, privacy, data security, and data protection, environmental laws and regulations, health and safety, weights and measures, compliance with regulatory requirements, and other matters. See the section titled “Business—Legal Proceedings.” We have investigated many of these matters and are implementing a number of recommendations to our managerial, operational, and compliance practices, as well as strengthening our overall security measures. The results of any such litigation, investigations, and legal proceedings are inherently unpredictable and expensive. The frequency of such claims could increase in proportion to the number of</w:t>
      </w:r>
    </w:p>
    <w:p>
      <w:pPr>
        <w:spacing w:after="0" w:line="11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780"/>
          </w:cols>
          <w:pgMar w:left="320" w:top="440" w:right="79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54" w:lineRule="auto"/>
        <w:rPr>
          <w:sz w:val="20"/>
          <w:szCs w:val="20"/>
          <w:color w:val="auto"/>
        </w:rPr>
      </w:pPr>
      <w:r>
        <w:rPr>
          <w:rFonts w:ascii="Arial" w:cs="Arial" w:eastAsia="Arial" w:hAnsi="Arial"/>
          <w:sz w:val="17"/>
          <w:szCs w:val="17"/>
          <w:color w:val="auto"/>
        </w:rPr>
        <w:t>customers, retailers, brands, and shoppers that use Instacart. Any claims against us, whether meritorious or not, could be costly and harmful to our reputation, and could require significant amounts of management time and corporate resources. If any of these legal proceedings were to be determined adversely to us, or we enter into a settlement arrangement, which we have done in the past, we could be exposed to monetary damages or be forced to change the way in which we operate our business or remove valuable features or content from our platform, which could have an adverse effect on our business, financial condition, and results of operations.</w:t>
      </w:r>
    </w:p>
    <w:p>
      <w:pPr>
        <w:spacing w:after="0" w:line="181"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Moreover, we cannot be certain that our insurance coverage will be adequate for any claims or liabilities against us,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spacing w:after="0" w:line="181" w:lineRule="exact"/>
        <w:rPr>
          <w:sz w:val="20"/>
          <w:szCs w:val="20"/>
          <w:color w:val="auto"/>
        </w:rPr>
      </w:pPr>
    </w:p>
    <w:p>
      <w:pPr>
        <w:ind w:left="460" w:right="80" w:firstLine="413"/>
        <w:spacing w:after="0" w:line="303" w:lineRule="auto"/>
        <w:rPr>
          <w:sz w:val="20"/>
          <w:szCs w:val="20"/>
          <w:color w:val="auto"/>
        </w:rPr>
      </w:pPr>
      <w:r>
        <w:rPr>
          <w:rFonts w:ascii="Arial" w:cs="Arial" w:eastAsia="Arial" w:hAnsi="Arial"/>
          <w:sz w:val="16"/>
          <w:szCs w:val="16"/>
          <w:color w:val="auto"/>
        </w:rPr>
        <w:t>We also face potential liability and expense for claims relating to the information that we publish on our mobile apps or website, including claims for trademark and copyright infringement, false advertising, consumer protection, defamation, libel, and negligence, among others.</w:t>
      </w:r>
    </w:p>
    <w:p>
      <w:pPr>
        <w:spacing w:after="0" w:line="143"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spacing w:after="0" w:line="167"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Further, with the potential for conflicting rules regarding the scope and enforceability of arbitration on a state-by-state basis, as well as conflicting rules between state and federal law, some or all of our arbitration provisions could be subject to challenge or may need to be revised to exempt certain categories of protection. For example, some plaintiffs’ attorneys have argued that certain shoppers are workers “in interstate commerce” and are thus exempt from the Federal Arbitration Act, and it remains possible that a court could find our agreements unenforceable against those shoppers. If our arbitration agreements were found to be unenforceable, in whole 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spacing w:after="0" w:line="258"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b w:val="1"/>
          <w:bCs w:val="1"/>
          <w:i w:val="1"/>
          <w:iCs w:val="1"/>
          <w:color w:val="auto"/>
        </w:rPr>
        <w:t>Our business is subject to various laws and regulations, which may change or increase over time and subject us to increased compliance costs and liabilities.</w:t>
      </w:r>
    </w:p>
    <w:p>
      <w:pPr>
        <w:spacing w:after="0" w:line="63"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Our business is subject to changing laws, rules, and regulations, including, without limitation, federal, state, and local laws, and in the future, country specific laws, governing the internet, eCommerce, including electronic payments, privacy, data security, data protection, pay and fee transparency, health information privacy and security, consumer protection, marketing and advertising, gift cards, health and safety, food and product safety, zoning, sustainability, tax, insurance, employment, weights and measures, alcohol and other age-restricted products, and worker classification and compensation. Some of these laws were adopted prior to the advent of the internet and mobile and related technologies and, as a result, do not contemplate or address the unique issues of the internet and related technologies. New laws and regulations may also be adopted, implemented, or interpreted to apply to us, and existing laws and regulations that we currently comply with and operate under may be interpreted differently in the future, which may require us to change our business and operations and may be costly and harm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80"/>
          </w:cols>
          <w:pgMar w:left="320" w:top="440" w:right="79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Regulatory agencies may enact new laws or promulgate new regulations that are adverse to our business, or they may view matters or interpret laws and regulations differently than they have in the past or in a manner adverse to our business. Additionally, in response to public health threats, such as COVID-19, governments and regulatory agencies passed and may in the future pass new laws, ordinances, and regulations, often with little notice or opportunity for public comment, that impact our business. Such changes and other legal and regulatory uncertainties may adversely affect our business, financial condition, and results of operations, in particular if such changes and uncertainties occur in markets where we generate relatively larger portions of our GTV.</w:t>
      </w:r>
    </w:p>
    <w:p>
      <w:pPr>
        <w:spacing w:after="0" w:line="182"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The cost of compliance with the evolving and ever-changing legal and regulatory environment may be significant. Our failure to comply with existing or future laws, rules, and regulations could subject us to litigation, audits, investigations, disputes, or other legal proceedings that could result in fines, civil liability, mandatory injunctions that change how we operate, or cessation of operations. As our business matures and we expand geographically and into different retail categories, we may become subject to new laws and regulations in new jurisdictions. It is difficult to predict how existing and future laws will be applied to our business as it exists today and may exist in the future.</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face potential liability, expenses for legal claims, and harm to our business based on the nature of our business and the content on Instacart.</w:t>
      </w:r>
    </w:p>
    <w:p>
      <w:pPr>
        <w:spacing w:after="0" w:line="143"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face potential liability, expenses for legal claims, and harm to our reputation and business relating to the nature of the on-demand food and other consumer goods delivery business, including potential claims related to food offerings, delivery, and quality. For example, third parties have asserted, and in the future could assert, legal claims against us in connection with personal injuries related to food poisoning, tampering, or accidents caused by our retail partners or shoppers while making a delivery to customers, defective products, or the sale of alcoholic beverages, tobacco, or other regulated products by our retail partners to underage customers. We may also be subject to legal claims relating to the sale of alcoholic beverages or alcohol consumption, or the advertising or marketing of alcoholic products. Our planned and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personal injuries, false advertising, and related legal claims against us as well as harm to our brand and reputation.</w:t>
      </w:r>
    </w:p>
    <w:p>
      <w:pPr>
        <w:spacing w:after="0" w:line="174"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acts of terrorism on food supply also exists, and if such an event occurs, it could harm our business and results of operations.</w:t>
      </w:r>
    </w:p>
    <w:p>
      <w:pPr>
        <w:spacing w:after="0" w:line="14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w:t>
      </w:r>
    </w:p>
    <w:p>
      <w:pPr>
        <w:spacing w:after="0" w:line="276" w:lineRule="exact"/>
        <w:rPr>
          <w:sz w:val="20"/>
          <w:szCs w:val="20"/>
          <w:color w:val="auto"/>
        </w:rPr>
      </w:pPr>
    </w:p>
    <w:p>
      <w:pPr>
        <w:ind w:left="460" w:right="340"/>
        <w:spacing w:after="0" w:line="277" w:lineRule="auto"/>
        <w:rPr>
          <w:sz w:val="20"/>
          <w:szCs w:val="20"/>
          <w:color w:val="auto"/>
        </w:rPr>
      </w:pPr>
      <w:r>
        <w:rPr>
          <w:rFonts w:ascii="Arial" w:cs="Arial" w:eastAsia="Arial" w:hAnsi="Arial"/>
          <w:sz w:val="16"/>
          <w:szCs w:val="16"/>
          <w:b w:val="1"/>
          <w:bCs w:val="1"/>
          <w:i w:val="1"/>
          <w:iCs w:val="1"/>
          <w:color w:val="auto"/>
        </w:rPr>
        <w:t>We are subject to rapidly changing and increasingly stringent laws, regulations, industry standards, contractual obligations, policies and other obligations relating to privacy, data security, and data protection. The obligations, restrictions, and costs imposed by these laws, or our actual or perceived failure to comply with them, could subject us to adverse business consequences and other liabilities that adversely affect our business, operations, and financial performance.</w:t>
      </w:r>
    </w:p>
    <w:p>
      <w:pPr>
        <w:spacing w:after="0" w:line="62"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As part of our normal business activities, we collect, use, store, share, transmit, and otherwise process sensitive, proprietary, and confidential information, including personal information of customers, retailers, brands, shoppers, employees, and others. These activities are regulated by a variety of federal, state, local, and foreign</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80"/>
          </w:cols>
          <w:pgMar w:left="320" w:top="440" w:right="79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53" w:lineRule="auto"/>
        <w:rPr>
          <w:sz w:val="20"/>
          <w:szCs w:val="20"/>
          <w:color w:val="auto"/>
        </w:rPr>
      </w:pPr>
      <w:r>
        <w:rPr>
          <w:rFonts w:ascii="Arial" w:cs="Arial" w:eastAsia="Arial" w:hAnsi="Arial"/>
          <w:sz w:val="17"/>
          <w:szCs w:val="17"/>
          <w:color w:val="auto"/>
        </w:rPr>
        <w:t>privacy, data security, and data protection laws, regulations, and industry standards, which have become increasingly stringent in recent years. In addition, existing laws and regulations are complex and constantly evolving, and new laws and regulations that apply to our business are being introduced at every level of government in the United States, as well as internationally. As we seek to expand our business, we are, and may increasingly become, subject to various laws, regulations, and standards, and may be subject to contractual obligations, industry standards, codes of conduct, and regulatory guidance relating to privacy, data security, and data protection in the jurisdictions in which we operate. Our efforts to comply with such obligations may not be successful.</w:t>
      </w:r>
    </w:p>
    <w:p>
      <w:pPr>
        <w:spacing w:after="0" w:line="182" w:lineRule="exact"/>
        <w:rPr>
          <w:sz w:val="20"/>
          <w:szCs w:val="20"/>
          <w:color w:val="auto"/>
        </w:rPr>
      </w:pPr>
    </w:p>
    <w:p>
      <w:pPr>
        <w:ind w:left="460" w:right="40" w:firstLine="413"/>
        <w:spacing w:after="0" w:line="286" w:lineRule="auto"/>
        <w:rPr>
          <w:sz w:val="20"/>
          <w:szCs w:val="20"/>
          <w:color w:val="auto"/>
        </w:rPr>
      </w:pPr>
      <w:r>
        <w:rPr>
          <w:rFonts w:ascii="Arial" w:cs="Arial" w:eastAsia="Arial" w:hAnsi="Arial"/>
          <w:sz w:val="15"/>
          <w:szCs w:val="15"/>
          <w:color w:val="auto"/>
        </w:rPr>
        <w:t>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Federal Trade Commission, or FTC, and many state attorneys general are interpreting federal and state consumer protection laws to impose standards for the online collection, use, dissemination, and security of personal information. Such standards require us to publish statements that describe how we handle personal information, and the choices individuals may have about the way we handle their personal information. If such statements that we publish are considered deficient, lacking in transparency, deceptive, unfair, misrepresentative, untrue, or inaccurate, we may be subject to government claims of unfair or deceptive trade practices, which could lead to significant liabilities and consequences. Moreover, according to the FTC, violating consumers’ privacy rights or failing to take appropriate steps to keep consumers’ personal information secure may constitute unfair acts or practices in or affecting commerce in violation of Section 5(a) of the Federal Trade Commission Act. State consumer protection laws provide similar causes of action for unfair or deceptive practices. Furthermore, some states, such as California, Colorado, Connecticut, Massachusetts, Utah, and Virginia, have passed specific laws mandating reasonable security measures for the handling of consumer personal information. Additionally, under various privacy laws and other obligations, we may be required to obtain certain consents to process personal data. Our inability or failure to do so could result in adverse consequences. Further, privacy advocates and industry groups have regularly proposed and sometimes approved, and may propose and approve in the future, self-regulatory standards with which we must legally comply or that contractually apply to us.</w:t>
      </w:r>
    </w:p>
    <w:p>
      <w:pPr>
        <w:spacing w:after="0" w:line="159"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In addition, many state legislatures have adopted legislation that regulates how businesses operate online, including measures relating to privacy, data security, and data breaches. For example, the California Consumer Privacy Act, or CCPA, gives California residents expanded rights related to their personal information, including the right to access and delete their personal information, and receive detailed information about how their personal information is used and shared. The CCPA also creates restrictions on “sales” of personal information and the use of personal information for cross-context behavioral advertising that allow California residents to opt-out of certain sharing of their personal information and may restrict the use of cookies and similar technologies for advertising purposes. Our marketing programs and our Instacart Ads offerings rely on these technologies and could be adversely affected by the CCPA’s restrictions. The CCPA prohibits discrimination against individuals who exercise their privacy rights, provides for civil penalties for violations, and creates a private right of action for certain data breaches. Additionally, the California Privacy Rights Act, or the CPRA, expands the CCPA’s requirements, including by adding a new right for individuals to correct their personal information and establishing a new regulatory agency to implement and enforce the law. The CPRA also restricts the use of certain categories of sensitive personal information that we handle; further restricts the use of cross-context behavioral advertising techniques on which our marketing programs and Instacart Ads offerings rely; establishes restrictions on the retention of personal information; and expands the types of data breaches subject to the private right of action. Virginia, Colorado, Connecticut, and Utah also recently passed comprehensive privacy laws that took effect or will take effect in 2023. These new general privacy laws create restrictions on our business that are similar to the CPRA, including restrictions on “sales” of personal information and cross-context behavioral advertising. As a result, our marketing initiatives and Instacart Ads offerings could further be adversely affected, and additional investment in compliance may be required. Similar laws are being considered in other states and at the federal level, reflecting a trend toward more stringent privacy legislation in the United States. The enactment of such laws could have potentially conflicting requirements that would make compliance challenging and expose us to additional liability.</w:t>
      </w: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780"/>
          </w:cols>
          <w:pgMar w:left="320" w:top="440" w:right="79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are subject to certain health information privacy and security laws as a result of the limited amount of health information that we receive in connection with the prescription delivery services that we provide on behalf of pharmacy retailers. These laws and regulations include HIPAA, which establishes privacy, security, and breach notification standards for protected health information processed by health plans, healthcare clearinghouses, and certain healthcare providers, collectively referred to as covered entities, and the business associates with whom such covered entities contract for services, as well as their covered subcontractors. We are regulated as a “business associate” of certain covered entity pharmacy retailers and must comply with HIPAA as applicable to business associates. We maintain a HIPAA compliance program, but it is not always possible to identify and deter misuse by our employees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As we expand our Instacart Health offering, we anticipate that the risk associated with HIPAA compliance will increase and that we may be required to make significant investments in order to build compliant product offerings in the health space.</w:t>
      </w:r>
    </w:p>
    <w:p>
      <w:pPr>
        <w:spacing w:after="0" w:line="159" w:lineRule="exact"/>
        <w:rPr>
          <w:sz w:val="20"/>
          <w:szCs w:val="20"/>
          <w:color w:val="auto"/>
        </w:rPr>
      </w:pPr>
    </w:p>
    <w:p>
      <w:pPr>
        <w:ind w:left="460" w:right="40" w:firstLine="413"/>
        <w:spacing w:after="0" w:line="290" w:lineRule="auto"/>
        <w:rPr>
          <w:sz w:val="20"/>
          <w:szCs w:val="20"/>
          <w:color w:val="auto"/>
        </w:rPr>
      </w:pPr>
      <w:r>
        <w:rPr>
          <w:rFonts w:ascii="Arial" w:cs="Arial" w:eastAsia="Arial" w:hAnsi="Arial"/>
          <w:sz w:val="15"/>
          <w:szCs w:val="15"/>
          <w:color w:val="auto"/>
        </w:rPr>
        <w:t>In addition, some laws may require us to notify governmental authorities and/or affected individuals of data breaches involving certain personal information or other unauthorized or inadvertent access to or disclosure of such information. We have had to in the past, and may in the future need to, notify governmental authorities and affected individuals with respect to such incidents. For example, laws in all 50 U.S. states may require businesses to provide notice to consumers if a data breach results in unauthorized access to their personal information. These laws are not consistent with each other, and compliance in the event of a widespread data breach may be difficult and costly. We also may be contractually required to notify consumers or other counterparties of a security incident, including a reasonably suspected or actual security incident or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spacing w:after="0" w:line="156"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Federal, state, and local privacy and consumer protection laws also govern specific technologies that we employ. For example, the Telephone Consumer Protection Act, or TCPA, imposes significant restrictions on sending text messages or making telephone calls to mobile telephone numbers without the prior consent of the person being contacted. We also use identity verification technologies that may subject us to state and local biometric privacy laws. For example, the Illinois Biometric Information Privacy Act, or BIPA, regulates the collection, use, safeguarding, and storage of biometric information. The TCPA and BIPA provide for substantial penalties and statutory damages and have generated significant class action activity. The cost of litigating and settling claims that we have violated the TCPA, BIPA, or similar laws could be significant.</w:t>
      </w:r>
    </w:p>
    <w:p>
      <w:pPr>
        <w:spacing w:after="0" w:line="155" w:lineRule="exact"/>
        <w:rPr>
          <w:sz w:val="20"/>
          <w:szCs w:val="20"/>
          <w:color w:val="auto"/>
        </w:rPr>
      </w:pPr>
    </w:p>
    <w:p>
      <w:pPr>
        <w:ind w:left="460" w:right="140" w:firstLine="413"/>
        <w:spacing w:after="0" w:line="269" w:lineRule="auto"/>
        <w:rPr>
          <w:sz w:val="20"/>
          <w:szCs w:val="20"/>
          <w:color w:val="auto"/>
        </w:rPr>
      </w:pPr>
      <w:r>
        <w:rPr>
          <w:rFonts w:ascii="Arial" w:cs="Arial" w:eastAsia="Arial" w:hAnsi="Arial"/>
          <w:sz w:val="16"/>
          <w:szCs w:val="16"/>
          <w:color w:val="auto"/>
        </w:rPr>
        <w:t>Foreign privacy laws are also undergoing a period of rapid change, have become more stringent in recent years, and may increase the costs and complexity of offering our offerings in new geographies. In Canada, where we operate, the Personal Information Protection and Electronic Documents Act, or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or CASL, prohibits email marketing without the recipient’s consent, with limited exceptions. Failure to comply with PIPEDA, CASL,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780"/>
          </w:cols>
          <w:pgMar w:left="320" w:top="440" w:right="79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80"/>
        <w:spacing w:after="0" w:line="311" w:lineRule="auto"/>
        <w:rPr>
          <w:sz w:val="20"/>
          <w:szCs w:val="20"/>
          <w:color w:val="auto"/>
        </w:rPr>
      </w:pPr>
      <w:r>
        <w:rPr>
          <w:rFonts w:ascii="Arial" w:cs="Arial" w:eastAsia="Arial" w:hAnsi="Arial"/>
          <w:sz w:val="15"/>
          <w:szCs w:val="15"/>
          <w:color w:val="auto"/>
        </w:rPr>
        <w:t>addition, certain of our subsidiaries have insignificant operations in China and Australia and are subject to, respectively, China’s Personal Information Protection Law, or PIPL, and Australia’s Privacy Act 1988 and Spam Act 2003. These laws impose a number of requirements on our processing of personal information and direct marketing activities that may increase our compliance costs and risk of facing regulatory enforcement action.</w:t>
      </w:r>
    </w:p>
    <w:p>
      <w:pPr>
        <w:spacing w:after="0" w:line="140"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One of our subsidiaries, FoodStorm, is subject to the United Kingdom General Data Protection Regulation, or UK GDPR. Future expansion of our business, operations, or service offerings to the European Economic Area, or EEA, will increase our exposure to data protection laws in the region, including the European Union General Data Protection Regulation, or GDPR. The GDPR and UK GDPR impose strict requirements for processing personal data of individuals, give individuals extensive rights with respect to their personal data, and carry penalties for violations of up to the greater of EUR 20 million or 4% of total global annual turnover in the European Union, and up to the greater of GBP 17.5 million or 4% total global annual turnover in the United Kingdom. Companies that violate the GDPR or UK GDPR may also face prohibitions on data processing and other corrective action, as well as private litigation brought by classes of data subjects or consumer protection organizations authorized at law to represent their interests.</w:t>
      </w:r>
    </w:p>
    <w:p>
      <w:pPr>
        <w:spacing w:after="0" w:line="132"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Europe, the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EEA’s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59"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175" w:lineRule="exact"/>
        <w:rPr>
          <w:sz w:val="20"/>
          <w:szCs w:val="20"/>
          <w:color w:val="auto"/>
        </w:rPr>
      </w:pPr>
    </w:p>
    <w:p>
      <w:pPr>
        <w:ind w:left="460" w:firstLine="413"/>
        <w:spacing w:after="0" w:line="251" w:lineRule="auto"/>
        <w:rPr>
          <w:sz w:val="20"/>
          <w:szCs w:val="20"/>
          <w:color w:val="auto"/>
        </w:rPr>
      </w:pPr>
      <w:r>
        <w:rPr>
          <w:rFonts w:ascii="Arial" w:cs="Arial" w:eastAsia="Arial" w:hAnsi="Arial"/>
          <w:sz w:val="17"/>
          <w:szCs w:val="17"/>
          <w:color w:val="auto"/>
        </w:rPr>
        <w:t>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to GDPR-level fines.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60"/>
          </w:cols>
          <w:pgMar w:left="320" w:top="440" w:right="81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40"/>
        <w:spacing w:after="0" w:line="260" w:lineRule="auto"/>
        <w:rPr>
          <w:sz w:val="20"/>
          <w:szCs w:val="20"/>
          <w:color w:val="auto"/>
        </w:rPr>
      </w:pPr>
      <w:r>
        <w:rPr>
          <w:rFonts w:ascii="Arial" w:cs="Arial" w:eastAsia="Arial" w:hAnsi="Arial"/>
          <w:sz w:val="17"/>
          <w:szCs w:val="17"/>
          <w:color w:val="auto"/>
        </w:rPr>
        <w:t>European Union’s Data Act), an area which has typically been the subject of very limited or no specific regulation. This means that, if and to the extent such regulations are relevant to our operations or those of our customers, certain of the risks and considerations outlined above may apply equally to our processing of both personal and non-personal data.</w:t>
      </w:r>
    </w:p>
    <w:p>
      <w:pPr>
        <w:spacing w:after="0" w:line="175"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of our marketing activities and our Instacart Ads offerings. In addition, consumer resistance to the collection and sharing of the data used to deliver targeted advertising, increased visibility of consent or “do not track” mechanisms (such as browser signals from the Global Privacy Control) as a result of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71" w:lineRule="exact"/>
        <w:rPr>
          <w:sz w:val="20"/>
          <w:szCs w:val="20"/>
          <w:color w:val="auto"/>
        </w:rPr>
      </w:pPr>
    </w:p>
    <w:p>
      <w:pPr>
        <w:ind w:left="460" w:right="60" w:firstLine="413"/>
        <w:spacing w:after="0" w:line="269" w:lineRule="auto"/>
        <w:rPr>
          <w:sz w:val="20"/>
          <w:szCs w:val="20"/>
          <w:color w:val="auto"/>
        </w:rPr>
      </w:pPr>
      <w:r>
        <w:rPr>
          <w:rFonts w:ascii="Arial" w:cs="Arial" w:eastAsia="Arial" w:hAnsi="Arial"/>
          <w:sz w:val="16"/>
          <w:szCs w:val="16"/>
          <w:color w:val="auto"/>
        </w:rPr>
        <w:t>Further, our business relies significantly on our ability to accept credit or debit card payments, including payments made using our co-branded credit card. Such payments are subject to the Payment Card Industry, or PCI, Data Security Standard, which is a multifaceted security standard that is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spacing w:after="0" w:line="174"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Despite our efforts, we may not be successful in achieving compliance with the rapidly evolving privacy, data security, and data protection requirements discussed above. Any actual or perceived non-compliance, by us or the third parties upon whom we rely, could result in litigation and proceedings against us by governmental entities, customers, or others,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 Our insurance program for corporate risks, including general liability, workers’ compensation, property, cyber liability, and director and officers’ liability, may not cover all potential claims to which we are exposed and may not be adequate to indemnify us for the full extent of our potential liabilities.</w:t>
      </w:r>
    </w:p>
    <w:p>
      <w:pPr>
        <w:spacing w:after="0" w:line="275" w:lineRule="exact"/>
        <w:rPr>
          <w:sz w:val="20"/>
          <w:szCs w:val="20"/>
          <w:color w:val="auto"/>
        </w:rPr>
      </w:pPr>
    </w:p>
    <w:p>
      <w:pPr>
        <w:ind w:left="460" w:right="20"/>
        <w:spacing w:after="0" w:line="377" w:lineRule="auto"/>
        <w:rPr>
          <w:sz w:val="20"/>
          <w:szCs w:val="20"/>
          <w:color w:val="auto"/>
        </w:rPr>
      </w:pPr>
      <w:r>
        <w:rPr>
          <w:rFonts w:ascii="Arial" w:cs="Arial" w:eastAsia="Arial" w:hAnsi="Arial"/>
          <w:sz w:val="14"/>
          <w:szCs w:val="14"/>
          <w:b w:val="1"/>
          <w:bCs w:val="1"/>
          <w:i w:val="1"/>
          <w:iCs w:val="1"/>
          <w:color w:val="auto"/>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spacing w:after="0" w:line="1" w:lineRule="exact"/>
        <w:rPr>
          <w:sz w:val="20"/>
          <w:szCs w:val="20"/>
          <w:color w:val="auto"/>
        </w:rPr>
      </w:pPr>
    </w:p>
    <w:p>
      <w:pPr>
        <w:ind w:left="460" w:right="140" w:firstLine="413"/>
        <w:spacing w:after="0" w:line="277" w:lineRule="auto"/>
        <w:rPr>
          <w:sz w:val="20"/>
          <w:szCs w:val="20"/>
          <w:color w:val="auto"/>
        </w:rPr>
      </w:pPr>
      <w:r>
        <w:rPr>
          <w:rFonts w:ascii="Arial" w:cs="Arial" w:eastAsia="Arial" w:hAnsi="Arial"/>
          <w:sz w:val="16"/>
          <w:szCs w:val="16"/>
          <w:color w:val="auto"/>
        </w:rPr>
        <w:t>Our business depends on customers and shoppers accessing Instacart via a mobile device or, with respect to customers, a personal computer, and the internet. We may operate in jurisdictions that provide limited internet connectivity, particularly if we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780"/>
          </w:cols>
          <w:pgMar w:left="320" w:top="440" w:right="79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400"/>
        <w:spacing w:after="0" w:line="260" w:lineRule="auto"/>
        <w:rPr>
          <w:sz w:val="20"/>
          <w:szCs w:val="20"/>
          <w:color w:val="auto"/>
        </w:rPr>
      </w:pPr>
      <w:r>
        <w:rPr>
          <w:rFonts w:ascii="Arial" w:cs="Arial" w:eastAsia="Arial" w:hAnsi="Arial"/>
          <w:sz w:val="17"/>
          <w:szCs w:val="17"/>
          <w:color w:val="auto"/>
        </w:rPr>
        <w:t>infrastructure that we and users of our offerings rely on in any particular geographic area may be unable to support the demands placed upon it and could interfere with the speed and availability of Instacart. Any such failure in internet or mobile device or computer accessibility, even for a short period of time, could adversely affect our results of operations.</w:t>
      </w:r>
    </w:p>
    <w:p>
      <w:pPr>
        <w:spacing w:after="0" w:line="175"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Governmental agencies in any of the countries in which we or our customers are located could block access to or require a license for Instacart, our mobile apps, website, or the internet generally for a number of reasons, including security, confidentiality, or regulatory concerns. In addition, companies may adopt policies that prohibit their employees from using Instacart. If companies or governmental entities block, limit, or otherwise restrict customers or shoppers from accessing Instacart, our business could be negatively impacted, the number of customers and shoppers using Instacart could decline or grow more slowly, and our results of operations could be adversely affected.</w:t>
      </w:r>
    </w:p>
    <w:p>
      <w:pPr>
        <w:spacing w:after="0" w:line="267"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b w:val="1"/>
          <w:bCs w:val="1"/>
          <w:i w:val="1"/>
          <w:iCs w:val="1"/>
          <w:color w:val="auto"/>
        </w:rPr>
        <w:t>We could be required to collect additional taxes or be subject to other tax liabilities in various jurisdictions which could adversely affect our results of operations.</w:t>
      </w:r>
    </w:p>
    <w:p>
      <w:pPr>
        <w:spacing w:after="0" w:line="63"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color w:val="auto"/>
        </w:rPr>
        <w:t>The application of indirect taxes, such as sales and use tax, value-added tax, goods and services tax, business and occupation tax, commercial activity tax, business license tax, digital advertising tax, and gross receipts tax, to our business 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 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on a longer-term basis as a result of our Flex First workforce model, we may become subject to additional taxes and our compliance burdens with respect to the tax laws of additional jurisdictions may be increased.</w:t>
      </w:r>
    </w:p>
    <w:p>
      <w:pPr>
        <w:spacing w:after="0" w:line="167"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We may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financial statements, if these liabilities exceed such reserves, our financial</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80"/>
          </w:cols>
          <w:pgMar w:left="320" w:top="440" w:right="79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220"/>
        <w:spacing w:after="0" w:line="260" w:lineRule="auto"/>
        <w:rPr>
          <w:sz w:val="20"/>
          <w:szCs w:val="20"/>
          <w:color w:val="auto"/>
        </w:rPr>
      </w:pPr>
      <w:r>
        <w:rPr>
          <w:rFonts w:ascii="Arial" w:cs="Arial" w:eastAsia="Arial" w:hAnsi="Arial"/>
          <w:sz w:val="17"/>
          <w:szCs w:val="17"/>
          <w:color w:val="auto"/>
        </w:rPr>
        <w:t>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17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In addition, federal tax rules generally require payors to report payments to unrelated parties to the Internal Revenue Service, or IRS.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to offset taxable income or taxes may be limited.</w:t>
      </w:r>
    </w:p>
    <w:p>
      <w:pPr>
        <w:spacing w:after="0" w:line="131"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As of December 31, 2022, we had federal net operating loss carryforwards of $410 million, which will not expire. Furthermore, as of December 31, 2022, we had state net operating loss carryforwards of $520 million, if unused, which will begin to expire in 2023. Portions of these net operating loss carryforwards could expire unused and be unavailable to offset future income tax liabilities. Under current law, U.S. federal net operating losses incurred in taxable years beginning after December 31, 2017, may be carried forward indefinitely, but the deductibility of such federal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w:t>
      </w:r>
    </w:p>
    <w:p>
      <w:pPr>
        <w:spacing w:after="0" w:line="155"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Based upon this assessment, we determined that we experienced ownership changes on June 26, 2013 and June 10, 2014. However, no reductions in our ability to utilize our net operating loss and tax credit carryforwards resulted under these rules. We may experience ownership changes as a result of subsequent shifts in our stock ownership, some of which may be outside of our control. The completion of this offering, together with private placements and other transactions that have occurred since our inception, may trigger such an ownership change pursuant to Section 382.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spacing w:after="0" w:line="260" w:lineRule="exact"/>
        <w:rPr>
          <w:sz w:val="20"/>
          <w:szCs w:val="20"/>
          <w:color w:val="auto"/>
        </w:rPr>
      </w:pPr>
    </w:p>
    <w:p>
      <w:pPr>
        <w:ind w:left="460" w:right="780"/>
        <w:spacing w:after="0" w:line="272" w:lineRule="auto"/>
        <w:rPr>
          <w:sz w:val="20"/>
          <w:szCs w:val="20"/>
          <w:color w:val="auto"/>
        </w:rPr>
      </w:pPr>
      <w:r>
        <w:rPr>
          <w:rFonts w:ascii="Arial" w:cs="Arial" w:eastAsia="Arial" w:hAnsi="Arial"/>
          <w:sz w:val="17"/>
          <w:szCs w:val="17"/>
          <w:b w:val="1"/>
          <w:bCs w:val="1"/>
          <w:i w:val="1"/>
          <w:iCs w:val="1"/>
          <w:color w:val="auto"/>
        </w:rPr>
        <w:t>Uncertainties in the interpretation and application of existing, new, and proposed tax laws and regulations could materially affect our tax obligations and effective tax rate.</w:t>
      </w:r>
    </w:p>
    <w:p>
      <w:pPr>
        <w:spacing w:after="0" w:line="63"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6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80"/>
          </w:cols>
          <w:pgMar w:left="320" w:top="440" w:right="79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52" w:lineRule="auto"/>
        <w:rPr>
          <w:sz w:val="20"/>
          <w:szCs w:val="20"/>
          <w:color w:val="auto"/>
        </w:rPr>
      </w:pPr>
      <w:r>
        <w:rPr>
          <w:rFonts w:ascii="Arial" w:cs="Arial" w:eastAsia="Arial" w:hAnsi="Arial"/>
          <w:sz w:val="17"/>
          <w:szCs w:val="17"/>
          <w:color w:val="auto"/>
        </w:rPr>
        <w:t>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283" w:lineRule="exact"/>
        <w:rPr>
          <w:sz w:val="20"/>
          <w:szCs w:val="20"/>
          <w:color w:val="auto"/>
        </w:rPr>
      </w:pPr>
    </w:p>
    <w:p>
      <w:pPr>
        <w:ind w:left="460" w:right="440"/>
        <w:spacing w:after="0" w:line="272"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63"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As we increase our international sales and business, our risks under these laws may increase.</w:t>
      </w:r>
    </w:p>
    <w:p>
      <w:pPr>
        <w:spacing w:after="0" w:line="174" w:lineRule="exact"/>
        <w:rPr>
          <w:sz w:val="20"/>
          <w:szCs w:val="20"/>
          <w:color w:val="auto"/>
        </w:rPr>
      </w:pPr>
    </w:p>
    <w:p>
      <w:pPr>
        <w:ind w:left="460" w:right="60" w:firstLine="413"/>
        <w:spacing w:after="0" w:line="291" w:lineRule="auto"/>
        <w:rPr>
          <w:sz w:val="20"/>
          <w:szCs w:val="20"/>
          <w:color w:val="auto"/>
        </w:rPr>
      </w:pPr>
      <w:r>
        <w:rPr>
          <w:rFonts w:ascii="Arial" w:cs="Arial" w:eastAsia="Arial" w:hAnsi="Arial"/>
          <w:sz w:val="15"/>
          <w:szCs w:val="15"/>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58" w:lineRule="exact"/>
        <w:rPr>
          <w:sz w:val="20"/>
          <w:szCs w:val="20"/>
          <w:color w:val="auto"/>
        </w:rPr>
      </w:pPr>
    </w:p>
    <w:p>
      <w:pPr>
        <w:ind w:left="460" w:right="780"/>
        <w:spacing w:after="0" w:line="272"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sanctions laws and regulations that could impair our ability to compete in international markets or subject us to liability if we violate such laws.</w:t>
      </w:r>
    </w:p>
    <w:p>
      <w:pPr>
        <w:spacing w:after="0" w:line="63" w:lineRule="exact"/>
        <w:rPr>
          <w:sz w:val="20"/>
          <w:szCs w:val="20"/>
          <w:color w:val="auto"/>
        </w:rPr>
      </w:pPr>
    </w:p>
    <w:p>
      <w:pPr>
        <w:ind w:left="460" w:right="60" w:firstLine="413"/>
        <w:spacing w:after="0" w:line="270" w:lineRule="auto"/>
        <w:rPr>
          <w:sz w:val="20"/>
          <w:szCs w:val="20"/>
          <w:color w:val="auto"/>
        </w:rPr>
      </w:pPr>
      <w:r>
        <w:rPr>
          <w:rFonts w:ascii="Arial" w:cs="Arial" w:eastAsia="Arial" w:hAnsi="Arial"/>
          <w:sz w:val="16"/>
          <w:szCs w:val="16"/>
          <w:color w:val="auto"/>
        </w:rPr>
        <w:t>Instacart and our offerings are subject to U.S. export controls, including the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insignificant operations in China relating to the design, engineering, and supply of Caper Carts and Caper Counters to certain of our retail partners’ stores in North America, which operations are subject to import and export controls. Any adverse changes in trade relations with China, such as tariff increases and import and export licensing and control requirements, could interfere with the shipment of Caper Carts and Caper Counters to our</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80"/>
          </w:cols>
          <w:pgMar w:left="320" w:top="440" w:right="79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retail partners, which could have a negative impact on future development and adoption of Caper Carts, Caper Counters, and related prospects.</w:t>
      </w:r>
    </w:p>
    <w:p>
      <w:pPr>
        <w:spacing w:after="0" w:line="221" w:lineRule="exact"/>
        <w:rPr>
          <w:sz w:val="20"/>
          <w:szCs w:val="20"/>
          <w:color w:val="auto"/>
        </w:rPr>
      </w:pPr>
    </w:p>
    <w:p>
      <w:pPr>
        <w:ind w:left="460" w:right="180" w:firstLine="413"/>
        <w:spacing w:after="0" w:line="274" w:lineRule="auto"/>
        <w:rPr>
          <w:sz w:val="20"/>
          <w:szCs w:val="20"/>
          <w:color w:val="auto"/>
        </w:rPr>
      </w:pPr>
      <w:r>
        <w:rPr>
          <w:rFonts w:ascii="Arial" w:cs="Arial" w:eastAsia="Arial" w:hAnsi="Arial"/>
          <w:sz w:val="16"/>
          <w:szCs w:val="16"/>
          <w:color w:val="auto"/>
        </w:rPr>
        <w:t>Furthermore, our activities are subject to U.S. economic sanctions laws and regulations administered by the Office of Foreign Assets Control of the U.S. Treasury Department which generally prohibit any transactions or dealings, including 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267"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b w:val="1"/>
          <w:bCs w:val="1"/>
          <w:i w:val="1"/>
          <w:iCs w:val="1"/>
          <w:color w:val="auto"/>
        </w:rPr>
        <w:t>Our presence outside the United States and any future international expansion strategy will subject us to additional costs and risks, and our plans may not be successful.</w:t>
      </w:r>
    </w:p>
    <w:p>
      <w:pPr>
        <w:spacing w:after="0" w:line="63" w:lineRule="exact"/>
        <w:rPr>
          <w:sz w:val="20"/>
          <w:szCs w:val="20"/>
          <w:color w:val="auto"/>
        </w:rPr>
      </w:pPr>
    </w:p>
    <w:p>
      <w:pPr>
        <w:ind w:left="460" w:right="360" w:firstLine="413"/>
        <w:spacing w:after="0" w:line="296" w:lineRule="auto"/>
        <w:rPr>
          <w:sz w:val="20"/>
          <w:szCs w:val="20"/>
          <w:color w:val="auto"/>
        </w:rPr>
      </w:pPr>
      <w:r>
        <w:rPr>
          <w:rFonts w:ascii="Arial" w:cs="Arial" w:eastAsia="Arial" w:hAnsi="Arial"/>
          <w:sz w:val="15"/>
          <w:szCs w:val="15"/>
          <w:color w:val="auto"/>
        </w:rPr>
        <w:t>We have expanded our presence internationally. We launched operations in Canada in December 2017. We expect to expand our international operations and are evaluating opportunities across the world but do not have plans to launch in any specific geographic area at this time.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spacing w:after="0" w:line="63" w:lineRule="exact"/>
        <w:rPr>
          <w:sz w:val="20"/>
          <w:szCs w:val="20"/>
          <w:color w:val="auto"/>
        </w:rPr>
      </w:pPr>
    </w:p>
    <w:p>
      <w:pPr>
        <w:ind w:left="1360" w:hanging="498"/>
        <w:spacing w:after="0" w:line="260"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inability to attract consumers, retailers, brands, and shoppers;</w:t>
      </w:r>
    </w:p>
    <w:p>
      <w:pPr>
        <w:spacing w:after="0" w:line="121"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competition from local incumbents that better understand the local market, may market and operate more effectively, and may enjoy greater local affinity or awareness;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differing demand dynamics, which may make our offerings less successful;</w:t>
      </w:r>
    </w:p>
    <w:p>
      <w:pPr>
        <w:spacing w:after="0" w:line="121" w:lineRule="exact"/>
        <w:rPr>
          <w:rFonts w:ascii="Arial" w:cs="Arial" w:eastAsia="Arial" w:hAnsi="Arial"/>
          <w:sz w:val="17"/>
          <w:szCs w:val="17"/>
          <w:color w:val="auto"/>
        </w:rPr>
      </w:pPr>
    </w:p>
    <w:p>
      <w:pPr>
        <w:ind w:left="1360" w:right="20" w:hanging="498"/>
        <w:spacing w:after="0" w:line="260"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differing and potentially more onerous employment and labor regulations including with respect to worker classification, where employment and labor laws are generally more advantageous to workers or employees as compared to the United States, including deemed hourly wage and overtime regulations in these locations;</w:t>
      </w:r>
    </w:p>
    <w:p>
      <w:pPr>
        <w:spacing w:after="0" w:line="86" w:lineRule="exact"/>
        <w:rPr>
          <w:rFonts w:ascii="Arial" w:cs="Arial" w:eastAsia="Arial" w:hAnsi="Arial"/>
          <w:sz w:val="17"/>
          <w:szCs w:val="17"/>
          <w:color w:val="auto"/>
        </w:rPr>
      </w:pPr>
    </w:p>
    <w:p>
      <w:pPr>
        <w:ind w:left="1360" w:right="420" w:hanging="498"/>
        <w:spacing w:after="0" w:line="272"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complying with varying laws and regulatory standards, including with respect to privacy, data security, data protection, tax, and local regulatory restrictions;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obtaining any required government approvals, licenses, or other authorizations;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varying levels of internet and mobile technology adoption and infrastructure;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currency exchange restrictions or costs and exchange rate fluctuations;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operating in jurisdictions that do not protect intellectual property rights in the same manner or to the same extent as the United States;</w:t>
      </w:r>
    </w:p>
    <w:p>
      <w:pPr>
        <w:spacing w:after="0" w:line="144" w:lineRule="exact"/>
        <w:rPr>
          <w:rFonts w:ascii="Arial" w:cs="Arial" w:eastAsia="Arial" w:hAnsi="Arial"/>
          <w:sz w:val="15"/>
          <w:szCs w:val="15"/>
          <w:color w:val="auto"/>
        </w:rPr>
      </w:pPr>
    </w:p>
    <w:p>
      <w:pPr>
        <w:ind w:left="1360" w:right="100" w:hanging="498"/>
        <w:spacing w:after="0" w:line="260"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public health concerns or emergencies, such as the COVID-19 pandemic and other highly communicable diseases or viruses, outbreaks of which have from time to time occurred, and which may occur, in various parts of the world in which we operate or may operate in the future; and</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limitations on the repatriation and investment of funds, as well as foreign currency exchange restrictions.</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80"/>
          </w:cols>
          <w:pgMar w:left="320" w:top="440" w:right="79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Our limited experience in operating our business internationally increases the risk that any potential future expansion efforts that we may undertake may not be successful. For example, we have insignificant operations in China relating to the design, supply, and engineering of Caper Carts and Caper Counters. The possibility of adverse changes in trade or political relations with China, political instability, or increases in labor costs could interfere with the manufacturing and/or shipment of Caper Carts and Caper Counters. Our insignificant business operations in China may also be negatively impacted by the current and future political environment in China. We also rely on third-party manufacturers in China for Caper Carts and Caper Counters, which exposes us to risks such as historically lower protection of intellectual property rights, unexpected or unfavorable changes in regulatory requirements, volatility in currency exchange rates, and difficulties associated with the Chinese legal system. If we invest substantial time and resources to expand our operations internationally and are unable to manage these risks effectively, our business, financial condition, and results of operations could be adversely affected.</w:t>
      </w:r>
    </w:p>
    <w:p>
      <w:pPr>
        <w:spacing w:after="0" w:line="369"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4" w:lineRule="exact"/>
        <w:rPr>
          <w:sz w:val="20"/>
          <w:szCs w:val="20"/>
          <w:color w:val="auto"/>
        </w:rPr>
      </w:pPr>
    </w:p>
    <w:p>
      <w:pPr>
        <w:ind w:left="460" w:right="840"/>
        <w:spacing w:after="0" w:line="272" w:lineRule="auto"/>
        <w:rPr>
          <w:sz w:val="20"/>
          <w:szCs w:val="20"/>
          <w:color w:val="auto"/>
        </w:rPr>
      </w:pPr>
      <w:r>
        <w:rPr>
          <w:rFonts w:ascii="Arial" w:cs="Arial" w:eastAsia="Arial" w:hAnsi="Arial"/>
          <w:sz w:val="17"/>
          <w:szCs w:val="17"/>
          <w:b w:val="1"/>
          <w:bCs w:val="1"/>
          <w:i w:val="1"/>
          <w:iCs w:val="1"/>
          <w:color w:val="auto"/>
        </w:rPr>
        <w:t>We rely on third parties for elements of the payment processing infrastructure underlying Instacart. If these third-party elements become unavailable or unavailable on favorable terms, our business could be adversely affected.</w:t>
      </w:r>
    </w:p>
    <w:p>
      <w:pPr>
        <w:spacing w:after="0" w:line="63" w:lineRule="exact"/>
        <w:rPr>
          <w:sz w:val="20"/>
          <w:szCs w:val="20"/>
          <w:color w:val="auto"/>
        </w:rPr>
      </w:pPr>
    </w:p>
    <w:p>
      <w:pPr>
        <w:ind w:left="460" w:firstLine="413"/>
        <w:spacing w:after="0" w:line="253" w:lineRule="auto"/>
        <w:rPr>
          <w:sz w:val="20"/>
          <w:szCs w:val="20"/>
          <w:color w:val="auto"/>
        </w:rPr>
      </w:pPr>
      <w:r>
        <w:rPr>
          <w:rFonts w:ascii="Arial" w:cs="Arial" w:eastAsia="Arial" w:hAnsi="Arial"/>
          <w:sz w:val="16"/>
          <w:szCs w:val="16"/>
          <w:color w:val="auto"/>
        </w:rPr>
        <w:t>The convenient payment mechanisms provided by Instacart are key factors contributing to the development of our business. We rely on third parties, including Fiserv, Klarna, Marqeta, PayPal, and Stripe,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w:t>
      </w:r>
      <w:r>
        <w:rPr>
          <w:rFonts w:ascii="Arial" w:cs="Arial" w:eastAsia="Arial" w:hAnsi="Arial"/>
          <w:sz w:val="24"/>
          <w:szCs w:val="24"/>
          <w:color w:val="auto"/>
          <w:vertAlign w:val="superscript"/>
        </w:rPr>
        <w:t>™</w:t>
      </w:r>
      <w:r>
        <w:rPr>
          <w:rFonts w:ascii="Arial" w:cs="Arial" w:eastAsia="Arial" w:hAnsi="Arial"/>
          <w:sz w:val="16"/>
          <w:szCs w:val="16"/>
          <w:color w:val="auto"/>
        </w:rPr>
        <w:t>, and Apple Pay</w:t>
      </w:r>
      <w:r>
        <w:rPr>
          <w:rFonts w:ascii="Arial" w:cs="Arial" w:eastAsia="Arial" w:hAnsi="Arial"/>
          <w:sz w:val="24"/>
          <w:szCs w:val="24"/>
          <w:color w:val="auto"/>
          <w:vertAlign w:val="superscript"/>
        </w:rPr>
        <w:t>®</w:t>
      </w:r>
      <w:r>
        <w:rPr>
          <w:rFonts w:ascii="Arial" w:cs="Arial" w:eastAsia="Arial" w:hAnsi="Arial"/>
          <w:sz w:val="16"/>
          <w:szCs w:val="16"/>
          <w:color w:val="auto"/>
        </w:rPr>
        <w:t>,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84"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consumers, retailers, and shoppers could be adversely affected. If we are forced to migrate to other third-party payment service providers for any reason, the transition would require significant time and management resources, and may not be as effective, efficient, or well-received by consumers, retailers, or shoppers.</w:t>
      </w:r>
    </w:p>
    <w:p>
      <w:pPr>
        <w:spacing w:after="0" w:line="273" w:lineRule="exact"/>
        <w:rPr>
          <w:sz w:val="20"/>
          <w:szCs w:val="20"/>
          <w:color w:val="auto"/>
        </w:rPr>
      </w:pPr>
    </w:p>
    <w:p>
      <w:pPr>
        <w:ind w:left="460" w:right="480"/>
        <w:spacing w:after="0" w:line="272" w:lineRule="auto"/>
        <w:rPr>
          <w:sz w:val="20"/>
          <w:szCs w:val="20"/>
          <w:color w:val="auto"/>
        </w:rPr>
      </w:pPr>
      <w:r>
        <w:rPr>
          <w:rFonts w:ascii="Arial" w:cs="Arial" w:eastAsia="Arial" w:hAnsi="Arial"/>
          <w:sz w:val="17"/>
          <w:szCs w:val="17"/>
          <w:b w:val="1"/>
          <w:bCs w:val="1"/>
          <w:i w:val="1"/>
          <w:iCs w:val="1"/>
          <w:color w:val="auto"/>
        </w:rPr>
        <w:t>We rely on software and services from other parties. Defects in, or the loss of access to, software or services from third parties could harm our business and adversely affect the quality of Instacart.</w:t>
      </w:r>
    </w:p>
    <w:p>
      <w:pPr>
        <w:spacing w:after="0" w:line="63" w:lineRule="exact"/>
        <w:rPr>
          <w:sz w:val="20"/>
          <w:szCs w:val="20"/>
          <w:color w:val="auto"/>
        </w:rPr>
      </w:pPr>
    </w:p>
    <w:p>
      <w:pPr>
        <w:ind w:left="460" w:right="100" w:firstLine="413"/>
        <w:spacing w:after="0" w:line="293" w:lineRule="auto"/>
        <w:rPr>
          <w:sz w:val="20"/>
          <w:szCs w:val="20"/>
          <w:color w:val="auto"/>
        </w:rPr>
      </w:pPr>
      <w:r>
        <w:rPr>
          <w:rFonts w:ascii="Arial" w:cs="Arial" w:eastAsia="Arial" w:hAnsi="Arial"/>
          <w:sz w:val="15"/>
          <w:szCs w:val="15"/>
          <w:color w:val="auto"/>
        </w:rPr>
        <w:t>Our offerings incorporate certain third-party software obtained under licenses from other companies, including for our background checks, data visualization, mapping, and database tools. Such third parties may discontinue their products,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would require us to enter into license agreements with third parties, and we may not be able to enter into such agreements on advantageous terms. In</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780"/>
          </w:cols>
          <w:pgMar w:left="320" w:top="440" w:right="79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60"/>
        <w:spacing w:after="0" w:line="254" w:lineRule="auto"/>
        <w:rPr>
          <w:sz w:val="20"/>
          <w:szCs w:val="20"/>
          <w:color w:val="auto"/>
        </w:rPr>
      </w:pPr>
      <w:r>
        <w:rPr>
          <w:rFonts w:ascii="Arial" w:cs="Arial" w:eastAsia="Arial" w:hAnsi="Arial"/>
          <w:sz w:val="17"/>
          <w:szCs w:val="17"/>
          <w:color w:val="auto"/>
        </w:rPr>
        <w:t>addition, integration of the software used in our offerings with new third-party software may require significant work and substantial investment of our time and resources. Also, to the extent that our offerings depend upon the successful operation of third-party software, any undetected errors or defects in, or disruptions to the functionality of, such third-party software could prevent the deployment or impair the functionality of our offerings, delay new offering introductions, result in a failure of our offerings, and injure our reputation, which in each case could harm our financial condition and results of operations.</w:t>
      </w:r>
    </w:p>
    <w:p>
      <w:pPr>
        <w:spacing w:after="0" w:line="283" w:lineRule="exact"/>
        <w:rPr>
          <w:sz w:val="20"/>
          <w:szCs w:val="20"/>
          <w:color w:val="auto"/>
        </w:rPr>
      </w:pPr>
    </w:p>
    <w:p>
      <w:pPr>
        <w:ind w:left="460" w:right="220"/>
        <w:spacing w:after="0" w:line="303" w:lineRule="auto"/>
        <w:rPr>
          <w:sz w:val="20"/>
          <w:szCs w:val="20"/>
          <w:color w:val="auto"/>
        </w:rPr>
      </w:pPr>
      <w:r>
        <w:rPr>
          <w:rFonts w:ascii="Arial" w:cs="Arial" w:eastAsia="Arial" w:hAnsi="Arial"/>
          <w:sz w:val="16"/>
          <w:szCs w:val="16"/>
          <w:b w:val="1"/>
          <w:bCs w:val="1"/>
          <w:i w:val="1"/>
          <w:iCs w:val="1"/>
          <w:color w:val="auto"/>
        </w:rPr>
        <w:t>We currently rely on a small number of third-party service providers to host or support a significant portion of Instacart, and any interruptions or delays in services from these third parties could impair the delivery of our offerings and harm our business.</w:t>
      </w:r>
    </w:p>
    <w:p>
      <w:pPr>
        <w:spacing w:after="0" w:line="42"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We currently host Instacart and support our operations using a combination of a small number of third-party service providers, including Amazon Web Services and Google Cloud Platform. We do not have control over the operations of the facilities of the hosting providers that we use, and these third-party operations and co-located data centers may experience break-ins, computer viruses, denial-of-service or other cyber-attacks, sabotage, acts of vandalism, and other misconduct.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onboard new customers or expand the usage of our existing customers,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spacing w:after="0" w:line="176"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In addition, any changes in our hosting provider’s service levels may adversely affect our ability to meet the expectations of customers, retailers,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shoppers and retailers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780"/>
          </w:cols>
          <w:pgMar w:left="320" w:top="440" w:right="79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20"/>
        <w:spacing w:after="0" w:line="260" w:lineRule="auto"/>
        <w:rPr>
          <w:sz w:val="20"/>
          <w:szCs w:val="20"/>
          <w:color w:val="auto"/>
        </w:rPr>
      </w:pPr>
      <w:r>
        <w:rPr>
          <w:rFonts w:ascii="Arial" w:cs="Arial" w:eastAsia="Arial" w:hAnsi="Arial"/>
          <w:sz w:val="17"/>
          <w:szCs w:val="17"/>
          <w:b w:val="1"/>
          <w:bCs w:val="1"/>
          <w:i w:val="1"/>
          <w:iCs w:val="1"/>
          <w:color w:val="auto"/>
        </w:rPr>
        <w:t>We rely on mobile operating systems and app marketplaces to make portions of Instacart available to customers, retailers, brands, and shoppers, and if we do not effectively operate with such app marketplaces, our usage or brand recognition could decline and our business, financial condition, and results of operations could be adversely affected.</w:t>
      </w:r>
    </w:p>
    <w:p>
      <w:pPr>
        <w:spacing w:after="0" w:line="74" w:lineRule="exact"/>
        <w:rPr>
          <w:sz w:val="20"/>
          <w:szCs w:val="20"/>
          <w:color w:val="auto"/>
        </w:rPr>
      </w:pPr>
    </w:p>
    <w:p>
      <w:pPr>
        <w:ind w:left="460" w:right="20" w:firstLine="413"/>
        <w:spacing w:after="0" w:line="267" w:lineRule="auto"/>
        <w:rPr>
          <w:sz w:val="20"/>
          <w:szCs w:val="20"/>
          <w:color w:val="auto"/>
        </w:rPr>
      </w:pPr>
      <w:r>
        <w:rPr>
          <w:rFonts w:ascii="Arial" w:cs="Arial" w:eastAsia="Arial" w:hAnsi="Arial"/>
          <w:sz w:val="16"/>
          <w:szCs w:val="16"/>
          <w:color w:val="auto"/>
        </w:rPr>
        <w:t>We depend in part on mobile operating systems, such as Android and iOS, and their respective app marketplaces to make Instacart available to customers, retailers, brands, and shoppers. Any changes in such systems and app marketplaces that degrade the functionality of our app or give preferential treatment to our competitors’ apps could adversely affect Instacart’s usage on mobile devices. If such mobile operating systems or app marketplaces limit or prohibit us from making our apps available to customers, retailers, brands, or shoppers, make changes that degrade the functionality of our apps, change the way we collect or use data, increase the cost of using our apps, impose terms of use unsatisfactory to us, alter how we collect fees, increase our compliance costs, or modify their search or ratings algorithms in ways that are detrimental to us, or if our competitors’ placement in such mobile operating systems’ app marketplace is more prominent than the placement of our apps, our growth could slow. Our apps have experienced fluctuations in placement in the past, and we anticipate similar fluctuations in the future. Additionally, we are subject to requirements imposed by app marketplaces such as those operated by Apple and Google, who may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spacing w:after="0" w:line="174"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As new mobile devices and mobile platforms are released, there is no guarantee that certain mobile devices will continue to support our apps or that we can effectively roll out updates to our app. Additionally, in order to deliver high-quality apps, we need to ensure that Instacart is designed to work effectively with a range of mobile technologies, systems, networks, and standards. If customers, retailers,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spacing w:after="0" w:line="283" w:lineRule="exact"/>
        <w:rPr>
          <w:sz w:val="20"/>
          <w:szCs w:val="20"/>
          <w:color w:val="auto"/>
        </w:rPr>
      </w:pPr>
    </w:p>
    <w:p>
      <w:pPr>
        <w:ind w:left="460" w:right="180"/>
        <w:spacing w:after="0" w:line="284" w:lineRule="auto"/>
        <w:rPr>
          <w:sz w:val="20"/>
          <w:szCs w:val="20"/>
          <w:color w:val="auto"/>
        </w:rPr>
      </w:pPr>
      <w:r>
        <w:rPr>
          <w:rFonts w:ascii="Arial" w:cs="Arial" w:eastAsia="Arial" w:hAnsi="Arial"/>
          <w:sz w:val="16"/>
          <w:szCs w:val="16"/>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56" w:lineRule="exact"/>
        <w:rPr>
          <w:sz w:val="20"/>
          <w:szCs w:val="20"/>
          <w:color w:val="auto"/>
        </w:rPr>
      </w:pPr>
    </w:p>
    <w:p>
      <w:pPr>
        <w:ind w:left="460" w:right="40" w:firstLine="413"/>
        <w:spacing w:after="0" w:line="268" w:lineRule="auto"/>
        <w:rPr>
          <w:sz w:val="20"/>
          <w:szCs w:val="20"/>
          <w:color w:val="auto"/>
        </w:rPr>
      </w:pPr>
      <w:r>
        <w:rPr>
          <w:rFonts w:ascii="Arial" w:cs="Arial" w:eastAsia="Arial" w:hAnsi="Arial"/>
          <w:sz w:val="16"/>
          <w:szCs w:val="16"/>
          <w:color w:val="auto"/>
        </w:rPr>
        <w:t>We procure third-party insurance policies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or to shoppers,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33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80"/>
          </w:cols>
          <w:pgMar w:left="320" w:top="440" w:right="79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74"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37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4"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b w:val="1"/>
          <w:bCs w:val="1"/>
          <w:i w:val="1"/>
          <w:iCs w:val="1"/>
          <w:color w:val="auto"/>
        </w:rPr>
        <w:t>Failure to adequately maintain and protect our intellectual property and proprietary rights could harm our brand, devalue our proprietary content, and adversely affect our ability to compete effectively</w:t>
      </w:r>
      <w:r>
        <w:rPr>
          <w:rFonts w:ascii="Arial" w:cs="Arial" w:eastAsia="Arial" w:hAnsi="Arial"/>
          <w:sz w:val="17"/>
          <w:szCs w:val="17"/>
          <w:color w:val="auto"/>
        </w:rPr>
        <w:t>.</w:t>
      </w:r>
    </w:p>
    <w:p>
      <w:pPr>
        <w:spacing w:after="0" w:line="63" w:lineRule="exact"/>
        <w:rPr>
          <w:sz w:val="20"/>
          <w:szCs w:val="20"/>
          <w:color w:val="auto"/>
        </w:rPr>
      </w:pPr>
    </w:p>
    <w:p>
      <w:pPr>
        <w:ind w:left="460" w:right="60" w:firstLine="413"/>
        <w:spacing w:after="0" w:line="286" w:lineRule="auto"/>
        <w:rPr>
          <w:sz w:val="20"/>
          <w:szCs w:val="20"/>
          <w:color w:val="auto"/>
        </w:rPr>
      </w:pPr>
      <w:r>
        <w:rPr>
          <w:rFonts w:ascii="Arial" w:cs="Arial" w:eastAsia="Arial" w:hAnsi="Arial"/>
          <w:sz w:val="15"/>
          <w:szCs w:val="15"/>
          <w:color w:val="auto"/>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spacing w:after="0" w:line="162"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60"/>
          </w:cols>
          <w:pgMar w:left="320" w:top="440" w:right="81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60"/>
        <w:spacing w:after="0" w:line="267" w:lineRule="auto"/>
        <w:rPr>
          <w:sz w:val="20"/>
          <w:szCs w:val="20"/>
          <w:color w:val="auto"/>
        </w:rPr>
      </w:pPr>
      <w:r>
        <w:rPr>
          <w:rFonts w:ascii="Arial" w:cs="Arial" w:eastAsia="Arial" w:hAnsi="Arial"/>
          <w:sz w:val="16"/>
          <w:szCs w:val="16"/>
          <w:color w:val="auto"/>
        </w:rPr>
        <w:t xml:space="preserve">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spacing w:after="0" w:line="176"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spacing w:after="0" w:line="17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spacing w:after="0" w:line="170" w:lineRule="exact"/>
        <w:rPr>
          <w:sz w:val="20"/>
          <w:szCs w:val="20"/>
          <w:color w:val="auto"/>
        </w:rPr>
      </w:pPr>
    </w:p>
    <w:p>
      <w:pPr>
        <w:ind w:left="460" w:right="80" w:firstLine="413"/>
        <w:spacing w:after="0" w:line="290" w:lineRule="auto"/>
        <w:rPr>
          <w:sz w:val="20"/>
          <w:szCs w:val="20"/>
          <w:color w:val="auto"/>
        </w:rPr>
      </w:pPr>
      <w:r>
        <w:rPr>
          <w:rFonts w:ascii="Arial" w:cs="Arial" w:eastAsia="Arial" w:hAnsi="Arial"/>
          <w:sz w:val="15"/>
          <w:szCs w:val="15"/>
          <w:color w:val="auto"/>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have accessed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spacing w:after="0" w:line="9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80"/>
          </w:cols>
          <w:pgMar w:left="320" w:top="440" w:right="79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b w:val="1"/>
          <w:bCs w:val="1"/>
          <w:i w:val="1"/>
          <w:iCs w:val="1"/>
          <w:color w:val="auto"/>
        </w:rPr>
        <w:t>We are currently, and may in the future become, party to intellectual property disputes, which are costly and may subject us to significant liability and increased costs of doing business.</w:t>
      </w:r>
    </w:p>
    <w:p>
      <w:pPr>
        <w:spacing w:after="0" w:line="63" w:lineRule="exact"/>
        <w:rPr>
          <w:sz w:val="20"/>
          <w:szCs w:val="20"/>
          <w:color w:val="auto"/>
        </w:rPr>
      </w:pPr>
    </w:p>
    <w:p>
      <w:pPr>
        <w:ind w:left="460" w:right="40" w:firstLine="413"/>
        <w:spacing w:after="0" w:line="286" w:lineRule="auto"/>
        <w:rPr>
          <w:sz w:val="20"/>
          <w:szCs w:val="20"/>
          <w:color w:val="auto"/>
        </w:rPr>
      </w:pPr>
      <w:r>
        <w:rPr>
          <w:rFonts w:ascii="Arial" w:cs="Arial" w:eastAsia="Arial" w:hAnsi="Arial"/>
          <w:sz w:val="15"/>
          <w:szCs w:val="15"/>
          <w:color w:val="auto"/>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In 2020, we held conversations with International Business Machines Corporation, or IBM, regarding IBM’s patent portfolio. In connection with these conversations, and to resolve any allegations of possible infringement of IBM’s patents, in January 2021, we entered into an arrangement to significantly increase the size of our patent portfolio, including the acquisition of over 250 patents from IBM and a patent cross-license. However, this strategy of asserting and cross-licensing our patent portfolio against third parties in order to settle infringement claims brought against us is not effective against certain patent owners, such as non-practicing entities.</w:t>
      </w:r>
    </w:p>
    <w:p>
      <w:pPr>
        <w:spacing w:after="0" w:line="159" w:lineRule="exact"/>
        <w:rPr>
          <w:sz w:val="20"/>
          <w:szCs w:val="20"/>
          <w:color w:val="auto"/>
        </w:rPr>
      </w:pPr>
    </w:p>
    <w:p>
      <w:pPr>
        <w:ind w:left="460" w:firstLine="413"/>
        <w:spacing w:after="0" w:line="266" w:lineRule="auto"/>
        <w:rPr>
          <w:sz w:val="20"/>
          <w:szCs w:val="20"/>
          <w:color w:val="auto"/>
        </w:rPr>
      </w:pPr>
      <w:r>
        <w:rPr>
          <w:rFonts w:ascii="Arial" w:cs="Arial" w:eastAsia="Arial" w:hAnsi="Arial"/>
          <w:sz w:val="16"/>
          <w:szCs w:val="16"/>
          <w:color w:val="auto"/>
        </w:rPr>
        <w:t>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 and expose us to other legal liabilities, such as indemnification obligations. We could be required to pay substantial damages or cease using intellectual property or technology that is deemed infringing or be required to enter into royalty or licensing agreements to obtain the right to use a third party’s intellectual property. Any such royalty or licensing 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780"/>
          </w:cols>
          <w:pgMar w:left="320" w:top="440" w:right="79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litigation to which we might become a party, or for which we are required to provide indemnification, may require us to do one or more of the following:</w:t>
      </w:r>
    </w:p>
    <w:p>
      <w:pPr>
        <w:spacing w:after="0" w:line="144" w:lineRule="exact"/>
        <w:rPr>
          <w:sz w:val="20"/>
          <w:szCs w:val="20"/>
          <w:color w:val="auto"/>
        </w:rPr>
      </w:pPr>
    </w:p>
    <w:p>
      <w:pPr>
        <w:ind w:left="1360" w:hanging="498"/>
        <w:spacing w:after="0"/>
        <w:tabs>
          <w:tab w:leader="none" w:pos="1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cease selling or using offerings that incorporate the intellectual property rights that we allegedly infringe, misappropriate, or violate;</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make substantial payments for legal fees, settlement payments, or other costs or damages;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obtain a license, which may not be available on reasonable terms or at all, to sell or use the relevant technology; or</w:t>
      </w:r>
    </w:p>
    <w:p>
      <w:pPr>
        <w:spacing w:after="0" w:line="121" w:lineRule="exact"/>
        <w:rPr>
          <w:rFonts w:ascii="Arial" w:cs="Arial" w:eastAsia="Arial" w:hAnsi="Arial"/>
          <w:sz w:val="17"/>
          <w:szCs w:val="17"/>
          <w:color w:val="auto"/>
        </w:rPr>
      </w:pPr>
    </w:p>
    <w:p>
      <w:pPr>
        <w:ind w:left="1360" w:right="20" w:hanging="498"/>
        <w:spacing w:after="0" w:line="272" w:lineRule="auto"/>
        <w:tabs>
          <w:tab w:leader="none" w:pos="1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redesign the allegedly infringing offerings to avoid infringement, misappropriation, or violation, which could be costly, time-consuming, or impossible.</w:t>
      </w:r>
    </w:p>
    <w:p>
      <w:pPr>
        <w:spacing w:after="0" w:line="165"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spacing w:after="0" w:line="283" w:lineRule="exact"/>
        <w:rPr>
          <w:sz w:val="20"/>
          <w:szCs w:val="20"/>
          <w:color w:val="auto"/>
        </w:rPr>
      </w:pPr>
    </w:p>
    <w:p>
      <w:pPr>
        <w:ind w:left="460" w:right="640"/>
        <w:spacing w:after="0" w:line="272" w:lineRule="auto"/>
        <w:rPr>
          <w:sz w:val="20"/>
          <w:szCs w:val="20"/>
          <w:color w:val="auto"/>
        </w:rPr>
      </w:pPr>
      <w:r>
        <w:rPr>
          <w:rFonts w:ascii="Arial" w:cs="Arial" w:eastAsia="Arial" w:hAnsi="Arial"/>
          <w:sz w:val="17"/>
          <w:szCs w:val="17"/>
          <w:b w:val="1"/>
          <w:bCs w:val="1"/>
          <w:i w:val="1"/>
          <w:iCs w:val="1"/>
          <w:color w:val="auto"/>
        </w:rPr>
        <w:t>Our use of third-party open source software could adversely affect our ability to offer Instacart and our offerings and subjects us to possible litigation.</w:t>
      </w:r>
    </w:p>
    <w:p>
      <w:pPr>
        <w:spacing w:after="0" w:line="63" w:lineRule="exact"/>
        <w:rPr>
          <w:sz w:val="20"/>
          <w:szCs w:val="20"/>
          <w:color w:val="auto"/>
        </w:rPr>
      </w:pPr>
    </w:p>
    <w:p>
      <w:pPr>
        <w:ind w:left="460" w:right="20" w:firstLine="413"/>
        <w:spacing w:after="0" w:line="267" w:lineRule="auto"/>
        <w:rPr>
          <w:sz w:val="20"/>
          <w:szCs w:val="20"/>
          <w:color w:val="auto"/>
        </w:rPr>
      </w:pPr>
      <w:r>
        <w:rPr>
          <w:rFonts w:ascii="Arial" w:cs="Arial" w:eastAsia="Arial" w:hAnsi="Arial"/>
          <w:sz w:val="16"/>
          <w:szCs w:val="16"/>
          <w:color w:val="auto"/>
        </w:rPr>
        <w:t>We use third-party open source software in connection with the operation, development, and deployment of Instacart and our offerings.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 source software and to shield our valuable proprietary source code from these open-source license requirements, we have not run a complete open source license review and may inadvertently use third-party open source software in a manner that exposes us to claims of non-compliance with the applicable terms of such license, that could require us to disclose source code of our proprietary software, or that could prohibit us from charging fees for use of our proprietary software. Furthermore, there is an increasing number of open-source software license types, almost none of which have been tested in a court of law, resulting in a dearth of guidance regarding the proper legal interpretation of such licenses. If we were to receive a claim of non-compliance with the terms of any of our open source licenses, we may be required to publicly release certain portions of our proprietary source code or expend substantial time and resources to re-engineer some or all of our software.</w:t>
      </w:r>
    </w:p>
    <w:p>
      <w:pPr>
        <w:spacing w:after="0" w:line="174" w:lineRule="exact"/>
        <w:rPr>
          <w:sz w:val="20"/>
          <w:szCs w:val="20"/>
          <w:color w:val="auto"/>
        </w:rPr>
      </w:pPr>
    </w:p>
    <w:p>
      <w:pPr>
        <w:ind w:left="460" w:right="40" w:firstLine="413"/>
        <w:spacing w:after="0" w:line="291" w:lineRule="auto"/>
        <w:rPr>
          <w:sz w:val="20"/>
          <w:szCs w:val="20"/>
          <w:color w:val="auto"/>
        </w:rPr>
      </w:pPr>
      <w:r>
        <w:rPr>
          <w:rFonts w:ascii="Arial" w:cs="Arial" w:eastAsia="Arial" w:hAnsi="Arial"/>
          <w:sz w:val="15"/>
          <w:szCs w:val="15"/>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Instacart. Additionally, because any software source code that we contribute to open 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00"/>
          </w:cols>
          <w:pgMar w:left="320" w:top="440" w:right="77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trading price of our common stock may be volatile and could decline significantly and rapidly.</w:t>
      </w:r>
    </w:p>
    <w:p>
      <w:pPr>
        <w:spacing w:after="0" w:line="10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trading price of our common stock could be subject to wide fluctuations in response to numerous factors in addition to the ones described in this “Risk Factors” section many of which are beyond our control, including:</w:t>
      </w:r>
    </w:p>
    <w:p>
      <w:pPr>
        <w:spacing w:after="0" w:line="76" w:lineRule="exact"/>
        <w:rPr>
          <w:sz w:val="20"/>
          <w:szCs w:val="20"/>
          <w:color w:val="auto"/>
        </w:rPr>
      </w:pPr>
    </w:p>
    <w:p>
      <w:pPr>
        <w:ind w:left="1360" w:hanging="498"/>
        <w:spacing w:after="0"/>
        <w:tabs>
          <w:tab w:leader="none" w:pos="13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actual or anticipated fluctuations in our results of operations and growth rates, including as a result of any future public health outbreaks;</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number of shares of our common stock made available for trading;</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overall performance of the equity markets and the economy as a whole;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changes in the financial projections we may provide to the public or our failure to meet these projections;</w:t>
      </w:r>
    </w:p>
    <w:p>
      <w:pPr>
        <w:spacing w:after="0" w:line="121" w:lineRule="exact"/>
        <w:rPr>
          <w:rFonts w:ascii="Arial" w:cs="Arial" w:eastAsia="Arial" w:hAnsi="Arial"/>
          <w:sz w:val="17"/>
          <w:szCs w:val="17"/>
          <w:color w:val="auto"/>
        </w:rPr>
      </w:pPr>
    </w:p>
    <w:p>
      <w:pPr>
        <w:ind w:left="1360" w:right="20" w:hanging="498"/>
        <w:spacing w:after="0" w:line="272" w:lineRule="auto"/>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changes in the pricing of our offerings;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that of our competitors;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changes in the anticipated future size or growth rate of our addressable markets;</w:t>
      </w:r>
    </w:p>
    <w:p>
      <w:pPr>
        <w:spacing w:after="0" w:line="121" w:lineRule="exact"/>
        <w:rPr>
          <w:rFonts w:ascii="Arial" w:cs="Arial" w:eastAsia="Arial" w:hAnsi="Arial"/>
          <w:sz w:val="17"/>
          <w:szCs w:val="17"/>
          <w:color w:val="auto"/>
        </w:rPr>
      </w:pPr>
    </w:p>
    <w:p>
      <w:pPr>
        <w:ind w:left="1360" w:right="140" w:hanging="498"/>
        <w:spacing w:after="0" w:line="272" w:lineRule="auto"/>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announcements of new products, or of acquisitions, strategic partnerships, joint ventures, or capital-raising activities or commitments, by us or by our competitors;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repurchases or expectations with respect to repurchases of our common stock by 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additions or departures of board members, management, or key personnel;</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21"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 including those related to privacy, data security, data protection, and cyber security in the United States or globally;</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or responses to these events;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health epidemics, such as the COVID-19 pandemic, influenza, and other highly communicable diseases or viruses;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expiration of lock-up agreements;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sales or expectations with respect to sales of shares of our common stock by us or our security holders.</w:t>
      </w:r>
    </w:p>
    <w:p>
      <w:pPr>
        <w:spacing w:after="0" w:line="210"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 more pronounced in the trading market for our common stock shortly following the listing of our common stock on Nasdaq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760"/>
          </w:cols>
          <w:pgMar w:left="320" w:top="440" w:right="81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initial public offering price of our common stock may not be indicative of the market price of our common stock after this offering.</w:t>
      </w:r>
    </w:p>
    <w:p>
      <w:pPr>
        <w:spacing w:after="0" w:line="120" w:lineRule="exact"/>
        <w:rPr>
          <w:sz w:val="20"/>
          <w:szCs w:val="20"/>
          <w:color w:val="auto"/>
        </w:rPr>
      </w:pPr>
    </w:p>
    <w:p>
      <w:pPr>
        <w:ind w:left="460" w:right="240" w:firstLine="413"/>
        <w:spacing w:after="0" w:line="311" w:lineRule="auto"/>
        <w:rPr>
          <w:sz w:val="20"/>
          <w:szCs w:val="20"/>
          <w:color w:val="auto"/>
        </w:rPr>
      </w:pPr>
      <w:r>
        <w:rPr>
          <w:rFonts w:ascii="Arial" w:cs="Arial" w:eastAsia="Arial" w:hAnsi="Arial"/>
          <w:sz w:val="15"/>
          <w:szCs w:val="15"/>
          <w:color w:val="auto"/>
        </w:rPr>
        <w:t>The initial public offering price was determined by negotiations between us, the selling stockholders, and representatives of the underwriters, based on numerous factors which we discuss in the section titled “Underwriting,” and may not be indicative of the market price of our common stock after this offering. If you purchase our common stock, you may not be able to resell those shares at or above the initial public offering price.</w:t>
      </w:r>
    </w:p>
    <w:p>
      <w:pPr>
        <w:spacing w:after="0" w:line="241"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An active, liquid, and orderly market for our common stock may not develop or be sustained. You may be unable to sell your shares of common stock at or above the price at which you purchased them.</w:t>
      </w:r>
    </w:p>
    <w:p>
      <w:pPr>
        <w:spacing w:after="0" w:line="63" w:lineRule="exact"/>
        <w:rPr>
          <w:sz w:val="20"/>
          <w:szCs w:val="20"/>
          <w:color w:val="auto"/>
        </w:rPr>
      </w:pPr>
    </w:p>
    <w:p>
      <w:pPr>
        <w:ind w:left="460" w:right="40" w:firstLine="413"/>
        <w:spacing w:after="0" w:line="311" w:lineRule="auto"/>
        <w:rPr>
          <w:sz w:val="20"/>
          <w:szCs w:val="20"/>
          <w:color w:val="auto"/>
        </w:rPr>
      </w:pPr>
      <w:r>
        <w:rPr>
          <w:rFonts w:ascii="Arial" w:cs="Arial" w:eastAsia="Arial" w:hAnsi="Arial"/>
          <w:sz w:val="15"/>
          <w:szCs w:val="15"/>
          <w:color w:val="auto"/>
        </w:rPr>
        <w:t>We currently expect our common stock to be listed and traded on Nasdaq. Prior to listing on Nasdaq, there has been no public market for our common stock. An active, liquid, and orderly trading market for our common stock may not initially develop or be sustained, which could significantly depress the trading price of our common stock and/or result in significant volatility, which could affect your ability to sell your shares of common stock.</w:t>
      </w:r>
    </w:p>
    <w:p>
      <w:pPr>
        <w:spacing w:after="0" w:line="241" w:lineRule="exact"/>
        <w:rPr>
          <w:sz w:val="20"/>
          <w:szCs w:val="20"/>
          <w:color w:val="auto"/>
        </w:rPr>
      </w:pPr>
    </w:p>
    <w:p>
      <w:pPr>
        <w:ind w:left="460" w:right="420"/>
        <w:spacing w:after="0" w:line="260" w:lineRule="auto"/>
        <w:rPr>
          <w:sz w:val="20"/>
          <w:szCs w:val="20"/>
          <w:color w:val="auto"/>
        </w:rPr>
      </w:pPr>
      <w:r>
        <w:rPr>
          <w:rFonts w:ascii="Arial" w:cs="Arial" w:eastAsia="Arial" w:hAnsi="Arial"/>
          <w:sz w:val="17"/>
          <w:szCs w:val="17"/>
          <w:b w:val="1"/>
          <w:bCs w:val="1"/>
          <w:i w:val="1"/>
          <w:iCs w:val="1"/>
          <w:color w:val="auto"/>
        </w:rPr>
        <w:t>We anticipate incurring a substantial obligation in connection with tax liabilities on the initial settlement of RSUs and vesting of outstanding restricted stock in connection with this offering. The manner in which we fund these tax liabilities may have an adverse effect on our financial condition or may add to the dilution of our stockholders in the offering.</w:t>
      </w:r>
    </w:p>
    <w:p>
      <w:pPr>
        <w:spacing w:after="0" w:line="74"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In light of the large number of RSUs that will initially settle and outstanding restricted stock that will vest in connection with this offering, we anticipate that we will expend substantial funds, primarily using net proceeds from this offering, to satisfy tax withholding and remittance obligations upon the effectiveness of the registration statement of which this prospectus forms a part. The RSUs and restricted stock granted prior to the date of this prospectus vest upon the satisfaction of service-based, liquidity event-based, and/or market-based vesting conditions. The service-based vesting condition is generally satisfied over a period of four years. The market-based vesting conditions are satisfied upon our achievement of specified future valuation amounts. The liquidity event-based condition is satisfied on the earlier of (i) a combination or disposition transaction provided that such transaction (or series of transactions) qualifies as a change of control, and (ii) the effective date of a registration statement for an initial public offering of our common stock, including this offering. As a result, a large number of RSUs and restricted stock which have previously satisfied the service-based vesting condition or market-based vesting condition, as applicable, will vest in connection with the effectiveness of the registration statement of which this prospectus forms a part. In connection with the settlement of these RSUs and vesting of restricted stock, we plan to withhold certain shares underlying RSUs and cancel certain shares of outstanding restricted stock, as applicable, and remit income taxes on behalf of the holders of such RSUs and restricted stock at applicable statutory rates based on the initial public offering price per share in this offering. See the section titled “Use of Proceeds.” For RSUs that will vest after the effectiveness of the registration statement of which this prospectus forms a part and prior to the expiration of the lock-up period, we will have discretion to net settle or sell-to-cover shares underlying these RSUs.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Based on the number of RSUs and shares of restricted stock outstanding for which the service-based or market-based vesting condition, as</w:t>
      </w:r>
    </w:p>
    <w:p>
      <w:pPr>
        <w:spacing w:after="0" w:line="30" w:lineRule="exact"/>
        <w:rPr>
          <w:sz w:val="20"/>
          <w:szCs w:val="20"/>
          <w:color w:val="auto"/>
        </w:rPr>
      </w:pPr>
    </w:p>
    <w:p>
      <w:pPr>
        <w:ind w:left="460" w:right="320"/>
        <w:spacing w:after="0" w:line="264" w:lineRule="auto"/>
        <w:rPr>
          <w:sz w:val="20"/>
          <w:szCs w:val="20"/>
          <w:color w:val="auto"/>
        </w:rPr>
      </w:pPr>
      <w:r>
        <w:rPr>
          <w:rFonts w:ascii="Arial" w:cs="Arial" w:eastAsia="Arial" w:hAnsi="Arial"/>
          <w:sz w:val="16"/>
          <w:szCs w:val="16"/>
          <w:color w:val="auto"/>
        </w:rPr>
        <w:t>applicable, will be satisfied as of an assumed settlement date of , 2023, and assuming (i) the liquidity event-based vesting condition had been satisfied on that date, (ii) that the price of our common stock at the time of settlement was equal to the assumed initial public offering price of</w:t>
      </w:r>
    </w:p>
    <w:p>
      <w:pPr>
        <w:ind w:left="460"/>
        <w:spacing w:after="0" w:line="264" w:lineRule="auto"/>
        <w:rPr>
          <w:sz w:val="20"/>
          <w:szCs w:val="20"/>
          <w:color w:val="auto"/>
        </w:rPr>
      </w:pPr>
      <w:r>
        <w:rPr>
          <w:rFonts w:ascii="Arial" w:cs="Arial" w:eastAsia="Arial" w:hAnsi="Arial"/>
          <w:sz w:val="16"/>
          <w:szCs w:val="16"/>
          <w:color w:val="auto"/>
        </w:rPr>
        <w:t>$ per share, the midpoint of the price range set forth on the cover page of this prospectus, and (iii) a % tax withholding rate, we estimate that these tax obligations on the initial settlement date would be approximately $ in the aggregate. Accordingly, we would expect to (i) deliver an aggregate of approximately million shares of our common stock to RSU holders after withholding an aggregate of approximately million shares of our common stock and (ii) cancel shares of outstanding restricted stock. In connection with the net settlements of</w:t>
      </w:r>
    </w:p>
    <w:p>
      <w:pPr>
        <w:spacing w:after="0" w:line="1" w:lineRule="exact"/>
        <w:rPr>
          <w:sz w:val="20"/>
          <w:szCs w:val="20"/>
          <w:color w:val="auto"/>
        </w:rPr>
      </w:pPr>
    </w:p>
    <w:p>
      <w:pPr>
        <w:ind w:left="460" w:right="380"/>
        <w:spacing w:after="0" w:line="257" w:lineRule="auto"/>
        <w:rPr>
          <w:sz w:val="20"/>
          <w:szCs w:val="20"/>
          <w:color w:val="auto"/>
        </w:rPr>
      </w:pPr>
      <w:r>
        <w:rPr>
          <w:rFonts w:ascii="Arial" w:cs="Arial" w:eastAsia="Arial" w:hAnsi="Arial"/>
          <w:sz w:val="17"/>
          <w:szCs w:val="17"/>
          <w:color w:val="auto"/>
        </w:rPr>
        <w:t>RSUs and cancellations of outstanding restricted stock, we would withhold and remit the tax liabilities on behalf of the RSU holders and holders of outstanding restricted</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780"/>
          </w:cols>
          <w:pgMar w:left="320" w:top="440" w:right="79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140"/>
        <w:spacing w:after="0" w:line="284" w:lineRule="auto"/>
        <w:rPr>
          <w:sz w:val="20"/>
          <w:szCs w:val="20"/>
          <w:color w:val="auto"/>
        </w:rPr>
      </w:pPr>
      <w:r>
        <w:rPr>
          <w:rFonts w:ascii="Arial" w:cs="Arial" w:eastAsia="Arial" w:hAnsi="Arial"/>
          <w:sz w:val="16"/>
          <w:szCs w:val="16"/>
          <w:color w:val="auto"/>
        </w:rPr>
        <w:t>stock to the relevant tax authorities in cash. The amount of these obligations could be higher or lower, depending on the price of shares of our common stock in this offering, the actual tax withholding rates, and the actual number of RSUs and shares of restricted stock outstanding for which the service-based or market-based vesting condition, as applicable, has been satisfied on the settlement or vesting date.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will have broad discretion in the use of the net proceeds to us from this offering and may not use them effectively.</w:t>
      </w:r>
    </w:p>
    <w:p>
      <w:pPr>
        <w:spacing w:after="0" w:line="108"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investment-grade, interest-bearing instruments such as money market funds, corporate debt securities, certificates of deposit, commercial paper, and U.S. government and government agency debt securities that may not generate a high yield for our stockholders. If we do not use the net proceeds that we receive in this offering effectively, our business, financial condition, results of operations, and prospects could be harmed, and the market price of our common stock could decline.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the market price of our common stock to decline.</w:t>
      </w:r>
    </w:p>
    <w:p>
      <w:pPr>
        <w:spacing w:after="0" w:line="108" w:lineRule="exact"/>
        <w:rPr>
          <w:sz w:val="20"/>
          <w:szCs w:val="20"/>
          <w:color w:val="auto"/>
        </w:rPr>
      </w:pPr>
    </w:p>
    <w:p>
      <w:pPr>
        <w:ind w:left="460" w:right="160" w:firstLine="413"/>
        <w:spacing w:after="0" w:line="274" w:lineRule="auto"/>
        <w:rPr>
          <w:sz w:val="20"/>
          <w:szCs w:val="20"/>
          <w:color w:val="auto"/>
        </w:rPr>
      </w:pPr>
      <w:r>
        <w:rPr>
          <w:rFonts w:ascii="Arial" w:cs="Arial" w:eastAsia="Arial" w:hAnsi="Arial"/>
          <w:sz w:val="16"/>
          <w:szCs w:val="16"/>
          <w:color w:val="auto"/>
        </w:rPr>
        <w:t>Sales of a substantial number of shares of our common stock in the public market following the closing of this offering,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based upon the price of this offering, and therefore, may take steps to sell their shares or otherwise secure the unrecognized gains on those shares. We are unable to predict the timing of or the effect that such sales may have on the prevailing market price of our common stock.</w:t>
      </w:r>
    </w:p>
    <w:p>
      <w:pPr>
        <w:spacing w:after="0" w:line="165" w:lineRule="exact"/>
        <w:rPr>
          <w:sz w:val="20"/>
          <w:szCs w:val="20"/>
          <w:color w:val="auto"/>
        </w:rPr>
      </w:pPr>
    </w:p>
    <w:p>
      <w:pPr>
        <w:ind w:left="460" w:right="200" w:firstLine="413"/>
        <w:spacing w:after="0" w:line="290" w:lineRule="auto"/>
        <w:rPr>
          <w:sz w:val="20"/>
          <w:szCs w:val="20"/>
          <w:color w:val="auto"/>
        </w:rPr>
      </w:pPr>
      <w:r>
        <w:rPr>
          <w:rFonts w:ascii="Arial" w:cs="Arial" w:eastAsia="Arial" w:hAnsi="Arial"/>
          <w:sz w:val="15"/>
          <w:szCs w:val="15"/>
          <w:color w:val="auto"/>
        </w:rPr>
        <w:t>In connection with this offering, subject to certain customary exceptions, we, all of our directors and executive officers, and holders of substantially all of our common stock and securities exercisable for or convertible into our common stock, will enter into lock-up agreements with the</w:t>
      </w:r>
    </w:p>
    <w:p>
      <w:pPr>
        <w:jc w:val="both"/>
        <w:ind w:left="460" w:right="60"/>
        <w:spacing w:after="0" w:line="276" w:lineRule="auto"/>
        <w:rPr>
          <w:sz w:val="20"/>
          <w:szCs w:val="20"/>
          <w:color w:val="auto"/>
        </w:rPr>
      </w:pPr>
      <w:r>
        <w:rPr>
          <w:rFonts w:ascii="Arial" w:cs="Arial" w:eastAsia="Arial" w:hAnsi="Arial"/>
          <w:sz w:val="16"/>
          <w:szCs w:val="16"/>
          <w:color w:val="auto"/>
        </w:rPr>
        <w:t>underwriters. The lock-up agreements pertaining to this offering will expire days from the date of this prospectus. If not earlier released, all of our shares of common stock, other than those sold in this offering which are freely tradable, will become eligible for sale upon expiration of the lock-up period, except for any shares held by our affiliates as defined in Rule 144 under the Securities Act of 1933, as amended, or the Securities Act.</w:t>
      </w:r>
    </w:p>
    <w:p>
      <w:pPr>
        <w:spacing w:after="0" w:line="164" w:lineRule="exact"/>
        <w:rPr>
          <w:sz w:val="20"/>
          <w:szCs w:val="20"/>
          <w:color w:val="auto"/>
        </w:rPr>
      </w:pPr>
    </w:p>
    <w:p>
      <w:pPr>
        <w:ind w:left="460" w:right="40" w:firstLine="413"/>
        <w:spacing w:after="0" w:line="271" w:lineRule="auto"/>
        <w:rPr>
          <w:sz w:val="20"/>
          <w:szCs w:val="20"/>
          <w:color w:val="auto"/>
        </w:rPr>
      </w:pPr>
      <w:r>
        <w:rPr>
          <w:rFonts w:ascii="Arial" w:cs="Arial" w:eastAsia="Arial" w:hAnsi="Arial"/>
          <w:sz w:val="16"/>
          <w:szCs w:val="16"/>
          <w:color w:val="auto"/>
        </w:rPr>
        <w:t>In addition, after this offering and giving effect to the use of proceeds to net settle RSUs, up to shares of our common stock may be issued upon exercise of outstanding stock options or vesting and settlement of outstanding RSUs, and shares of our common stock are available for</w:t>
      </w:r>
    </w:p>
    <w:p>
      <w:pPr>
        <w:spacing w:after="0" w:line="2" w:lineRule="exact"/>
        <w:rPr>
          <w:sz w:val="20"/>
          <w:szCs w:val="20"/>
          <w:color w:val="auto"/>
        </w:rPr>
      </w:pPr>
    </w:p>
    <w:p>
      <w:pPr>
        <w:ind w:left="460"/>
        <w:spacing w:after="0" w:line="290" w:lineRule="auto"/>
        <w:rPr>
          <w:sz w:val="20"/>
          <w:szCs w:val="20"/>
          <w:color w:val="auto"/>
        </w:rPr>
      </w:pPr>
      <w:r>
        <w:rPr>
          <w:rFonts w:ascii="Arial" w:cs="Arial" w:eastAsia="Arial" w:hAnsi="Arial"/>
          <w:sz w:val="15"/>
          <w:szCs w:val="15"/>
          <w:color w:val="auto"/>
        </w:rPr>
        <w:t>future issuance under our 2023 Plan and our ESPP, and will become eligible for sale in the public market to the extent permitted by the provisions of various vesting schedules, exercise limitations, the lock-up agreements, and Rule 144 and Rule 701 under the Securities Act. We intend to register all of the shares of common stock issuable upon exercise of outstanding options and RSUs or other equity incentive awards we may grant in the future for public resale under the Securities Act. Shares of common stock will become eligible for sale in the public market to the extent such options are exercised and RSUs settle, subject to the lock-up agreements described above and compliance with applicable securities laws. If these additional shares of common stock are sold, or if it is perceived that they will be sold, in the public market, the trading price of our common stock could decline.</w:t>
      </w:r>
    </w:p>
    <w:p>
      <w:pPr>
        <w:spacing w:after="0" w:line="32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80"/>
          </w:cols>
          <w:pgMar w:left="320" w:top="440" w:right="7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2480" w:type="dxa"/>
            <w:vAlign w:val="bottom"/>
            <w:gridSpan w:val="2"/>
          </w:tcPr>
          <w:p>
            <w:pPr>
              <w:spacing w:after="0"/>
              <w:rPr>
                <w:sz w:val="20"/>
                <w:szCs w:val="20"/>
                <w:color w:val="auto"/>
              </w:rPr>
            </w:pPr>
            <w:r>
              <w:rPr>
                <w:rFonts w:ascii="Arial" w:cs="Arial" w:eastAsia="Arial" w:hAnsi="Arial"/>
                <w:sz w:val="17"/>
                <w:szCs w:val="17"/>
                <w:b w:val="1"/>
                <w:bCs w:val="1"/>
                <w:color w:val="0000EE"/>
              </w:rPr>
              <w:t>Table of Contents</w:t>
            </w:r>
          </w:p>
        </w:tc>
        <w:tc>
          <w:tcPr>
            <w:tcW w:w="1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360" w:type="dxa"/>
            <w:vAlign w:val="bottom"/>
          </w:tcPr>
          <w:p>
            <w:pPr>
              <w:spacing w:after="0"/>
              <w:rPr>
                <w:sz w:val="16"/>
                <w:szCs w:val="16"/>
                <w:color w:val="auto"/>
              </w:rPr>
            </w:pPr>
          </w:p>
        </w:tc>
      </w:tr>
      <w:tr>
        <w:trPr>
          <w:trHeight w:val="483"/>
        </w:trPr>
        <w:tc>
          <w:tcPr>
            <w:tcW w:w="12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gridSpan w:val="2"/>
          </w:tcPr>
          <w:p>
            <w:pPr>
              <w:jc w:val="center"/>
              <w:ind w:right="2796"/>
              <w:spacing w:after="0"/>
              <w:rPr>
                <w:sz w:val="20"/>
                <w:szCs w:val="20"/>
                <w:color w:val="auto"/>
              </w:rPr>
            </w:pPr>
            <w:r>
              <w:rPr>
                <w:rFonts w:ascii="Arial" w:cs="Arial" w:eastAsia="Arial" w:hAnsi="Arial"/>
                <w:sz w:val="17"/>
                <w:szCs w:val="17"/>
                <w:b w:val="1"/>
                <w:bCs w:val="1"/>
                <w:color w:val="auto"/>
                <w:w w:val="90"/>
              </w:rPr>
              <w:t>Confidential Treatment Requested by Maplebear Inc.</w:t>
            </w:r>
          </w:p>
        </w:tc>
      </w:tr>
      <w:tr>
        <w:trPr>
          <w:trHeight w:val="218"/>
        </w:trPr>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jc w:val="center"/>
              <w:ind w:right="2816"/>
              <w:spacing w:after="0"/>
              <w:rPr>
                <w:sz w:val="20"/>
                <w:szCs w:val="20"/>
                <w:color w:val="auto"/>
              </w:rPr>
            </w:pPr>
            <w:r>
              <w:rPr>
                <w:rFonts w:ascii="Arial" w:cs="Arial" w:eastAsia="Arial" w:hAnsi="Arial"/>
                <w:sz w:val="17"/>
                <w:szCs w:val="17"/>
                <w:b w:val="1"/>
                <w:bCs w:val="1"/>
                <w:color w:val="auto"/>
                <w:w w:val="89"/>
              </w:rPr>
              <w:t>Pursuant to 17 C.F.R. Section 200.83</w:t>
            </w:r>
          </w:p>
        </w:tc>
      </w:tr>
      <w:tr>
        <w:trPr>
          <w:trHeight w:val="342"/>
        </w:trPr>
        <w:tc>
          <w:tcPr>
            <w:tcW w:w="2480" w:type="dxa"/>
            <w:vAlign w:val="bottom"/>
            <w:gridSpan w:val="2"/>
          </w:tcPr>
          <w:p>
            <w:pPr>
              <w:ind w:left="880"/>
              <w:spacing w:after="0"/>
              <w:rPr>
                <w:sz w:val="20"/>
                <w:szCs w:val="20"/>
                <w:color w:val="auto"/>
              </w:rPr>
            </w:pPr>
            <w:r>
              <w:rPr>
                <w:rFonts w:ascii="Arial" w:cs="Arial" w:eastAsia="Arial" w:hAnsi="Arial"/>
                <w:sz w:val="17"/>
                <w:szCs w:val="17"/>
                <w:color w:val="auto"/>
              </w:rPr>
              <w:t>Further, holders of</w:t>
            </w:r>
          </w:p>
        </w:tc>
        <w:tc>
          <w:tcPr>
            <w:tcW w:w="1180" w:type="dxa"/>
            <w:vAlign w:val="bottom"/>
          </w:tcPr>
          <w:p>
            <w:pPr>
              <w:ind w:left="360"/>
              <w:spacing w:after="0"/>
              <w:rPr>
                <w:sz w:val="20"/>
                <w:szCs w:val="20"/>
                <w:color w:val="auto"/>
              </w:rPr>
            </w:pPr>
            <w:r>
              <w:rPr>
                <w:rFonts w:ascii="Arial" w:cs="Arial" w:eastAsia="Arial" w:hAnsi="Arial"/>
                <w:sz w:val="17"/>
                <w:szCs w:val="17"/>
                <w:color w:val="auto"/>
                <w:w w:val="86"/>
              </w:rPr>
              <w:t>shares as of</w:t>
            </w:r>
          </w:p>
        </w:tc>
        <w:tc>
          <w:tcPr>
            <w:tcW w:w="2460" w:type="dxa"/>
            <w:vAlign w:val="bottom"/>
          </w:tcPr>
          <w:p>
            <w:pPr>
              <w:ind w:left="860"/>
              <w:spacing w:after="0"/>
              <w:rPr>
                <w:sz w:val="20"/>
                <w:szCs w:val="20"/>
                <w:color w:val="auto"/>
              </w:rPr>
            </w:pPr>
            <w:r>
              <w:rPr>
                <w:rFonts w:ascii="Arial" w:cs="Arial" w:eastAsia="Arial" w:hAnsi="Arial"/>
                <w:sz w:val="17"/>
                <w:szCs w:val="17"/>
                <w:color w:val="auto"/>
              </w:rPr>
              <w:t>, or approximately</w:t>
            </w:r>
          </w:p>
        </w:tc>
        <w:tc>
          <w:tcPr>
            <w:tcW w:w="4360" w:type="dxa"/>
            <w:vAlign w:val="bottom"/>
          </w:tcPr>
          <w:p>
            <w:pPr>
              <w:ind w:left="360"/>
              <w:spacing w:after="0"/>
              <w:rPr>
                <w:sz w:val="20"/>
                <w:szCs w:val="20"/>
                <w:color w:val="auto"/>
              </w:rPr>
            </w:pPr>
            <w:r>
              <w:rPr>
                <w:rFonts w:ascii="Arial" w:cs="Arial" w:eastAsia="Arial" w:hAnsi="Arial"/>
                <w:sz w:val="17"/>
                <w:szCs w:val="17"/>
                <w:color w:val="auto"/>
                <w:w w:val="92"/>
              </w:rPr>
              <w:t>% of our capital stock after the closing of this offering, will</w:t>
            </w:r>
          </w:p>
        </w:tc>
      </w:tr>
    </w:tbl>
    <w:p>
      <w:pPr>
        <w:ind w:left="460"/>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have rights, subject to some conditions and the lock-up agreements described above, to require us to file registration statements covering the sale of their shares or to include their shares in registration statements that we may file for ourselves or other stockholders.</w:t>
      </w:r>
    </w:p>
    <w:p>
      <w:pPr>
        <w:spacing w:after="0" w:line="279"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 Furthermore, certain of our current directors were appointed by our principal stockholders.</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Following the completion of this offering, our executive officers, directors, and greater than 5% stockholders, in the aggregate, will beneficially</w:t>
      </w:r>
    </w:p>
    <w:p>
      <w:pPr>
        <w:spacing w:after="0" w:line="42" w:lineRule="exact"/>
        <w:rPr>
          <w:sz w:val="20"/>
          <w:szCs w:val="20"/>
          <w:color w:val="auto"/>
        </w:rPr>
      </w:pPr>
    </w:p>
    <w:p>
      <w:pPr>
        <w:ind w:left="460" w:right="60"/>
        <w:spacing w:after="0" w:line="267" w:lineRule="auto"/>
        <w:rPr>
          <w:sz w:val="20"/>
          <w:szCs w:val="20"/>
          <w:color w:val="auto"/>
        </w:rPr>
      </w:pPr>
      <w:r>
        <w:rPr>
          <w:rFonts w:ascii="Arial" w:cs="Arial" w:eastAsia="Arial" w:hAnsi="Arial"/>
          <w:sz w:val="16"/>
          <w:szCs w:val="16"/>
          <w:color w:val="auto"/>
        </w:rPr>
        <w:t>own approximately % of our outstanding common stock. Furthermore, certain of our current directors were appointed by our principal stockholders. As a result, such persons or their appointees to our board of directors, acting together, will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74"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b w:val="1"/>
          <w:bCs w:val="1"/>
          <w:i w:val="1"/>
          <w:iCs w:val="1"/>
          <w:color w:val="auto"/>
        </w:rPr>
        <w:t>Our business and financial performance may differ from any projections that we disclose or any information that may be attributed to us by third parties.</w:t>
      </w:r>
    </w:p>
    <w:p>
      <w:pPr>
        <w:spacing w:after="0" w:line="63" w:lineRule="exact"/>
        <w:rPr>
          <w:sz w:val="20"/>
          <w:szCs w:val="20"/>
          <w:color w:val="auto"/>
        </w:rPr>
      </w:pPr>
    </w:p>
    <w:p>
      <w:pPr>
        <w:ind w:left="460" w:right="20" w:firstLine="413"/>
        <w:spacing w:after="0" w:line="270" w:lineRule="auto"/>
        <w:rPr>
          <w:sz w:val="20"/>
          <w:szCs w:val="20"/>
          <w:color w:val="auto"/>
        </w:rPr>
      </w:pPr>
      <w:r>
        <w:rPr>
          <w:rFonts w:ascii="Arial" w:cs="Arial" w:eastAsia="Arial" w:hAnsi="Arial"/>
          <w:sz w:val="16"/>
          <w:szCs w:val="16"/>
          <w:color w:val="auto"/>
        </w:rPr>
        <w:t>From time to time, we will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this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and other publishers often make statements regarding our historical or projected business or financial performance, and we cannot assure you of the reliability of any such information even if it is attributed directly or indirectly to us.</w:t>
      </w:r>
    </w:p>
    <w:p>
      <w:pPr>
        <w:spacing w:after="0" w:line="273"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b w:val="1"/>
          <w:bCs w:val="1"/>
          <w:i w:val="1"/>
          <w:iCs w:val="1"/>
          <w:color w:val="auto"/>
        </w:rPr>
        <w:t>Our trading price and trading volume could decline if securities or industry analysts do not publish research about our business, or if they publish unfavorable research.</w:t>
      </w:r>
    </w:p>
    <w:p>
      <w:pPr>
        <w:spacing w:after="0" w:line="63"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Equity research analysts do not currently provide coverage of our common stock, and we cannot assure you that any equity research analysts will adequately provide research coverage of our common stock after the listing of our common stock on Nasdaq. A lack of adequate research coverage may harm the liquidity and trading price of our common stock. To the extent equity research analysts do provide research coverage of our common stock, we will not have any control over the content and opinions included in their reports. The trading price of our common stock could decline if one or more equity research analysts downgrade our stock or publish other unfavorable commentary or research. If one or more equity research analysts cease coverage of our company, or fail to regularly publish reports on us, the demand for our common stock could decrease, which in turn could cause our trading price or trading volume to decline.</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80"/>
          </w:cols>
          <w:pgMar w:left="320" w:top="425" w:right="79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08"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Accordingly, you must rely on the sale of your common stock after price appreciation, which may never occur, as the only way to realize any future gain on your investment.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Additional stock issuances could result in significant dilution to our stockholders.</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common stock to decline.</w:t>
      </w:r>
    </w:p>
    <w:p>
      <w:pPr>
        <w:spacing w:after="0" w:line="283" w:lineRule="exact"/>
        <w:rPr>
          <w:sz w:val="20"/>
          <w:szCs w:val="20"/>
          <w:color w:val="auto"/>
        </w:rPr>
      </w:pPr>
    </w:p>
    <w:p>
      <w:pPr>
        <w:jc w:val="right"/>
        <w:ind w:left="460" w:right="120"/>
        <w:spacing w:after="0" w:line="360" w:lineRule="auto"/>
        <w:rPr>
          <w:sz w:val="20"/>
          <w:szCs w:val="20"/>
          <w:color w:val="auto"/>
        </w:rPr>
      </w:pPr>
      <w:r>
        <w:rPr>
          <w:rFonts w:ascii="Arial" w:cs="Arial" w:eastAsia="Arial" w:hAnsi="Arial"/>
          <w:sz w:val="15"/>
          <w:szCs w:val="15"/>
          <w:b w:val="1"/>
          <w:bCs w:val="1"/>
          <w:i w:val="1"/>
          <w:iCs w:val="1"/>
          <w:color w:val="auto"/>
        </w:rPr>
        <w:t xml:space="preserve">You will experience immediate and substantial dilution in the net tangible book value of the shares of common stock you purchase in this offering. </w:t>
      </w:r>
      <w:r>
        <w:rPr>
          <w:rFonts w:ascii="Arial" w:cs="Arial" w:eastAsia="Arial" w:hAnsi="Arial"/>
          <w:sz w:val="15"/>
          <w:szCs w:val="15"/>
          <w:color w:val="auto"/>
        </w:rPr>
        <w:t>The initial public offering price of our common stock is substantially higher than the pro forma net tangible book value per share of our common</w:t>
      </w:r>
    </w:p>
    <w:p>
      <w:pPr>
        <w:spacing w:after="0" w:line="1"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6"/>
          <w:szCs w:val="16"/>
          <w:color w:val="auto"/>
        </w:rPr>
        <w:t>stock immediately after this offering. If you purchase shares of our common stock in this offering, you will suffer immediate dilution of $ per share, representing the difference between our pro forma as adjusted net tangible book value per share after giving effect to the sale of common stock in this offering, the use of a portion of the net proceeds from this offering to net settle RSUs that will settle in connection with this offering, and the</w:t>
      </w:r>
    </w:p>
    <w:p>
      <w:pPr>
        <w:spacing w:after="0" w:line="1" w:lineRule="exact"/>
        <w:rPr>
          <w:sz w:val="20"/>
          <w:szCs w:val="20"/>
          <w:color w:val="auto"/>
        </w:rPr>
      </w:pPr>
    </w:p>
    <w:p>
      <w:pPr>
        <w:ind w:left="460"/>
        <w:spacing w:after="0"/>
        <w:tabs>
          <w:tab w:leader="none" w:pos="3900" w:val="left"/>
        </w:tabs>
        <w:rPr>
          <w:sz w:val="20"/>
          <w:szCs w:val="20"/>
          <w:color w:val="auto"/>
        </w:rPr>
      </w:pPr>
      <w:r>
        <w:rPr>
          <w:rFonts w:ascii="Arial" w:cs="Arial" w:eastAsia="Arial" w:hAnsi="Arial"/>
          <w:sz w:val="17"/>
          <w:szCs w:val="17"/>
          <w:color w:val="auto"/>
        </w:rPr>
        <w:t>assumed initial public offering price of $</w:t>
      </w:r>
      <w:r>
        <w:rPr>
          <w:sz w:val="20"/>
          <w:szCs w:val="20"/>
          <w:color w:val="auto"/>
        </w:rPr>
        <w:tab/>
      </w:r>
      <w:r>
        <w:rPr>
          <w:rFonts w:ascii="Arial" w:cs="Arial" w:eastAsia="Arial" w:hAnsi="Arial"/>
          <w:sz w:val="15"/>
          <w:szCs w:val="15"/>
          <w:color w:val="auto"/>
        </w:rPr>
        <w:t>per share. See the section titled “Dilution.”</w:t>
      </w:r>
    </w:p>
    <w:p>
      <w:pPr>
        <w:spacing w:after="0" w:line="198"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b w:val="1"/>
          <w:bCs w:val="1"/>
          <w:i w:val="1"/>
          <w:iCs w:val="1"/>
          <w:color w:val="auto"/>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spacing w:after="0" w:line="74"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There are provisions in our restated certificate of incorporation and restated bylaws, as they will be in effect immediately prior to the closing of this offering, that may make it difficult for a third party to acquire, or attempt to acquire, control of our company, even if a change in control were considered favorable by our stockholders. These anti-takeover provisions include:</w:t>
      </w:r>
    </w:p>
    <w:p>
      <w:pPr>
        <w:spacing w:after="0" w:line="87" w:lineRule="exact"/>
        <w:rPr>
          <w:sz w:val="20"/>
          <w:szCs w:val="20"/>
          <w:color w:val="auto"/>
        </w:rPr>
      </w:pPr>
    </w:p>
    <w:p>
      <w:pPr>
        <w:ind w:left="1360" w:hanging="498"/>
        <w:spacing w:after="0"/>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classified board of directors so that not all members of our board of directors are elected at one time;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ability of our board of directors to determine the number of directors and to fill any vacancies and newly created directorships;</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requirement that our directors may only be removed for cause;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prohibition on cumulative voting for directors;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requirement of a super-majority to amend some provisions in our restated certificate of incorporation and restated bylaws;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authorization of the issuance of “blank check” preferred stock that our board of directors could use to implement a stockholder rights plan;</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inability of our stockholders to call special meetings of stockholders; and</w:t>
      </w:r>
    </w:p>
    <w:p>
      <w:pPr>
        <w:spacing w:after="0" w:line="121" w:lineRule="exact"/>
        <w:rPr>
          <w:rFonts w:ascii="Arial" w:cs="Arial" w:eastAsia="Arial" w:hAnsi="Arial"/>
          <w:sz w:val="17"/>
          <w:szCs w:val="17"/>
          <w:color w:val="auto"/>
        </w:rPr>
      </w:pPr>
    </w:p>
    <w:p>
      <w:pPr>
        <w:ind w:left="1360" w:right="660" w:hanging="498"/>
        <w:spacing w:after="0" w:line="272" w:lineRule="auto"/>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prohibition on stockholder actions by written consent, thereby requiring that all stockholder actions be taken at a meeting of our stockholders.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80"/>
          </w:cols>
          <w:pgMar w:left="320" w:top="440" w:right="79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6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83" w:lineRule="exact"/>
        <w:rPr>
          <w:sz w:val="20"/>
          <w:szCs w:val="20"/>
          <w:color w:val="auto"/>
        </w:rPr>
      </w:pPr>
    </w:p>
    <w:p>
      <w:pPr>
        <w:ind w:left="460" w:right="100"/>
        <w:spacing w:after="0" w:line="311"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Our amended and restated certificate of incorporation, as will be in effect immediately prior to the closing of this offering, will provide that the Court of Chancery of the State of Delaware is the exclusive forum for the following types of actions or proceedings under Delaware statutory or common law:</w:t>
      </w:r>
    </w:p>
    <w:p>
      <w:pPr>
        <w:spacing w:after="0" w:line="87" w:lineRule="exact"/>
        <w:rPr>
          <w:sz w:val="20"/>
          <w:szCs w:val="20"/>
          <w:color w:val="auto"/>
        </w:rPr>
      </w:pPr>
    </w:p>
    <w:p>
      <w:pPr>
        <w:ind w:left="1360" w:hanging="498"/>
        <w:spacing w:after="0"/>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121"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our amended and restated certificate of incorporation, or our amended and restated bylaws;</w:t>
      </w:r>
    </w:p>
    <w:p>
      <w:pPr>
        <w:spacing w:after="0" w:line="76" w:lineRule="exact"/>
        <w:rPr>
          <w:rFonts w:ascii="Arial" w:cs="Arial" w:eastAsia="Arial" w:hAnsi="Arial"/>
          <w:sz w:val="17"/>
          <w:szCs w:val="17"/>
          <w:color w:val="auto"/>
        </w:rPr>
      </w:pPr>
    </w:p>
    <w:p>
      <w:pPr>
        <w:ind w:left="1360" w:right="320" w:hanging="498"/>
        <w:spacing w:after="0" w:line="272" w:lineRule="auto"/>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action seeking to interpret, apply, enforce, or determine the validity of our amended and restated certificate of incorporation or our amended and restated bylaws, each to be effective immediately prior to the closing of this offering;</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action as to which Delaware General Corporation Law confers jurisdiction on the Court of Chancery of the State of Delaware; and</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w:t>
      </w:r>
    </w:p>
    <w:p>
      <w:pPr>
        <w:spacing w:after="0" w:line="210"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This provision would not apply to suits brought to enforce a duty or liability created by the Securities Exchange Act of 1934, as amended,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to be effective immediately prior to the closing of this offering,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to be effective immediately prior to the closing of this offering. This may require significant additional costs associated with</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80"/>
          </w:cols>
          <w:pgMar w:left="320" w:top="440" w:right="79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93" w:lineRule="auto"/>
        <w:rPr>
          <w:sz w:val="20"/>
          <w:szCs w:val="20"/>
          <w:color w:val="auto"/>
        </w:rPr>
      </w:pPr>
      <w:r>
        <w:rPr>
          <w:rFonts w:ascii="Arial" w:cs="Arial" w:eastAsia="Arial" w:hAnsi="Arial"/>
          <w:sz w:val="15"/>
          <w:szCs w:val="15"/>
          <w:color w:val="auto"/>
        </w:rPr>
        <w:t>resolving such action in other jurisdictions and there can be no assurance that the provisions will be enforced by a court in those other jurisdictions. If a court were to find either exclusive forum provision in our amended and restated certificate of incorporation, to be effective immediately prior to the closing of this offering,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35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General Risk Factors</w:t>
      </w:r>
    </w:p>
    <w:p>
      <w:pPr>
        <w:spacing w:after="0" w:line="214" w:lineRule="exact"/>
        <w:rPr>
          <w:sz w:val="20"/>
          <w:szCs w:val="20"/>
          <w:color w:val="auto"/>
        </w:rPr>
      </w:pPr>
    </w:p>
    <w:p>
      <w:pPr>
        <w:ind w:left="460" w:right="280"/>
        <w:spacing w:after="0" w:line="272"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3"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80"/>
          </w:cols>
          <w:pgMar w:left="320" w:top="440" w:right="79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140"/>
        <w:spacing w:after="0" w:line="260"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will be required, pursuant to Section 404 of the Sarbanes-Oxley Act, or Section 404, to furnish a report by management on, among other</w:t>
      </w:r>
    </w:p>
    <w:p>
      <w:pPr>
        <w:spacing w:after="0" w:line="42" w:lineRule="exact"/>
        <w:rPr>
          <w:sz w:val="20"/>
          <w:szCs w:val="20"/>
          <w:color w:val="auto"/>
        </w:rPr>
      </w:pPr>
    </w:p>
    <w:p>
      <w:pPr>
        <w:ind w:left="460"/>
        <w:spacing w:after="0" w:line="287" w:lineRule="auto"/>
        <w:rPr>
          <w:sz w:val="20"/>
          <w:szCs w:val="20"/>
          <w:color w:val="auto"/>
        </w:rPr>
      </w:pPr>
      <w:r>
        <w:rPr>
          <w:rFonts w:ascii="Arial" w:cs="Arial" w:eastAsia="Arial" w:hAnsi="Arial"/>
          <w:sz w:val="15"/>
          <w:szCs w:val="15"/>
          <w:color w:val="auto"/>
        </w:rPr>
        <w:t>things, the effectiveness of our internal control over financial reporting as of . This assessment will need to include disclosure of any material weaknesses in our internal control over financial reporting identified by our management. In addition, our independent registered public accounting firm will be required to attest to the effectiveness of our internal control over financial reporting in our second annual report required to be filed with the SEC following the completion of this offering. We have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6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120"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U.S. generally accepted accounting principles, or GAAP, are subject to interpretation by the Financial Accounting Standards Board, or FASB,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p>
    <w:p>
      <w:pPr>
        <w:spacing w:after="0" w:line="143" w:lineRule="exact"/>
        <w:rPr>
          <w:sz w:val="20"/>
          <w:szCs w:val="20"/>
          <w:color w:val="auto"/>
        </w:rPr>
      </w:pPr>
    </w:p>
    <w:p>
      <w:pPr>
        <w:ind w:left="460" w:right="240" w:firstLine="413"/>
        <w:spacing w:after="0" w:line="311"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760"/>
          </w:cols>
          <w:pgMar w:left="320" w:top="440" w:right="81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52" w:lineRule="auto"/>
        <w:rPr>
          <w:sz w:val="20"/>
          <w:szCs w:val="20"/>
          <w:color w:val="auto"/>
        </w:rPr>
      </w:pPr>
      <w:r>
        <w:rPr>
          <w:rFonts w:ascii="Arial" w:cs="Arial" w:eastAsia="Arial" w:hAnsi="Arial"/>
          <w:sz w:val="17"/>
          <w:szCs w:val="17"/>
          <w:color w:val="auto"/>
        </w:rPr>
        <w:t>“Management’s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contingencies; income taxes; sales and indirect tax reserves; fair value of assets acquired and liabilities assumed for business combinations; and valuation of our common stock and equity awards.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780"/>
          </w:cols>
          <w:pgMar w:left="320" w:top="440" w:right="79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12" w:lineRule="exact"/>
        <w:rPr>
          <w:sz w:val="20"/>
          <w:szCs w:val="20"/>
          <w:color w:val="auto"/>
        </w:rPr>
      </w:pPr>
    </w:p>
    <w:p>
      <w:pPr>
        <w:ind w:left="460" w:right="160" w:firstLine="413"/>
        <w:spacing w:after="0" w:line="293" w:lineRule="auto"/>
        <w:rPr>
          <w:sz w:val="20"/>
          <w:szCs w:val="20"/>
          <w:color w:val="auto"/>
        </w:rPr>
      </w:pPr>
      <w:r>
        <w:rPr>
          <w:rFonts w:ascii="Arial" w:cs="Arial" w:eastAsia="Arial" w:hAnsi="Arial"/>
          <w:sz w:val="15"/>
          <w:szCs w:val="15"/>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66" w:lineRule="exact"/>
        <w:rPr>
          <w:sz w:val="20"/>
          <w:szCs w:val="20"/>
          <w:color w:val="auto"/>
        </w:rPr>
      </w:pPr>
    </w:p>
    <w:p>
      <w:pPr>
        <w:ind w:left="1360" w:hanging="498"/>
        <w:spacing w:after="0" w:line="303" w:lineRule="auto"/>
        <w:tabs>
          <w:tab w:leader="none" w:pos="13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expectations regarding our financial performance, including revenue, cost of revenue, gross profit, operating expenses, net income, and key metrics, and our ability to maintain or increase future profitability and generate profitable growth over time;</w:t>
      </w:r>
    </w:p>
    <w:p>
      <w:pPr>
        <w:spacing w:after="0" w:line="54" w:lineRule="exact"/>
        <w:rPr>
          <w:rFonts w:ascii="Arial" w:cs="Arial" w:eastAsia="Arial" w:hAnsi="Arial"/>
          <w:sz w:val="16"/>
          <w:szCs w:val="16"/>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economic and industry trends;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effectively manage our growth and plan for and execute growth strategies and initiatives;</w:t>
      </w:r>
    </w:p>
    <w:p>
      <w:pPr>
        <w:spacing w:after="0" w:line="121" w:lineRule="exact"/>
        <w:rPr>
          <w:rFonts w:ascii="Arial" w:cs="Arial" w:eastAsia="Arial" w:hAnsi="Arial"/>
          <w:sz w:val="17"/>
          <w:szCs w:val="17"/>
          <w:color w:val="auto"/>
        </w:rPr>
      </w:pPr>
    </w:p>
    <w:p>
      <w:pPr>
        <w:ind w:left="1360" w:right="260" w:hanging="498"/>
        <w:spacing w:after="0" w:line="272" w:lineRule="auto"/>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anticipated trends, growth rates, and challenges in our financial performance, key metrics, and business and in the markets in which we operate;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attract and increase engagement of customers and shoppers;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expand our offerings to existing customers, retailers, and brands;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maintain and expand our relationships with retailers and brands;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continue to grow across our current markets and expand into new markets;</w:t>
      </w:r>
    </w:p>
    <w:p>
      <w:pPr>
        <w:spacing w:after="0" w:line="121" w:lineRule="exact"/>
        <w:rPr>
          <w:rFonts w:ascii="Arial" w:cs="Arial" w:eastAsia="Arial" w:hAnsi="Arial"/>
          <w:sz w:val="17"/>
          <w:szCs w:val="17"/>
          <w:color w:val="auto"/>
        </w:rPr>
      </w:pPr>
    </w:p>
    <w:p>
      <w:pPr>
        <w:ind w:left="1360" w:right="80" w:hanging="498"/>
        <w:spacing w:after="0" w:line="272" w:lineRule="auto"/>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effects of increased competition in our markets and our ability to successfully compete with companies that are currently in, or may in the future enter, the markets in which we operate;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estimated market opportunity;</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timely and effectively scale and adapt our offerings;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continue to innovate and enhance our offerings;</w:t>
      </w:r>
    </w:p>
    <w:p>
      <w:pPr>
        <w:spacing w:after="0" w:line="121" w:lineRule="exact"/>
        <w:rPr>
          <w:rFonts w:ascii="Arial" w:cs="Arial" w:eastAsia="Arial" w:hAnsi="Arial"/>
          <w:sz w:val="17"/>
          <w:szCs w:val="17"/>
          <w:color w:val="auto"/>
        </w:rPr>
      </w:pPr>
    </w:p>
    <w:p>
      <w:pPr>
        <w:ind w:left="1360" w:right="580" w:hanging="498"/>
        <w:spacing w:after="0" w:line="340" w:lineRule="auto"/>
        <w:tabs>
          <w:tab w:leader="none" w:pos="13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our ability to develop new offerings, features, and use cases and bring them to market in a timely manner, and whether current and prospective customers, retailers, brands, and shoppers will adopt these new products, offerings, features, and use cases;</w:t>
      </w:r>
    </w:p>
    <w:p>
      <w:pPr>
        <w:spacing w:after="0" w:line="30" w:lineRule="exact"/>
        <w:rPr>
          <w:rFonts w:ascii="Arial" w:cs="Arial" w:eastAsia="Arial" w:hAnsi="Arial"/>
          <w:sz w:val="15"/>
          <w:szCs w:val="15"/>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effects of the COVID-19 pandemic, including its variants, or other public health crises;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maintain, protect, and enhance our brand and intellectual property;</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identify and complete acquisitions that complement and expand the functionality of Instacart and our offerings;</w:t>
      </w:r>
    </w:p>
    <w:p>
      <w:pPr>
        <w:spacing w:after="0" w:line="121"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comply or remain in compliance with laws and regulations that currently apply or become applicable to our business in the United States and internationally;</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reliance on key personnel and our ability to attract, maintain, and retain management and skilled personnel;</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increased expenses associated with being a public company;</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future trading prices of our common stock;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anticipated use of the net proceeds to us from this offering.</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w:t>
      </w:r>
    </w:p>
    <w:p>
      <w:pPr>
        <w:spacing w:after="0" w:line="14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760"/>
          </w:cols>
          <w:pgMar w:left="320" w:top="440" w:right="81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2" w:lineRule="exact"/>
        <w:rPr>
          <w:sz w:val="20"/>
          <w:szCs w:val="20"/>
          <w:color w:val="auto"/>
        </w:rPr>
      </w:pPr>
    </w:p>
    <w:p>
      <w:pPr>
        <w:ind w:left="460" w:right="20" w:firstLine="413"/>
        <w:spacing w:after="0" w:line="301"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8" w:lineRule="exact"/>
        <w:rPr>
          <w:sz w:val="20"/>
          <w:szCs w:val="20"/>
          <w:color w:val="auto"/>
        </w:rPr>
      </w:pPr>
    </w:p>
    <w:p>
      <w:pPr>
        <w:ind w:left="460" w:right="160" w:firstLine="413"/>
        <w:spacing w:after="0" w:line="253"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00"/>
          </w:cols>
          <w:pgMar w:left="320" w:top="440" w:right="77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MARKET, INDUSTRY, AND OTHER DATA</w:t>
      </w:r>
    </w:p>
    <w:p>
      <w:pPr>
        <w:spacing w:after="0" w:line="112"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This prospectus contains estimates and information concerning our industry, including market size and growth of the market in which we participate, that are based on industry publications, reports, and other sources, including Yipit, LLC, and its affiliates, collectively referred to as YipitData. Some data and other information contained in this prospectus are also based on management’s estimates and calculations, which are derived from our review and interpretation of independent sources, including YipitData. This information involves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sources of certain statistical data, estimates, and forecasts contained in this prospectus are the following independent industry sources:</w:t>
      </w:r>
    </w:p>
    <w:p>
      <w:pPr>
        <w:spacing w:after="0" w:line="133" w:lineRule="exact"/>
        <w:rPr>
          <w:sz w:val="20"/>
          <w:szCs w:val="20"/>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Alphabet Inc., or Google, </w:t>
      </w:r>
      <w:r>
        <w:rPr>
          <w:rFonts w:ascii="Arial" w:cs="Arial" w:eastAsia="Arial" w:hAnsi="Arial"/>
          <w:sz w:val="17"/>
          <w:szCs w:val="17"/>
          <w:i w:val="1"/>
          <w:iCs w:val="1"/>
          <w:color w:val="auto"/>
        </w:rPr>
        <w:t>COVID-19 Community Mobility Reports</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Cadent Consulting Group, or Cadent, </w:t>
      </w:r>
      <w:r>
        <w:rPr>
          <w:rFonts w:ascii="Arial" w:cs="Arial" w:eastAsia="Arial" w:hAnsi="Arial"/>
          <w:sz w:val="17"/>
          <w:szCs w:val="17"/>
          <w:i w:val="1"/>
          <w:iCs w:val="1"/>
          <w:color w:val="auto"/>
        </w:rPr>
        <w:t>2022 Marketing Spending</w:t>
      </w:r>
      <w:r>
        <w:rPr>
          <w:rFonts w:ascii="Arial" w:cs="Arial" w:eastAsia="Arial" w:hAnsi="Arial"/>
          <w:sz w:val="17"/>
          <w:szCs w:val="17"/>
          <w:color w:val="auto"/>
        </w:rPr>
        <w:t>, December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Chain Store Guides, LLC, or CSG, </w:t>
      </w:r>
      <w:r>
        <w:rPr>
          <w:rFonts w:ascii="Arial" w:cs="Arial" w:eastAsia="Arial" w:hAnsi="Arial"/>
          <w:sz w:val="17"/>
          <w:szCs w:val="17"/>
          <w:i w:val="1"/>
          <w:iCs w:val="1"/>
          <w:color w:val="auto"/>
        </w:rPr>
        <w:t>Grocery Industry Market Share Report</w:t>
      </w:r>
      <w:r>
        <w:rPr>
          <w:rFonts w:ascii="Arial" w:cs="Arial" w:eastAsia="Arial" w:hAnsi="Arial"/>
          <w:sz w:val="17"/>
          <w:szCs w:val="17"/>
          <w:color w:val="auto"/>
        </w:rPr>
        <w:t>, 2022.</w:t>
      </w:r>
    </w:p>
    <w:p>
      <w:pPr>
        <w:spacing w:after="0" w:line="121"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Euromonitor International Limited, or Euromonitor, </w:t>
      </w:r>
      <w:r>
        <w:rPr>
          <w:rFonts w:ascii="Arial" w:cs="Arial" w:eastAsia="Arial" w:hAnsi="Arial"/>
          <w:sz w:val="17"/>
          <w:szCs w:val="17"/>
          <w:i w:val="1"/>
          <w:iCs w:val="1"/>
          <w:color w:val="auto"/>
        </w:rPr>
        <w:t>Retail</w:t>
      </w:r>
      <w:r>
        <w:rPr>
          <w:rFonts w:ascii="Arial" w:cs="Arial" w:eastAsia="Arial" w:hAnsi="Arial"/>
          <w:sz w:val="17"/>
          <w:szCs w:val="17"/>
          <w:color w:val="auto"/>
        </w:rPr>
        <w:t xml:space="preserve"> (2023 edition), </w:t>
      </w:r>
      <w:r>
        <w:rPr>
          <w:rFonts w:ascii="Arial" w:cs="Arial" w:eastAsia="Arial" w:hAnsi="Arial"/>
          <w:sz w:val="17"/>
          <w:szCs w:val="17"/>
          <w:i w:val="1"/>
          <w:iCs w:val="1"/>
          <w:color w:val="auto"/>
        </w:rPr>
        <w:t>Consumer Foodservice</w:t>
      </w:r>
      <w:r>
        <w:rPr>
          <w:rFonts w:ascii="Arial" w:cs="Arial" w:eastAsia="Arial" w:hAnsi="Arial"/>
          <w:sz w:val="17"/>
          <w:szCs w:val="17"/>
          <w:color w:val="auto"/>
        </w:rPr>
        <w:t xml:space="preserve"> (2023 edition), </w:t>
      </w:r>
      <w:r>
        <w:rPr>
          <w:rFonts w:ascii="Arial" w:cs="Arial" w:eastAsia="Arial" w:hAnsi="Arial"/>
          <w:sz w:val="17"/>
          <w:szCs w:val="17"/>
          <w:i w:val="1"/>
          <w:iCs w:val="1"/>
          <w:color w:val="auto"/>
        </w:rPr>
        <w:t>Fresh Food</w:t>
      </w:r>
      <w:r>
        <w:rPr>
          <w:rFonts w:ascii="Arial" w:cs="Arial" w:eastAsia="Arial" w:hAnsi="Arial"/>
          <w:sz w:val="17"/>
          <w:szCs w:val="17"/>
          <w:color w:val="auto"/>
        </w:rPr>
        <w:t xml:space="preserve"> (2023 edition).</w:t>
      </w:r>
    </w:p>
    <w:p>
      <w:pPr>
        <w:spacing w:after="0" w:line="76" w:lineRule="exact"/>
        <w:rPr>
          <w:rFonts w:ascii="Arial" w:cs="Arial" w:eastAsia="Arial" w:hAnsi="Arial"/>
          <w:sz w:val="17"/>
          <w:szCs w:val="17"/>
          <w:color w:val="auto"/>
        </w:rPr>
      </w:pPr>
    </w:p>
    <w:p>
      <w:pPr>
        <w:ind w:left="1360" w:right="600" w:hanging="498"/>
        <w:spacing w:after="0" w:line="340" w:lineRule="auto"/>
        <w:tabs>
          <w:tab w:leader="none" w:pos="13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FactSet Research Systems Inc., or FactSet, Financial data and analytics provider FactSet (based on a search of public and private supermarkets and other grocery stores in the United States as of April 2022, excluding convenience and restaurant grocery stores).</w:t>
      </w:r>
    </w:p>
    <w:p>
      <w:pPr>
        <w:spacing w:after="0" w:line="30" w:lineRule="exact"/>
        <w:rPr>
          <w:rFonts w:ascii="Arial" w:cs="Arial" w:eastAsia="Arial" w:hAnsi="Arial"/>
          <w:sz w:val="15"/>
          <w:szCs w:val="15"/>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Feeding America, </w:t>
      </w:r>
      <w:r>
        <w:rPr>
          <w:rFonts w:ascii="Arial" w:cs="Arial" w:eastAsia="Arial" w:hAnsi="Arial"/>
          <w:sz w:val="17"/>
          <w:szCs w:val="17"/>
          <w:i w:val="1"/>
          <w:iCs w:val="1"/>
          <w:color w:val="auto"/>
        </w:rPr>
        <w:t>Map the Meal Gap 2022</w:t>
      </w:r>
      <w:r>
        <w:rPr>
          <w:rFonts w:ascii="Arial" w:cs="Arial" w:eastAsia="Arial" w:hAnsi="Arial"/>
          <w:sz w:val="17"/>
          <w:szCs w:val="17"/>
          <w:color w:val="auto"/>
        </w:rPr>
        <w:t>, July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Food Industry Association, or FMI, </w:t>
      </w:r>
      <w:r>
        <w:rPr>
          <w:rFonts w:ascii="Arial" w:cs="Arial" w:eastAsia="Arial" w:hAnsi="Arial"/>
          <w:sz w:val="17"/>
          <w:szCs w:val="17"/>
          <w:i w:val="1"/>
          <w:iCs w:val="1"/>
          <w:color w:val="auto"/>
        </w:rPr>
        <w:t>Supermarket Facts</w:t>
      </w:r>
      <w:r>
        <w:rPr>
          <w:rFonts w:ascii="Arial" w:cs="Arial" w:eastAsia="Arial" w:hAnsi="Arial"/>
          <w:sz w:val="17"/>
          <w:szCs w:val="17"/>
          <w:color w:val="auto"/>
        </w:rPr>
        <w:t>, 2019.</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Gartner, Inc., or Gartner, Forecast: Enterprise IT Spending </w:t>
      </w:r>
      <w:r>
        <w:rPr>
          <w:rFonts w:ascii="Arial" w:cs="Arial" w:eastAsia="Arial" w:hAnsi="Arial"/>
          <w:sz w:val="17"/>
          <w:szCs w:val="17"/>
          <w:i w:val="1"/>
          <w:iCs w:val="1"/>
          <w:color w:val="auto"/>
        </w:rPr>
        <w:t>by Vertical Industry Market</w:t>
      </w:r>
      <w:r>
        <w:rPr>
          <w:rFonts w:ascii="Arial" w:cs="Arial" w:eastAsia="Arial" w:hAnsi="Arial"/>
          <w:sz w:val="17"/>
          <w:szCs w:val="17"/>
          <w:color w:val="auto"/>
        </w:rPr>
        <w:t>, 2020-2026, December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IBISWorld Inc., or IBISWorld, </w:t>
      </w:r>
      <w:r>
        <w:rPr>
          <w:rFonts w:ascii="Arial" w:cs="Arial" w:eastAsia="Arial" w:hAnsi="Arial"/>
          <w:sz w:val="17"/>
          <w:szCs w:val="17"/>
          <w:i w:val="1"/>
          <w:iCs w:val="1"/>
          <w:color w:val="auto"/>
        </w:rPr>
        <w:t>Supermarkets &amp; Grocery Stores in the US</w:t>
      </w:r>
      <w:r>
        <w:rPr>
          <w:rFonts w:ascii="Arial" w:cs="Arial" w:eastAsia="Arial" w:hAnsi="Arial"/>
          <w:sz w:val="17"/>
          <w:szCs w:val="17"/>
          <w:color w:val="auto"/>
        </w:rPr>
        <w:t>, July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Incisiv Inc., or Incisiv, </w:t>
      </w:r>
      <w:r>
        <w:rPr>
          <w:rFonts w:ascii="Arial" w:cs="Arial" w:eastAsia="Arial" w:hAnsi="Arial"/>
          <w:sz w:val="17"/>
          <w:szCs w:val="17"/>
          <w:i w:val="1"/>
          <w:iCs w:val="1"/>
          <w:color w:val="auto"/>
        </w:rPr>
        <w:t>Digital Maturity Benchmark: Grocery Industry 2022</w:t>
      </w:r>
      <w:r>
        <w:rPr>
          <w:rFonts w:ascii="Arial" w:cs="Arial" w:eastAsia="Arial" w:hAnsi="Arial"/>
          <w:sz w:val="17"/>
          <w:szCs w:val="17"/>
          <w:color w:val="auto"/>
        </w:rPr>
        <w:t>, 2023.</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Insider Intelligence, </w:t>
      </w:r>
      <w:r>
        <w:rPr>
          <w:rFonts w:ascii="Arial" w:cs="Arial" w:eastAsia="Arial" w:hAnsi="Arial"/>
          <w:sz w:val="17"/>
          <w:szCs w:val="17"/>
          <w:i w:val="1"/>
          <w:iCs w:val="1"/>
          <w:color w:val="auto"/>
        </w:rPr>
        <w:t>Retail Media Ad Spending</w:t>
      </w:r>
      <w:r>
        <w:rPr>
          <w:rFonts w:ascii="Arial" w:cs="Arial" w:eastAsia="Arial" w:hAnsi="Arial"/>
          <w:sz w:val="17"/>
          <w:szCs w:val="17"/>
          <w:color w:val="auto"/>
        </w:rPr>
        <w:t>, April 2023.</w:t>
      </w:r>
    </w:p>
    <w:p>
      <w:pPr>
        <w:spacing w:after="0" w:line="121" w:lineRule="exact"/>
        <w:rPr>
          <w:rFonts w:ascii="Arial" w:cs="Arial" w:eastAsia="Arial" w:hAnsi="Arial"/>
          <w:sz w:val="17"/>
          <w:szCs w:val="17"/>
          <w:color w:val="auto"/>
        </w:rPr>
      </w:pPr>
    </w:p>
    <w:p>
      <w:pPr>
        <w:ind w:left="1360" w:right="120" w:hanging="498"/>
        <w:spacing w:after="0" w:line="272" w:lineRule="auto"/>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Market Track, LLC d/b/a Numerator, or Numerator, (based on a survey of approximately 105,000 households across the United States for the 12 months ended March 13, 2022).</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McKinsey &amp; Company, or McKinsey, </w:t>
      </w:r>
      <w:r>
        <w:rPr>
          <w:rFonts w:ascii="Arial" w:cs="Arial" w:eastAsia="Arial" w:hAnsi="Arial"/>
          <w:sz w:val="17"/>
          <w:szCs w:val="17"/>
          <w:i w:val="1"/>
          <w:iCs w:val="1"/>
          <w:color w:val="auto"/>
        </w:rPr>
        <w:t>Commerce media: The new force transforming advertising</w:t>
      </w:r>
      <w:r>
        <w:rPr>
          <w:rFonts w:ascii="Arial" w:cs="Arial" w:eastAsia="Arial" w:hAnsi="Arial"/>
          <w:sz w:val="17"/>
          <w:szCs w:val="17"/>
          <w:color w:val="auto"/>
        </w:rPr>
        <w:t>, July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McKinsey, </w:t>
      </w:r>
      <w:r>
        <w:rPr>
          <w:rFonts w:ascii="Arial" w:cs="Arial" w:eastAsia="Arial" w:hAnsi="Arial"/>
          <w:sz w:val="17"/>
          <w:szCs w:val="17"/>
          <w:i w:val="1"/>
          <w:iCs w:val="1"/>
          <w:color w:val="auto"/>
        </w:rPr>
        <w:t>Navigating the market headwinds: The state of grocery retail 2022</w:t>
      </w:r>
      <w:r>
        <w:rPr>
          <w:rFonts w:ascii="Arial" w:cs="Arial" w:eastAsia="Arial" w:hAnsi="Arial"/>
          <w:sz w:val="17"/>
          <w:szCs w:val="17"/>
          <w:color w:val="auto"/>
        </w:rPr>
        <w:t>, May 2022.</w:t>
      </w:r>
    </w:p>
    <w:p>
      <w:pPr>
        <w:spacing w:after="0" w:line="121" w:lineRule="exact"/>
        <w:rPr>
          <w:rFonts w:ascii="Arial" w:cs="Arial" w:eastAsia="Arial" w:hAnsi="Arial"/>
          <w:sz w:val="17"/>
          <w:szCs w:val="17"/>
          <w:color w:val="auto"/>
        </w:rPr>
      </w:pPr>
    </w:p>
    <w:p>
      <w:pPr>
        <w:ind w:left="1360" w:hanging="498"/>
        <w:spacing w:after="0" w:line="269" w:lineRule="auto"/>
        <w:tabs>
          <w:tab w:leader="none" w:pos="1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McKinsey, </w:t>
      </w:r>
      <w:r>
        <w:rPr>
          <w:rFonts w:ascii="Arial" w:cs="Arial" w:eastAsia="Arial" w:hAnsi="Arial"/>
          <w:sz w:val="16"/>
          <w:szCs w:val="16"/>
          <w:i w:val="1"/>
          <w:iCs w:val="1"/>
          <w:color w:val="auto"/>
        </w:rPr>
        <w:t>The next horizon for grocery e-commerce: Beyond the pandemic bump</w:t>
      </w:r>
      <w:r>
        <w:rPr>
          <w:rFonts w:ascii="Arial" w:cs="Arial" w:eastAsia="Arial" w:hAnsi="Arial"/>
          <w:sz w:val="16"/>
          <w:szCs w:val="16"/>
          <w:color w:val="auto"/>
        </w:rPr>
        <w:t>, April 2022 (based on a survey of 31 CEOs as well as 25 C-level executives, directors, and vice presidents in January and February 2022, augmented with McKinsey’s insights from surveys conducted in 2021 among consumers in the United States (4,691 respondents), Mexico (1,005 respondents), and Canada</w:t>
      </w:r>
    </w:p>
    <w:p>
      <w:pPr>
        <w:ind w:left="1360"/>
        <w:spacing w:after="0"/>
        <w:rPr>
          <w:rFonts w:ascii="Arial" w:cs="Arial" w:eastAsia="Arial" w:hAnsi="Arial"/>
          <w:sz w:val="16"/>
          <w:szCs w:val="16"/>
          <w:color w:val="auto"/>
        </w:rPr>
      </w:pPr>
      <w:r>
        <w:rPr>
          <w:rFonts w:ascii="Arial" w:cs="Arial" w:eastAsia="Arial" w:hAnsi="Arial"/>
          <w:sz w:val="17"/>
          <w:szCs w:val="17"/>
          <w:color w:val="auto"/>
        </w:rPr>
        <w:t>(967 respondents)).</w:t>
      </w:r>
    </w:p>
    <w:p>
      <w:pPr>
        <w:spacing w:after="0" w:line="109" w:lineRule="exact"/>
        <w:rPr>
          <w:rFonts w:ascii="Arial" w:cs="Arial" w:eastAsia="Arial" w:hAnsi="Arial"/>
          <w:sz w:val="16"/>
          <w:szCs w:val="16"/>
          <w:color w:val="auto"/>
        </w:rPr>
      </w:pPr>
    </w:p>
    <w:p>
      <w:pPr>
        <w:ind w:left="1360" w:right="320" w:hanging="498"/>
        <w:spacing w:after="0" w:line="272" w:lineRule="auto"/>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NERA Economic Consulting, or NERA, </w:t>
      </w:r>
      <w:r>
        <w:rPr>
          <w:rFonts w:ascii="Arial" w:cs="Arial" w:eastAsia="Arial" w:hAnsi="Arial"/>
          <w:sz w:val="17"/>
          <w:szCs w:val="17"/>
          <w:i w:val="1"/>
          <w:iCs w:val="1"/>
          <w:color w:val="auto"/>
        </w:rPr>
        <w:t>The Economic Impact of Instacart on the U.S. Retail Grocery Industry Before and During the</w:t>
      </w:r>
      <w:r>
        <w:rPr>
          <w:rFonts w:ascii="Arial" w:cs="Arial" w:eastAsia="Arial" w:hAnsi="Arial"/>
          <w:sz w:val="17"/>
          <w:szCs w:val="17"/>
          <w:color w:val="auto"/>
        </w:rPr>
        <w:t xml:space="preserve"> </w:t>
      </w:r>
      <w:r>
        <w:rPr>
          <w:rFonts w:ascii="Arial" w:cs="Arial" w:eastAsia="Arial" w:hAnsi="Arial"/>
          <w:sz w:val="17"/>
          <w:szCs w:val="17"/>
          <w:i w:val="1"/>
          <w:iCs w:val="1"/>
          <w:color w:val="auto"/>
        </w:rPr>
        <w:t>COVID-19 Pandemic</w:t>
      </w:r>
      <w:r>
        <w:rPr>
          <w:rFonts w:ascii="Arial" w:cs="Arial" w:eastAsia="Arial" w:hAnsi="Arial"/>
          <w:sz w:val="17"/>
          <w:szCs w:val="17"/>
          <w:color w:val="auto"/>
        </w:rPr>
        <w:t>, September 2021.</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780"/>
          </w:cols>
          <w:pgMar w:left="320" w:top="440" w:right="79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Statista, Grocery shopping: </w:t>
      </w:r>
      <w:r>
        <w:rPr>
          <w:rFonts w:ascii="Arial" w:cs="Arial" w:eastAsia="Arial" w:hAnsi="Arial"/>
          <w:sz w:val="17"/>
          <w:szCs w:val="17"/>
          <w:i w:val="1"/>
          <w:iCs w:val="1"/>
          <w:color w:val="auto"/>
        </w:rPr>
        <w:t>U.S. consumers’ weekly trips per household 2006-2022</w:t>
      </w:r>
      <w:r>
        <w:rPr>
          <w:rFonts w:ascii="Arial" w:cs="Arial" w:eastAsia="Arial" w:hAnsi="Arial"/>
          <w:sz w:val="17"/>
          <w:szCs w:val="17"/>
          <w:color w:val="auto"/>
        </w:rPr>
        <w:t>, December 5,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Statistics Canada, </w:t>
      </w:r>
      <w:r>
        <w:rPr>
          <w:rFonts w:ascii="Arial" w:cs="Arial" w:eastAsia="Arial" w:hAnsi="Arial"/>
          <w:sz w:val="17"/>
          <w:szCs w:val="17"/>
          <w:i w:val="1"/>
          <w:iCs w:val="1"/>
          <w:color w:val="auto"/>
        </w:rPr>
        <w:t>Population and Dwelling Count Highlight Tables</w:t>
      </w:r>
      <w:r>
        <w:rPr>
          <w:rFonts w:ascii="Arial" w:cs="Arial" w:eastAsia="Arial" w:hAnsi="Arial"/>
          <w:sz w:val="17"/>
          <w:szCs w:val="17"/>
          <w:color w:val="auto"/>
        </w:rPr>
        <w:t>, 2021 Census.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New York Times Company, or The New York Times, </w:t>
      </w:r>
      <w:r>
        <w:rPr>
          <w:rFonts w:ascii="Arial" w:cs="Arial" w:eastAsia="Arial" w:hAnsi="Arial"/>
          <w:sz w:val="17"/>
          <w:szCs w:val="17"/>
          <w:i w:val="1"/>
          <w:iCs w:val="1"/>
          <w:color w:val="auto"/>
        </w:rPr>
        <w:t>Coronavirus in the U.S.: Latest Map and Case Count</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Washington Post, </w:t>
      </w:r>
      <w:r>
        <w:rPr>
          <w:rFonts w:ascii="Arial" w:cs="Arial" w:eastAsia="Arial" w:hAnsi="Arial"/>
          <w:sz w:val="16"/>
          <w:szCs w:val="16"/>
          <w:i w:val="1"/>
          <w:iCs w:val="1"/>
          <w:color w:val="auto"/>
        </w:rPr>
        <w:t>The Real Reason the U.S. Spends Twice as Much on Health Care as Other Wealthy Countries</w:t>
      </w:r>
      <w:r>
        <w:rPr>
          <w:rFonts w:ascii="Arial" w:cs="Arial" w:eastAsia="Arial" w:hAnsi="Arial"/>
          <w:sz w:val="16"/>
          <w:szCs w:val="16"/>
          <w:color w:val="auto"/>
        </w:rPr>
        <w:t>, March 2018.</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U.S. Bureau of Labor Statistics, </w:t>
      </w:r>
      <w:r>
        <w:rPr>
          <w:rFonts w:ascii="Arial" w:cs="Arial" w:eastAsia="Arial" w:hAnsi="Arial"/>
          <w:sz w:val="17"/>
          <w:szCs w:val="17"/>
          <w:i w:val="1"/>
          <w:iCs w:val="1"/>
          <w:color w:val="auto"/>
        </w:rPr>
        <w:t>Consumer expenditures in 2021</w:t>
      </w:r>
      <w:r>
        <w:rPr>
          <w:rFonts w:ascii="Arial" w:cs="Arial" w:eastAsia="Arial" w:hAnsi="Arial"/>
          <w:sz w:val="17"/>
          <w:szCs w:val="17"/>
          <w:color w:val="auto"/>
        </w:rPr>
        <w:t>, December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U.S. Department of Agriculture Food and Nutrition Service, </w:t>
      </w:r>
      <w:r>
        <w:rPr>
          <w:rFonts w:ascii="Arial" w:cs="Arial" w:eastAsia="Arial" w:hAnsi="Arial"/>
          <w:sz w:val="17"/>
          <w:szCs w:val="17"/>
          <w:i w:val="1"/>
          <w:iCs w:val="1"/>
          <w:color w:val="auto"/>
        </w:rPr>
        <w:t>Stores Accepting SNAP Online</w:t>
      </w:r>
      <w:r>
        <w:rPr>
          <w:rFonts w:ascii="Arial" w:cs="Arial" w:eastAsia="Arial" w:hAnsi="Arial"/>
          <w:sz w:val="17"/>
          <w:szCs w:val="17"/>
          <w:color w:val="auto"/>
        </w:rPr>
        <w:t>, March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U.S. Department of Agriculture, </w:t>
      </w:r>
      <w:r>
        <w:rPr>
          <w:rFonts w:ascii="Arial" w:cs="Arial" w:eastAsia="Arial" w:hAnsi="Arial"/>
          <w:sz w:val="17"/>
          <w:szCs w:val="17"/>
          <w:i w:val="1"/>
          <w:iCs w:val="1"/>
          <w:color w:val="auto"/>
        </w:rPr>
        <w:t>Food Security: Key Statistics &amp; Graphics</w:t>
      </w:r>
      <w:r>
        <w:rPr>
          <w:rFonts w:ascii="Arial" w:cs="Arial" w:eastAsia="Arial" w:hAnsi="Arial"/>
          <w:sz w:val="17"/>
          <w:szCs w:val="17"/>
          <w:color w:val="auto"/>
        </w:rPr>
        <w:t>, April 22,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U.S. Department of Agriculture, </w:t>
      </w:r>
      <w:r>
        <w:rPr>
          <w:rFonts w:ascii="Arial" w:cs="Arial" w:eastAsia="Arial" w:hAnsi="Arial"/>
          <w:sz w:val="17"/>
          <w:szCs w:val="17"/>
          <w:i w:val="1"/>
          <w:iCs w:val="1"/>
          <w:color w:val="auto"/>
        </w:rPr>
        <w:t>USDA Actions on Nutrition Security</w:t>
      </w:r>
      <w:r>
        <w:rPr>
          <w:rFonts w:ascii="Arial" w:cs="Arial" w:eastAsia="Arial" w:hAnsi="Arial"/>
          <w:sz w:val="17"/>
          <w:szCs w:val="17"/>
          <w:color w:val="auto"/>
        </w:rPr>
        <w:t>, July 2022.</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U.S. Census Bureau, </w:t>
      </w:r>
      <w:r>
        <w:rPr>
          <w:rFonts w:ascii="Arial" w:cs="Arial" w:eastAsia="Arial" w:hAnsi="Arial"/>
          <w:sz w:val="17"/>
          <w:szCs w:val="17"/>
          <w:i w:val="1"/>
          <w:iCs w:val="1"/>
          <w:color w:val="auto"/>
        </w:rPr>
        <w:t>2016-2020 American Community Survey 5-Year Estimates</w:t>
      </w:r>
      <w:r>
        <w:rPr>
          <w:rFonts w:ascii="Arial" w:cs="Arial" w:eastAsia="Arial" w:hAnsi="Arial"/>
          <w:sz w:val="17"/>
          <w:szCs w:val="17"/>
          <w:color w:val="auto"/>
        </w:rPr>
        <w:t>, 2020.</w:t>
      </w:r>
    </w:p>
    <w:p>
      <w:pPr>
        <w:spacing w:after="0" w:line="121" w:lineRule="exact"/>
        <w:rPr>
          <w:rFonts w:ascii="Arial" w:cs="Arial" w:eastAsia="Arial" w:hAnsi="Arial"/>
          <w:sz w:val="17"/>
          <w:szCs w:val="17"/>
          <w:color w:val="auto"/>
        </w:rPr>
      </w:pPr>
    </w:p>
    <w:p>
      <w:pPr>
        <w:ind w:left="1360" w:right="460" w:hanging="498"/>
        <w:spacing w:after="0" w:line="272" w:lineRule="auto"/>
        <w:tabs>
          <w:tab w:leader="none" w:pos="1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Yipit, LLC, d/b/a YipitData, a market research firm (based on data from six digital-first grocery platforms in the United States from January 2020 to June 2023).</w:t>
      </w:r>
    </w:p>
    <w:p>
      <w:pPr>
        <w:spacing w:after="0" w:line="16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YipitData makes no representation or warranty as to the accuracy or completeness of the data and information from YipitData set forth herein and shall have, and accept, no liability of any kind, whether in contract, tort (including negligence) or otherwise, to any third party arising from or related to use of the data and information by us. Any use which we or a third party makes of such data and information, or any reliance on it, or decisions to be made based on it, are the sole responsibilities of us and such third party.</w:t>
      </w:r>
    </w:p>
    <w:p>
      <w:pPr>
        <w:spacing w:after="0" w:line="11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720"/>
          </w:cols>
          <w:pgMar w:left="320" w:top="440" w:right="8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7000" w:type="dxa"/>
            <w:vAlign w:val="bottom"/>
            <w:gridSpan w:val="2"/>
          </w:tcPr>
          <w:p>
            <w:pPr>
              <w:spacing w:after="0"/>
              <w:rPr>
                <w:sz w:val="20"/>
                <w:szCs w:val="20"/>
                <w:color w:val="auto"/>
              </w:rPr>
            </w:pPr>
            <w:r>
              <w:rPr>
                <w:rFonts w:ascii="Arial" w:cs="Arial" w:eastAsia="Arial" w:hAnsi="Arial"/>
                <w:sz w:val="17"/>
                <w:szCs w:val="17"/>
                <w:b w:val="1"/>
                <w:bCs w:val="1"/>
                <w:color w:val="0000EE"/>
              </w:rPr>
              <w:t>Table of Contents</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483"/>
        </w:trPr>
        <w:tc>
          <w:tcPr>
            <w:tcW w:w="1260" w:type="dxa"/>
            <w:vAlign w:val="bottom"/>
            <w:tcBorders>
              <w:top w:val="single" w:sz="8" w:color="0000EE"/>
            </w:tcBorders>
          </w:tcPr>
          <w:p>
            <w:pPr>
              <w:spacing w:after="0"/>
              <w:rPr>
                <w:sz w:val="24"/>
                <w:szCs w:val="24"/>
                <w:color w:val="auto"/>
              </w:rPr>
            </w:pPr>
          </w:p>
        </w:tc>
        <w:tc>
          <w:tcPr>
            <w:tcW w:w="6480" w:type="dxa"/>
            <w:vAlign w:val="bottom"/>
            <w:gridSpan w:val="2"/>
          </w:tcPr>
          <w:p>
            <w:pPr>
              <w:jc w:val="center"/>
              <w:ind w:left="2176"/>
              <w:spacing w:after="0"/>
              <w:rPr>
                <w:sz w:val="20"/>
                <w:szCs w:val="20"/>
                <w:color w:val="auto"/>
              </w:rPr>
            </w:pPr>
            <w:r>
              <w:rPr>
                <w:rFonts w:ascii="Arial" w:cs="Arial" w:eastAsia="Arial" w:hAnsi="Arial"/>
                <w:sz w:val="17"/>
                <w:szCs w:val="17"/>
                <w:b w:val="1"/>
                <w:bCs w:val="1"/>
                <w:color w:val="auto"/>
                <w:w w:val="90"/>
              </w:rPr>
              <w:t>Confidential Treatment Requested by Maplebear Inc.</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8"/>
        </w:trPr>
        <w:tc>
          <w:tcPr>
            <w:tcW w:w="1260" w:type="dxa"/>
            <w:vAlign w:val="bottom"/>
          </w:tcPr>
          <w:p>
            <w:pPr>
              <w:spacing w:after="0"/>
              <w:rPr>
                <w:sz w:val="18"/>
                <w:szCs w:val="18"/>
                <w:color w:val="auto"/>
              </w:rPr>
            </w:pPr>
          </w:p>
        </w:tc>
        <w:tc>
          <w:tcPr>
            <w:tcW w:w="5740" w:type="dxa"/>
            <w:vAlign w:val="bottom"/>
          </w:tcPr>
          <w:p>
            <w:pPr>
              <w:jc w:val="center"/>
              <w:ind w:left="2896"/>
              <w:spacing w:after="0"/>
              <w:rPr>
                <w:sz w:val="20"/>
                <w:szCs w:val="20"/>
                <w:color w:val="auto"/>
              </w:rPr>
            </w:pPr>
            <w:r>
              <w:rPr>
                <w:rFonts w:ascii="Arial" w:cs="Arial" w:eastAsia="Arial" w:hAnsi="Arial"/>
                <w:sz w:val="17"/>
                <w:szCs w:val="17"/>
                <w:b w:val="1"/>
                <w:bCs w:val="1"/>
                <w:color w:val="auto"/>
                <w:w w:val="89"/>
              </w:rPr>
              <w:t>Pursuant to 17 C.F.R. Section 200.83</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342"/>
        </w:trPr>
        <w:tc>
          <w:tcPr>
            <w:tcW w:w="1260" w:type="dxa"/>
            <w:vAlign w:val="bottom"/>
          </w:tcPr>
          <w:p>
            <w:pPr>
              <w:spacing w:after="0"/>
              <w:rPr>
                <w:sz w:val="24"/>
                <w:szCs w:val="24"/>
                <w:color w:val="auto"/>
              </w:rPr>
            </w:pPr>
          </w:p>
        </w:tc>
        <w:tc>
          <w:tcPr>
            <w:tcW w:w="5740" w:type="dxa"/>
            <w:vAlign w:val="bottom"/>
          </w:tcPr>
          <w:p>
            <w:pPr>
              <w:jc w:val="center"/>
              <w:ind w:left="2896"/>
              <w:spacing w:after="0"/>
              <w:rPr>
                <w:sz w:val="20"/>
                <w:szCs w:val="20"/>
                <w:color w:val="auto"/>
              </w:rPr>
            </w:pPr>
            <w:r>
              <w:rPr>
                <w:rFonts w:ascii="Arial" w:cs="Arial" w:eastAsia="Arial" w:hAnsi="Arial"/>
                <w:sz w:val="17"/>
                <w:szCs w:val="17"/>
                <w:b w:val="1"/>
                <w:bCs w:val="1"/>
                <w:color w:val="auto"/>
                <w:w w:val="95"/>
              </w:rPr>
              <w:t>USE OF PROCEEDS</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93"/>
        </w:trPr>
        <w:tc>
          <w:tcPr>
            <w:tcW w:w="7000" w:type="dxa"/>
            <w:vAlign w:val="bottom"/>
            <w:gridSpan w:val="2"/>
          </w:tcPr>
          <w:p>
            <w:pPr>
              <w:ind w:left="880"/>
              <w:spacing w:after="0"/>
              <w:rPr>
                <w:sz w:val="20"/>
                <w:szCs w:val="20"/>
                <w:color w:val="auto"/>
              </w:rPr>
            </w:pPr>
            <w:r>
              <w:rPr>
                <w:rFonts w:ascii="Arial" w:cs="Arial" w:eastAsia="Arial" w:hAnsi="Arial"/>
                <w:sz w:val="17"/>
                <w:szCs w:val="17"/>
                <w:color w:val="auto"/>
                <w:w w:val="98"/>
              </w:rPr>
              <w:t>We estimate that we will receive net proceeds from this offering of approximately $</w:t>
            </w:r>
          </w:p>
        </w:tc>
        <w:tc>
          <w:tcPr>
            <w:tcW w:w="740" w:type="dxa"/>
            <w:vAlign w:val="bottom"/>
          </w:tcPr>
          <w:p>
            <w:pPr>
              <w:ind w:left="60"/>
              <w:spacing w:after="0"/>
              <w:rPr>
                <w:sz w:val="20"/>
                <w:szCs w:val="20"/>
                <w:color w:val="auto"/>
              </w:rPr>
            </w:pPr>
            <w:r>
              <w:rPr>
                <w:rFonts w:ascii="Arial" w:cs="Arial" w:eastAsia="Arial" w:hAnsi="Arial"/>
                <w:sz w:val="17"/>
                <w:szCs w:val="17"/>
                <w:color w:val="auto"/>
              </w:rPr>
              <w:t>(or $</w:t>
            </w:r>
          </w:p>
        </w:tc>
        <w:tc>
          <w:tcPr>
            <w:tcW w:w="3040" w:type="dxa"/>
            <w:vAlign w:val="bottom"/>
            <w:gridSpan w:val="2"/>
          </w:tcPr>
          <w:p>
            <w:pPr>
              <w:ind w:left="200"/>
              <w:spacing w:after="0"/>
              <w:rPr>
                <w:sz w:val="20"/>
                <w:szCs w:val="20"/>
                <w:color w:val="auto"/>
              </w:rPr>
            </w:pPr>
            <w:r>
              <w:rPr>
                <w:rFonts w:ascii="Arial" w:cs="Arial" w:eastAsia="Arial" w:hAnsi="Arial"/>
                <w:sz w:val="17"/>
                <w:szCs w:val="17"/>
                <w:color w:val="auto"/>
                <w:w w:val="90"/>
              </w:rPr>
              <w:t>if the underwriters exercise their option to</w:t>
            </w:r>
          </w:p>
        </w:tc>
      </w:tr>
      <w:tr>
        <w:trPr>
          <w:trHeight w:val="214"/>
        </w:trPr>
        <w:tc>
          <w:tcPr>
            <w:tcW w:w="8480" w:type="dxa"/>
            <w:vAlign w:val="bottom"/>
            <w:gridSpan w:val="4"/>
          </w:tcPr>
          <w:p>
            <w:pPr>
              <w:ind w:left="460"/>
              <w:spacing w:after="0"/>
              <w:rPr>
                <w:sz w:val="20"/>
                <w:szCs w:val="20"/>
                <w:color w:val="auto"/>
              </w:rPr>
            </w:pPr>
            <w:r>
              <w:rPr>
                <w:rFonts w:ascii="Arial" w:cs="Arial" w:eastAsia="Arial" w:hAnsi="Arial"/>
                <w:sz w:val="17"/>
                <w:szCs w:val="17"/>
                <w:color w:val="auto"/>
                <w:w w:val="93"/>
              </w:rPr>
              <w:t>purchase additional shares of common stock from us in full) based on the assumed initial public offering price of $</w:t>
            </w:r>
          </w:p>
        </w:tc>
        <w:tc>
          <w:tcPr>
            <w:tcW w:w="2300" w:type="dxa"/>
            <w:vAlign w:val="bottom"/>
          </w:tcPr>
          <w:p>
            <w:pPr>
              <w:ind w:left="280"/>
              <w:spacing w:after="0"/>
              <w:rPr>
                <w:sz w:val="20"/>
                <w:szCs w:val="20"/>
                <w:color w:val="auto"/>
              </w:rPr>
            </w:pPr>
            <w:r>
              <w:rPr>
                <w:rFonts w:ascii="Arial" w:cs="Arial" w:eastAsia="Arial" w:hAnsi="Arial"/>
                <w:sz w:val="17"/>
                <w:szCs w:val="17"/>
                <w:color w:val="auto"/>
                <w:w w:val="95"/>
              </w:rPr>
              <w:t>per share of common stock,</w:t>
            </w:r>
          </w:p>
        </w:tc>
      </w:tr>
    </w:tbl>
    <w:p>
      <w:pPr>
        <w:ind w:left="460" w:right="28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the midpoint of the price range set forth on the cover page of this prospectus, after deducting estimated underwriting discounts and commissions and estimated offering expenses payable by us. We will not receive any of the proceeds from the sale of common stock in this offering by the selling stockholders identified in this prospectus.</w:t>
      </w:r>
    </w:p>
    <w:p>
      <w:pPr>
        <w:spacing w:after="0" w:line="181" w:lineRule="exact"/>
        <w:rPr>
          <w:sz w:val="20"/>
          <w:szCs w:val="20"/>
          <w:color w:val="auto"/>
        </w:rPr>
      </w:pPr>
    </w:p>
    <w:p>
      <w:pPr>
        <w:ind w:left="460" w:right="180" w:firstLine="413"/>
        <w:spacing w:after="0" w:line="271" w:lineRule="auto"/>
        <w:rPr>
          <w:sz w:val="20"/>
          <w:szCs w:val="20"/>
          <w:color w:val="auto"/>
        </w:rPr>
      </w:pPr>
      <w:r>
        <w:rPr>
          <w:rFonts w:ascii="Arial" w:cs="Arial" w:eastAsia="Arial" w:hAnsi="Arial"/>
          <w:sz w:val="16"/>
          <w:szCs w:val="16"/>
          <w:color w:val="auto"/>
        </w:rPr>
        <w:t>Each $1.00 increase (decrease) in the assumed initial public offering price of $ per share of common stock would increase (decrease) the net proceeds to us from this offering by approximately $ , assuming the number of shares offered by us, as set forth on the cover page of this</w:t>
      </w:r>
    </w:p>
    <w:p>
      <w:pPr>
        <w:spacing w:after="0" w:line="2" w:lineRule="exact"/>
        <w:rPr>
          <w:sz w:val="20"/>
          <w:szCs w:val="20"/>
          <w:color w:val="auto"/>
        </w:rPr>
      </w:pPr>
    </w:p>
    <w:p>
      <w:pPr>
        <w:ind w:left="460" w:right="240"/>
        <w:spacing w:after="0" w:line="281" w:lineRule="auto"/>
        <w:rPr>
          <w:sz w:val="20"/>
          <w:szCs w:val="20"/>
          <w:color w:val="auto"/>
        </w:rPr>
      </w:pPr>
      <w:r>
        <w:rPr>
          <w:rFonts w:ascii="Arial" w:cs="Arial" w:eastAsia="Arial" w:hAnsi="Arial"/>
          <w:sz w:val="15"/>
          <w:szCs w:val="15"/>
          <w:color w:val="auto"/>
        </w:rPr>
        <w:t>prospectus, remains the same, and after deducting estimated underwriting discounts and commissions and estimated offering expenses payable by us. Similarly, each increase (decrease) of 1,000,000 shares of common stock offered by us would increase (decrease) the net proceeds to us from this</w:t>
      </w:r>
    </w:p>
    <w:p>
      <w:pPr>
        <w:spacing w:after="0" w:line="1" w:lineRule="exact"/>
        <w:rPr>
          <w:sz w:val="20"/>
          <w:szCs w:val="20"/>
          <w:color w:val="auto"/>
        </w:rPr>
      </w:pPr>
    </w:p>
    <w:p>
      <w:pPr>
        <w:ind w:left="460" w:right="520"/>
        <w:spacing w:after="0" w:line="257" w:lineRule="auto"/>
        <w:rPr>
          <w:sz w:val="20"/>
          <w:szCs w:val="20"/>
          <w:color w:val="auto"/>
        </w:rPr>
      </w:pPr>
      <w:r>
        <w:rPr>
          <w:rFonts w:ascii="Arial" w:cs="Arial" w:eastAsia="Arial" w:hAnsi="Arial"/>
          <w:sz w:val="17"/>
          <w:szCs w:val="17"/>
          <w:color w:val="auto"/>
        </w:rPr>
        <w:t>offering by approximately $ , assuming the assumed initial public offering price per share remains the same, and after deducting estimated underwriting discounts and commissions and estimated offering expenses payable by us.</w:t>
      </w:r>
    </w:p>
    <w:p>
      <w:pPr>
        <w:spacing w:after="0" w:line="177"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and create a public market for our common stock. We intend to use the net proceeds we receive from this offering, together with cash on hand, if necessary, to satisfy all of our anticipated tax withholding and remittance obligations related to the settlement of certain outstanding RSUs and the cancellation and repurchase of shares of restricted stock to satisfy all of our anticipated tax withholding and remittance obligations related to the vesting of such restricted stock in connection with this offering.</w:t>
      </w:r>
    </w:p>
    <w:p>
      <w:pPr>
        <w:ind w:left="460" w:right="140"/>
        <w:spacing w:after="0" w:line="264" w:lineRule="auto"/>
        <w:rPr>
          <w:sz w:val="20"/>
          <w:szCs w:val="20"/>
          <w:color w:val="auto"/>
        </w:rPr>
      </w:pPr>
      <w:r>
        <w:rPr>
          <w:rFonts w:ascii="Arial" w:cs="Arial" w:eastAsia="Arial" w:hAnsi="Arial"/>
          <w:sz w:val="16"/>
          <w:szCs w:val="16"/>
          <w:color w:val="auto"/>
        </w:rPr>
        <w:t>Based on RSUs and shares of restricted stock outstanding for which the service-based or market-based vesting condition, as applicable, will be satisfied as of an assumed settlement date of , 2023, and assuming (i) the liquidity event-based vesting condition, which will</w:t>
      </w:r>
    </w:p>
    <w:p>
      <w:pPr>
        <w:ind w:left="460"/>
        <w:spacing w:after="0"/>
        <w:rPr>
          <w:sz w:val="20"/>
          <w:szCs w:val="20"/>
          <w:color w:val="auto"/>
        </w:rPr>
      </w:pPr>
      <w:r>
        <w:rPr>
          <w:rFonts w:ascii="Arial" w:cs="Arial" w:eastAsia="Arial" w:hAnsi="Arial"/>
          <w:sz w:val="15"/>
          <w:szCs w:val="15"/>
          <w:color w:val="auto"/>
        </w:rPr>
        <w:t>be satisfied upon the effectiveness of the registration statement of which this prospectus forms a part, will be satisfied on that date, (ii) the fair market</w:t>
      </w:r>
    </w:p>
    <w:p>
      <w:pPr>
        <w:spacing w:after="0" w:line="363" w:lineRule="exact"/>
        <w:rPr>
          <w:sz w:val="20"/>
          <w:szCs w:val="20"/>
          <w:color w:val="auto"/>
        </w:rPr>
      </w:pPr>
    </w:p>
    <w:p>
      <w:pPr>
        <w:ind w:left="460" w:right="220"/>
        <w:spacing w:after="0" w:line="290" w:lineRule="auto"/>
        <w:rPr>
          <w:sz w:val="20"/>
          <w:szCs w:val="20"/>
          <w:color w:val="auto"/>
        </w:rPr>
      </w:pPr>
      <w:r>
        <w:rPr>
          <w:rFonts w:ascii="Arial" w:cs="Arial" w:eastAsia="Arial" w:hAnsi="Arial"/>
          <w:sz w:val="15"/>
          <w:szCs w:val="15"/>
          <w:color w:val="auto"/>
        </w:rPr>
        <w:t>value of our common stock at the time of settlement will be equal to the assumed initial public offering price per share of $ , which is the midpoint of the price range set forth on the cover page of this prospectus, and (iii) an assumed % tax withholding rate, we estimate that these tax</w:t>
      </w:r>
    </w:p>
    <w:p>
      <w:pPr>
        <w:ind w:left="460"/>
        <w:spacing w:after="0"/>
        <w:rPr>
          <w:sz w:val="20"/>
          <w:szCs w:val="20"/>
          <w:color w:val="auto"/>
        </w:rPr>
      </w:pPr>
      <w:r>
        <w:rPr>
          <w:rFonts w:ascii="Arial" w:cs="Arial" w:eastAsia="Arial" w:hAnsi="Arial"/>
          <w:sz w:val="15"/>
          <w:szCs w:val="15"/>
          <w:color w:val="auto"/>
        </w:rPr>
        <w:t>withholding obligations on the assumed settlement or vesting date, as applicable, to be satisfied using the net proceeds we receive from this offering,</w:t>
      </w:r>
    </w:p>
    <w:p>
      <w:pPr>
        <w:spacing w:after="0" w:line="363"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together with cash on hand, if necessary, would be approximately $ in the aggregate. Each $1.00 increase or decrease in the assumed initial public offering price per share of $ , which is the midpoint of the price range set forth on the cover page of this prospectus, assuming no change in</w:t>
      </w:r>
    </w:p>
    <w:p>
      <w:pPr>
        <w:spacing w:after="0" w:line="2" w:lineRule="exact"/>
        <w:rPr>
          <w:sz w:val="20"/>
          <w:szCs w:val="20"/>
          <w:color w:val="auto"/>
        </w:rPr>
      </w:pPr>
    </w:p>
    <w:p>
      <w:pPr>
        <w:ind w:left="460" w:right="200"/>
        <w:spacing w:after="0" w:line="1126" w:lineRule="auto"/>
        <w:rPr>
          <w:sz w:val="20"/>
          <w:szCs w:val="20"/>
          <w:color w:val="auto"/>
        </w:rPr>
      </w:pPr>
      <w:r>
        <w:rPr>
          <w:rFonts w:ascii="Arial" w:cs="Arial" w:eastAsia="Arial" w:hAnsi="Arial"/>
          <w:sz w:val="15"/>
          <w:szCs w:val="15"/>
          <w:color w:val="auto"/>
        </w:rPr>
        <w:t>the assumed settlement date or vesting date, as applicable, or applicable tax withholding rate, would increase or decrease, respectively, the amount we would be required to pay to satisfy our tax withholding and remittance obligations related to the RSU settlement and restricted stock vesting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color w:val="auto"/>
        </w:rPr>
        <w:t>approximately $ . In addition, a 1% increase or decrease in the tax withholding rate would increase or decrease, respectively, the amount of tax withholding and remittance obligations related to the RSU settlement and restricted stock vesting by $ .</w:t>
      </w:r>
    </w:p>
    <w:p>
      <w:pPr>
        <w:spacing w:after="0" w:line="165" w:lineRule="exact"/>
        <w:rPr>
          <w:sz w:val="20"/>
          <w:szCs w:val="20"/>
          <w:color w:val="auto"/>
        </w:rPr>
      </w:pPr>
    </w:p>
    <w:p>
      <w:pPr>
        <w:ind w:left="460" w:right="120" w:firstLine="413"/>
        <w:spacing w:after="0" w:line="269" w:lineRule="auto"/>
        <w:rPr>
          <w:sz w:val="20"/>
          <w:szCs w:val="20"/>
          <w:color w:val="auto"/>
        </w:rPr>
      </w:pPr>
      <w:r>
        <w:rPr>
          <w:rFonts w:ascii="Arial" w:cs="Arial" w:eastAsia="Arial" w:hAnsi="Arial"/>
          <w:sz w:val="16"/>
          <w:szCs w:val="16"/>
          <w:color w:val="auto"/>
        </w:rPr>
        <w:t>We intend to use any remaining net proceeds for general corporate purposes, including working capital, operating expenses, and capital expenditures. We cannot specify with certainty all of the particular uses for the remaining net proceeds to us from this offering. We may also use a portion of any remaining net proceeds for acquisitions of, or strategic investments in, complementary businesses, products, services, or technologies, although we do not currently have any agreements or commitments to enter into any material acquisitions or investments. Additionally, as part of our broader capital allocation strategy, we may consider utilizing excess cash for opportunistic share repurchases from time to time. Any future determination regarding such repurchases, if any, will be at the discretion of our board of directors and will depend on then-existing conditions, including market conditions, our financial position, any contractual restrictions, capital requirements, business prospects, any resulting taxes, and other factors that we and our board of directors may deem relevant. We cannot guarantee that any share repurchases would occur, and we currently do not have any commitments to conduct any share repurchases.</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780"/>
          </w:cols>
          <w:pgMar w:left="320" w:top="425" w:right="79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We will have broad discretion over how we use the net proceeds from this offering. Pending the use of the proceeds from this offering as described above, we intend to invest the net proceeds from the offering that are not used as described above in investment-grade, interest-bearing instruments such as money market funds, corporate debt securities, certificates of deposit, commercial paper, and U.S. government and government agency debt securities.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780"/>
          </w:cols>
          <w:pgMar w:left="320" w:top="440" w:right="79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DIVIDEND POLICY</w:t>
      </w:r>
    </w:p>
    <w:p>
      <w:pPr>
        <w:spacing w:after="0" w:line="214"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any agreements we may enter into in the future.</w:t>
      </w:r>
    </w:p>
    <w:p>
      <w:pPr>
        <w:spacing w:after="0" w:line="11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740"/>
          </w:cols>
          <w:pgMar w:left="320" w:top="440" w:right="8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CAPITALIZATION</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our cash, cash equivalents, and marketable securities and our capitalization as of June 30, 2023 as follows:</w:t>
      </w:r>
    </w:p>
    <w:p>
      <w:pPr>
        <w:spacing w:after="0" w:line="133" w:lineRule="exact"/>
        <w:rPr>
          <w:sz w:val="20"/>
          <w:szCs w:val="20"/>
          <w:color w:val="auto"/>
        </w:rPr>
      </w:pPr>
    </w:p>
    <w:p>
      <w:pPr>
        <w:ind w:left="1360" w:hanging="498"/>
        <w:spacing w:after="0"/>
        <w:tabs>
          <w:tab w:leader="none" w:pos="13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21" w:lineRule="exact"/>
        <w:rPr>
          <w:rFonts w:ascii="Arial" w:cs="Arial" w:eastAsia="Arial" w:hAnsi="Arial"/>
          <w:sz w:val="17"/>
          <w:szCs w:val="17"/>
          <w:color w:val="auto"/>
        </w:rPr>
      </w:pPr>
    </w:p>
    <w:p>
      <w:pPr>
        <w:ind w:left="1360" w:hanging="498"/>
        <w:spacing w:after="0" w:line="284" w:lineRule="auto"/>
        <w:tabs>
          <w:tab w:leader="none" w:pos="13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on a pro forma basis to reflect (i) the automatic exchange of all exchangeable shares of our subsidiary, Aspen, outstanding as of June 30, 2023 into 688,787 shares of our non-voting common stock in connection with the effectiveness of the registration statement of which this prospectus forms a part, as if such exchange had occurred on June 30, 2023; (ii) the conversion of all outstanding shares of our non-voting common stock and shares of our non-voting common stock underlying outstanding equity awards, warrants, and exchangeable shares into an equivalent number of shares of our voting common stock immediately prior to the closing of this offering; (iii) the automatic conversion of 167,302,220 shares of our redeemable convertible preferred stock outstanding as of June 30, 2023 into 167,691,828 shares of our voting common stock immediately prior to the closing of this offering, as if such conversion had occurred on June 30, 2023; (iv) the net issuance</w:t>
      </w:r>
    </w:p>
    <w:p>
      <w:pPr>
        <w:spacing w:after="0" w:line="1" w:lineRule="exact"/>
        <w:rPr>
          <w:sz w:val="20"/>
          <w:szCs w:val="20"/>
          <w:color w:val="auto"/>
        </w:rPr>
      </w:pPr>
    </w:p>
    <w:p>
      <w:pPr>
        <w:jc w:val="both"/>
        <w:ind w:left="1360"/>
        <w:spacing w:after="0" w:line="281" w:lineRule="auto"/>
        <w:rPr>
          <w:sz w:val="20"/>
          <w:szCs w:val="20"/>
          <w:color w:val="auto"/>
        </w:rPr>
      </w:pPr>
      <w:r>
        <w:rPr>
          <w:rFonts w:ascii="Arial" w:cs="Arial" w:eastAsia="Arial" w:hAnsi="Arial"/>
          <w:sz w:val="15"/>
          <w:szCs w:val="15"/>
          <w:color w:val="auto"/>
        </w:rPr>
        <w:t>of shares of our non-voting common stock in connection with the vesting and settlement of certain outstanding RSUs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which will satisfy the liquidity event-based vesting condition, assuming that effectiveness</w:t>
      </w:r>
    </w:p>
    <w:p>
      <w:pPr>
        <w:spacing w:after="0" w:line="3" w:lineRule="exact"/>
        <w:rPr>
          <w:sz w:val="20"/>
          <w:szCs w:val="20"/>
          <w:color w:val="auto"/>
        </w:rPr>
      </w:pPr>
    </w:p>
    <w:p>
      <w:pPr>
        <w:ind w:left="1360" w:right="20"/>
        <w:spacing w:after="0" w:line="281" w:lineRule="auto"/>
        <w:rPr>
          <w:sz w:val="20"/>
          <w:szCs w:val="20"/>
          <w:color w:val="auto"/>
        </w:rPr>
      </w:pPr>
      <w:r>
        <w:rPr>
          <w:rFonts w:ascii="Arial" w:cs="Arial" w:eastAsia="Arial" w:hAnsi="Arial"/>
          <w:sz w:val="15"/>
          <w:szCs w:val="15"/>
          <w:color w:val="auto"/>
        </w:rPr>
        <w:t>occurs on and any remaining vesting continues through such date, after giving effect to the withholding of shares of common stock underlying such RSUs to satisfy the associated estimated tax withholding and remittance obligations (based on the assumed initial public</w:t>
      </w:r>
    </w:p>
    <w:p>
      <w:pPr>
        <w:sectPr>
          <w:pgSz w:w="11900" w:h="16838" w:orient="portrait"/>
          <w:cols w:equalWidth="0" w:num="1">
            <w:col w:w="10780"/>
          </w:cols>
          <w:pgMar w:left="320" w:top="440" w:right="799" w:bottom="1440" w:gutter="0" w:footer="0" w:header="0"/>
        </w:sectPr>
      </w:pPr>
    </w:p>
    <w:p>
      <w:pPr>
        <w:spacing w:after="0" w:line="1" w:lineRule="exact"/>
        <w:rPr>
          <w:sz w:val="20"/>
          <w:szCs w:val="20"/>
          <w:color w:val="auto"/>
        </w:rPr>
      </w:pPr>
    </w:p>
    <w:p>
      <w:pPr>
        <w:ind w:left="1360" w:right="280"/>
        <w:spacing w:after="0" w:line="264" w:lineRule="auto"/>
        <w:rPr>
          <w:sz w:val="20"/>
          <w:szCs w:val="20"/>
          <w:color w:val="auto"/>
        </w:rPr>
      </w:pPr>
      <w:r>
        <w:rPr>
          <w:rFonts w:ascii="Arial" w:cs="Arial" w:eastAsia="Arial" w:hAnsi="Arial"/>
          <w:sz w:val="16"/>
          <w:szCs w:val="16"/>
          <w:color w:val="auto"/>
        </w:rPr>
        <w:t>offering price of $ per share, the midpoint of the price range set forth on the cover page of this prospectus, and an assumed % tax withholding rate); (v) the cancellation of shares of our outstanding restricted stock to satisfy the associated estimated tax withholding and remittance obligations (based on the assumed initial public offering price of $ per share, the midpoint of the price range set forth on the cover page of this prospectus, and an assumed % tax withholding rate) due upon the</w:t>
      </w:r>
    </w:p>
    <w:p>
      <w:pPr>
        <w:sectPr>
          <w:pgSz w:w="11900" w:h="16838" w:orient="portrait"/>
          <w:cols w:equalWidth="0" w:num="1">
            <w:col w:w="10780"/>
          </w:cols>
          <w:pgMar w:left="320" w:top="440" w:right="799" w:bottom="1440" w:gutter="0" w:footer="0" w:header="0"/>
          <w:type w:val="continuous"/>
        </w:sectPr>
      </w:pPr>
    </w:p>
    <w:p>
      <w:pPr>
        <w:spacing w:after="0" w:line="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vesting of such restricted stock, which will occur upon the effectiveness of the registration statement of which this prospectus forms a part;</w:t>
      </w:r>
    </w:p>
    <w:p>
      <w:pPr>
        <w:spacing w:after="0" w:line="30" w:lineRule="exact"/>
        <w:rPr>
          <w:sz w:val="20"/>
          <w:szCs w:val="20"/>
          <w:color w:val="auto"/>
        </w:rPr>
      </w:pPr>
    </w:p>
    <w:p>
      <w:pPr>
        <w:ind w:left="1360" w:right="240" w:firstLine="9"/>
        <w:spacing w:after="0" w:line="281" w:lineRule="auto"/>
        <w:tabs>
          <w:tab w:leader="none" w:pos="1646"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reclassification of all outstanding shares of our voting common stock and shares of our voting common stock underlying outstanding equity awards, after giving effect to the conversions described above, into an equivalent number of shares of common stock</w:t>
      </w:r>
    </w:p>
    <w:p>
      <w:pPr>
        <w:sectPr>
          <w:pgSz w:w="11900" w:h="16838" w:orient="portrait"/>
          <w:cols w:equalWidth="0" w:num="1">
            <w:col w:w="10780"/>
          </w:cols>
          <w:pgMar w:left="320" w:top="440" w:right="799" w:bottom="1440" w:gutter="0" w:footer="0" w:header="0"/>
          <w:type w:val="continuous"/>
        </w:sectPr>
      </w:pPr>
    </w:p>
    <w:p>
      <w:pPr>
        <w:spacing w:after="0" w:line="1" w:lineRule="exact"/>
        <w:rPr>
          <w:sz w:val="20"/>
          <w:szCs w:val="20"/>
          <w:color w:val="auto"/>
        </w:rPr>
      </w:pPr>
    </w:p>
    <w:p>
      <w:pPr>
        <w:ind w:left="1360"/>
        <w:spacing w:after="0" w:line="290" w:lineRule="auto"/>
        <w:rPr>
          <w:sz w:val="20"/>
          <w:szCs w:val="20"/>
          <w:color w:val="auto"/>
        </w:rPr>
      </w:pPr>
      <w:r>
        <w:rPr>
          <w:rFonts w:ascii="Arial" w:cs="Arial" w:eastAsia="Arial" w:hAnsi="Arial"/>
          <w:sz w:val="15"/>
          <w:szCs w:val="15"/>
          <w:color w:val="auto"/>
        </w:rPr>
        <w:t>immediately prior to the closing of this offering; and (vii) stock-based compensation expense of $ million associated with RSUs and shares of outstanding restricted stock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and which we expect to recognize in connection with the effectiveness of the registration statement, which will satisfy the liquidity event-based vesting condition, as further described in Notes 2 and 12 to our consolidated financial statements included elsewhere in this prospectus; and</w:t>
      </w:r>
    </w:p>
    <w:p>
      <w:pPr>
        <w:sectPr>
          <w:pgSz w:w="11900" w:h="16838" w:orient="portrait"/>
          <w:cols w:equalWidth="0" w:num="1">
            <w:col w:w="10780"/>
          </w:cols>
          <w:pgMar w:left="320" w:top="440" w:right="799" w:bottom="1440" w:gutter="0" w:footer="0" w:header="0"/>
          <w:type w:val="continuous"/>
        </w:sectPr>
      </w:pPr>
    </w:p>
    <w:p>
      <w:pPr>
        <w:spacing w:after="0" w:line="6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on a pro forma as adjusted basis to reflect (i) the pro forma adjustments described above and (ii) our receipt of $ million in estimated net proceeds from the sale and issuance by us of shares of common stock in this offering, at the assumed initial public offering price of $ per share, the midpoint of the price range set forth on the cover page of this prospectus, after deducting</w:t>
      </w:r>
    </w:p>
    <w:p>
      <w:pPr>
        <w:spacing w:after="0" w:line="1" w:lineRule="exact"/>
        <w:rPr>
          <w:sz w:val="20"/>
          <w:szCs w:val="20"/>
          <w:color w:val="auto"/>
        </w:rPr>
      </w:pPr>
    </w:p>
    <w:p>
      <w:pPr>
        <w:sectPr>
          <w:pgSz w:w="11900" w:h="16838" w:orient="portrait"/>
          <w:cols w:equalWidth="0" w:num="2">
            <w:col w:w="920" w:space="440"/>
            <w:col w:w="9420"/>
          </w:cols>
          <w:pgMar w:left="320" w:top="440" w:right="799" w:bottom="1440" w:gutter="0" w:footer="0" w:header="0"/>
          <w:type w:val="continuous"/>
        </w:sectPr>
      </w:pPr>
    </w:p>
    <w:p>
      <w:pPr>
        <w:ind w:left="1360" w:right="260"/>
        <w:spacing w:after="0" w:line="257" w:lineRule="auto"/>
        <w:rPr>
          <w:sz w:val="20"/>
          <w:szCs w:val="20"/>
          <w:color w:val="auto"/>
        </w:rPr>
      </w:pPr>
      <w:r>
        <w:rPr>
          <w:rFonts w:ascii="Arial" w:cs="Arial" w:eastAsia="Arial" w:hAnsi="Arial"/>
          <w:sz w:val="17"/>
          <w:szCs w:val="17"/>
          <w:color w:val="auto"/>
        </w:rPr>
        <w:t>estimated underwriting discounts and commissions and estimated offering expenses payable by us and the use of proceeds to satisfy the assumed tax withholding and remittance obligations described above.</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780"/>
          </w:cols>
          <w:pgMar w:left="320" w:top="440" w:right="7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You should read this information together with our consolidated financial statements and the related notes included in this prospectus, the section titled “Management’s Discussion and Analysis of Financial Condition and Results of Operations,” and other financial information contained in this prospectus.</w:t>
      </w:r>
    </w:p>
    <w:p>
      <w:pPr>
        <w:sectPr>
          <w:pgSz w:w="11900" w:h="16838" w:orient="portrait"/>
          <w:cols w:equalWidth="0" w:num="1">
            <w:col w:w="10780"/>
          </w:cols>
          <w:pgMar w:left="320" w:top="44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Cash, cash equivalents,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-115570</wp:posOffset>
            </wp:positionV>
            <wp:extent cx="6562090" cy="1365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62090" cy="136525"/>
                    </a:xfrm>
                    <a:prstGeom prst="rect">
                      <a:avLst/>
                    </a:prstGeom>
                    <a:noFill/>
                  </pic:spPr>
                </pic:pic>
              </a:graphicData>
            </a:graphic>
          </wp:anchor>
        </w:drawing>
      </w:r>
    </w:p>
    <w:p>
      <w:pPr>
        <w:spacing w:after="0" w:line="50" w:lineRule="exact"/>
        <w:rPr>
          <w:sz w:val="20"/>
          <w:szCs w:val="20"/>
          <w:color w:val="auto"/>
        </w:rPr>
      </w:pPr>
    </w:p>
    <w:p>
      <w:pPr>
        <w:ind w:left="620" w:right="200" w:hanging="168"/>
        <w:spacing w:after="0" w:line="259" w:lineRule="auto"/>
        <w:rPr>
          <w:sz w:val="20"/>
          <w:szCs w:val="20"/>
          <w:color w:val="auto"/>
        </w:rPr>
      </w:pPr>
      <w:r>
        <w:rPr>
          <w:rFonts w:ascii="Arial" w:cs="Arial" w:eastAsia="Arial" w:hAnsi="Arial"/>
          <w:sz w:val="17"/>
          <w:szCs w:val="17"/>
          <w:color w:val="auto"/>
        </w:rPr>
        <w:t>Redeemable convertible preferred stock, $0.0001 par value per share; 178,319 shares authorized, 167,302 shares issued and outstanding, actual; no shares authorized, issued, and outstanding, pro forma and pro forma as adjusted</w:t>
      </w:r>
    </w:p>
    <w:p>
      <w:pPr>
        <w:ind w:left="46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-115570</wp:posOffset>
            </wp:positionV>
            <wp:extent cx="656209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800" w:right="120" w:hanging="168"/>
        <w:spacing w:after="0" w:line="248" w:lineRule="auto"/>
        <w:rPr>
          <w:sz w:val="20"/>
          <w:szCs w:val="20"/>
          <w:color w:val="auto"/>
        </w:rPr>
      </w:pPr>
      <w:r>
        <w:rPr>
          <w:rFonts w:ascii="Arial" w:cs="Arial" w:eastAsia="Arial" w:hAnsi="Arial"/>
          <w:sz w:val="17"/>
          <w:szCs w:val="17"/>
          <w:color w:val="auto"/>
        </w:rPr>
        <w:t>Voting and non-voting common stock, $0.0001 par value per share; 820,509 shares authorized, 72,376 shares issued and outstanding, actual; no shares authorized, issued, and outstanding, pro forma and pro forma as adjusted</w:t>
      </w:r>
    </w:p>
    <w:p>
      <w:pPr>
        <w:spacing w:after="0" w:line="2" w:lineRule="exact"/>
        <w:rPr>
          <w:sz w:val="20"/>
          <w:szCs w:val="20"/>
          <w:color w:val="auto"/>
        </w:rPr>
      </w:pPr>
    </w:p>
    <w:p>
      <w:pPr>
        <w:jc w:val="right"/>
        <w:ind w:left="620" w:right="420"/>
        <w:spacing w:after="0" w:line="302" w:lineRule="auto"/>
        <w:rPr>
          <w:sz w:val="20"/>
          <w:szCs w:val="20"/>
          <w:color w:val="auto"/>
        </w:rPr>
      </w:pPr>
      <w:r>
        <w:rPr>
          <w:rFonts w:ascii="Arial" w:cs="Arial" w:eastAsia="Arial" w:hAnsi="Arial"/>
          <w:sz w:val="14"/>
          <w:szCs w:val="14"/>
          <w:color w:val="auto"/>
        </w:rPr>
        <w:t>Exchangeable shares, no par value, 702 shares authorized, 689 shares issued and outstanding, actual; no shares authorized, issued, and outstanding, pro 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-256540</wp:posOffset>
            </wp:positionV>
            <wp:extent cx="6562090"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62090" cy="257175"/>
                    </a:xfrm>
                    <a:prstGeom prst="rect">
                      <a:avLst/>
                    </a:prstGeom>
                    <a:noFill/>
                  </pic:spPr>
                </pic:pic>
              </a:graphicData>
            </a:graphic>
          </wp:anchor>
        </w:drawing>
      </w:r>
    </w:p>
    <w:p>
      <w:pPr>
        <w:ind w:left="1340" w:hanging="716"/>
        <w:spacing w:after="0" w:line="302" w:lineRule="auto"/>
        <w:rPr>
          <w:sz w:val="20"/>
          <w:szCs w:val="20"/>
          <w:color w:val="auto"/>
        </w:rPr>
      </w:pPr>
      <w:r>
        <w:rPr>
          <w:rFonts w:ascii="Arial" w:cs="Arial" w:eastAsia="Arial" w:hAnsi="Arial"/>
          <w:sz w:val="14"/>
          <w:szCs w:val="14"/>
          <w:color w:val="auto"/>
        </w:rPr>
        <w:t>Preferred stock, $0.0001 par value per share; no shares authorized, issued, or outstanding, actual; shares authorized, no shares issued and outstanding, pro forma and pro forma as adjusted</w:t>
      </w:r>
    </w:p>
    <w:p>
      <w:pPr>
        <w:ind w:left="620"/>
        <w:spacing w:after="0"/>
        <w:rPr>
          <w:sz w:val="20"/>
          <w:szCs w:val="20"/>
          <w:color w:val="auto"/>
        </w:rPr>
      </w:pPr>
      <w:r>
        <w:rPr>
          <w:rFonts w:ascii="Arial" w:cs="Arial" w:eastAsia="Arial" w:hAnsi="Arial"/>
          <w:sz w:val="15"/>
          <w:szCs w:val="15"/>
          <w:color w:val="auto"/>
        </w:rPr>
        <w:t>Common stock, $0.0001 par value per share; no shares authorized, issued, and outstanding,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-108585</wp:posOffset>
            </wp:positionV>
            <wp:extent cx="6562090" cy="386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62090" cy="386080"/>
                    </a:xfrm>
                    <a:prstGeom prst="rect">
                      <a:avLst/>
                    </a:prstGeom>
                    <a:noFill/>
                  </pic:spPr>
                </pic:pic>
              </a:graphicData>
            </a:graphic>
          </wp:anchor>
        </w:drawing>
      </w:r>
    </w:p>
    <w:p>
      <w:pPr>
        <w:spacing w:after="0" w:line="10" w:lineRule="exact"/>
        <w:rPr>
          <w:sz w:val="20"/>
          <w:szCs w:val="20"/>
          <w:color w:val="auto"/>
        </w:rPr>
      </w:pPr>
    </w:p>
    <w:p>
      <w:pPr>
        <w:ind w:left="1340"/>
        <w:spacing w:after="0"/>
        <w:tabs>
          <w:tab w:leader="none" w:pos="5680" w:val="left"/>
        </w:tabs>
        <w:rPr>
          <w:sz w:val="20"/>
          <w:szCs w:val="20"/>
          <w:color w:val="auto"/>
        </w:rPr>
      </w:pPr>
      <w:r>
        <w:rPr>
          <w:rFonts w:ascii="Arial" w:cs="Arial" w:eastAsia="Arial" w:hAnsi="Arial"/>
          <w:sz w:val="17"/>
          <w:szCs w:val="17"/>
          <w:color w:val="auto"/>
        </w:rPr>
        <w:t>shares authorized, pro forma and pro forma as adjusted;</w:t>
      </w:r>
      <w:r>
        <w:rPr>
          <w:sz w:val="20"/>
          <w:szCs w:val="20"/>
          <w:color w:val="auto"/>
        </w:rPr>
        <w:tab/>
      </w:r>
      <w:r>
        <w:rPr>
          <w:rFonts w:ascii="Arial" w:cs="Arial" w:eastAsia="Arial" w:hAnsi="Arial"/>
          <w:sz w:val="14"/>
          <w:szCs w:val="14"/>
          <w:color w:val="auto"/>
        </w:rPr>
        <w:t>shares issued and</w:t>
      </w:r>
    </w:p>
    <w:p>
      <w:pPr>
        <w:spacing w:after="0" w:line="7" w:lineRule="exact"/>
        <w:rPr>
          <w:sz w:val="20"/>
          <w:szCs w:val="20"/>
          <w:color w:val="auto"/>
        </w:rPr>
      </w:pPr>
    </w:p>
    <w:p>
      <w:pPr>
        <w:ind w:left="800"/>
        <w:spacing w:after="0"/>
        <w:tabs>
          <w:tab w:leader="none" w:pos="2960" w:val="left"/>
        </w:tabs>
        <w:rPr>
          <w:sz w:val="20"/>
          <w:szCs w:val="20"/>
          <w:color w:val="auto"/>
        </w:rPr>
      </w:pPr>
      <w:r>
        <w:rPr>
          <w:rFonts w:ascii="Arial" w:cs="Arial" w:eastAsia="Arial" w:hAnsi="Arial"/>
          <w:sz w:val="17"/>
          <w:szCs w:val="17"/>
          <w:color w:val="auto"/>
        </w:rPr>
        <w:t>outstanding, pro forma;</w:t>
      </w:r>
      <w:r>
        <w:rPr>
          <w:sz w:val="20"/>
          <w:szCs w:val="20"/>
          <w:color w:val="auto"/>
        </w:rPr>
        <w:tab/>
      </w:r>
      <w:r>
        <w:rPr>
          <w:rFonts w:ascii="Arial" w:cs="Arial" w:eastAsia="Arial" w:hAnsi="Arial"/>
          <w:sz w:val="14"/>
          <w:szCs w:val="14"/>
          <w:color w:val="auto"/>
        </w:rPr>
        <w:t>shares issued and outstanding, pro forma as adjusted</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Additional paid-in capital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656209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-115570</wp:posOffset>
            </wp:positionV>
            <wp:extent cx="656209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Total stockholders’ equity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-115570</wp:posOffset>
            </wp:positionV>
            <wp:extent cx="656209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6209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133350</wp:posOffset>
            </wp:positionV>
            <wp:extent cx="7239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auto"/>
        </w:rPr>
        <w:t>As of June 30,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3"/>
            <w:vMerge w:val="restart"/>
          </w:tcPr>
          <w:p>
            <w:pPr>
              <w:jc w:val="right"/>
              <w:ind w:right="420"/>
              <w:spacing w:after="0"/>
              <w:rPr>
                <w:sz w:val="20"/>
                <w:szCs w:val="20"/>
                <w:color w:val="auto"/>
              </w:rPr>
            </w:pPr>
            <w:r>
              <w:rPr>
                <w:rFonts w:ascii="Arial" w:cs="Arial" w:eastAsia="Arial" w:hAnsi="Arial"/>
                <w:sz w:val="13"/>
                <w:szCs w:val="13"/>
                <w:b w:val="1"/>
                <w:bCs w:val="1"/>
                <w:color w:val="auto"/>
              </w:rPr>
              <w:t>Actual</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Pro Forma</w:t>
            </w: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rPr>
              <w:t>Pro Forma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8"/>
              <w:spacing w:after="0" w:line="160"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18"/>
                <w:szCs w:val="18"/>
                <w:b w:val="1"/>
                <w:bCs w:val="1"/>
                <w:color w:val="auto"/>
                <w:vertAlign w:val="superscript"/>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tcPr>
          <w:p>
            <w:pPr>
              <w:jc w:val="center"/>
              <w:ind w:right="98"/>
              <w:spacing w:after="0" w:line="112" w:lineRule="exact"/>
              <w:rPr>
                <w:sz w:val="20"/>
                <w:szCs w:val="20"/>
                <w:color w:val="auto"/>
              </w:rPr>
            </w:pPr>
            <w:r>
              <w:rPr>
                <w:rFonts w:ascii="Arial" w:cs="Arial" w:eastAsia="Arial" w:hAnsi="Arial"/>
                <w:sz w:val="12"/>
                <w:szCs w:val="12"/>
                <w:b w:val="1"/>
                <w:bCs w:val="1"/>
                <w:color w:val="auto"/>
                <w:w w:val="99"/>
              </w:rPr>
              <w:t>(in millions, except share amounts, which are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7"/>
          </w:tcPr>
          <w:p>
            <w:pPr>
              <w:jc w:val="center"/>
              <w:ind w:right="98"/>
              <w:spacing w:after="0" w:line="139" w:lineRule="exact"/>
              <w:rPr>
                <w:sz w:val="20"/>
                <w:szCs w:val="20"/>
                <w:color w:val="auto"/>
              </w:rPr>
            </w:pPr>
            <w:r>
              <w:rPr>
                <w:rFonts w:ascii="Arial" w:cs="Arial" w:eastAsia="Arial" w:hAnsi="Arial"/>
                <w:sz w:val="13"/>
                <w:szCs w:val="13"/>
                <w:b w:val="1"/>
                <w:bCs w:val="1"/>
                <w:color w:val="auto"/>
                <w:w w:val="92"/>
              </w:rPr>
              <w:t>reflected in thousands, and per share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amounts)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1,967</w:t>
            </w:r>
          </w:p>
        </w:tc>
        <w:tc>
          <w:tcPr>
            <w:tcW w:w="160" w:type="dxa"/>
            <w:vAlign w:val="bottom"/>
          </w:tcPr>
          <w:p>
            <w:pPr>
              <w:spacing w:after="0"/>
              <w:rPr>
                <w:sz w:val="16"/>
                <w:szCs w:val="16"/>
                <w:color w:val="auto"/>
              </w:rPr>
            </w:pPr>
          </w:p>
        </w:tc>
        <w:tc>
          <w:tcPr>
            <w:tcW w:w="980" w:type="dxa"/>
            <w:vAlign w:val="bottom"/>
            <w:gridSpan w:val="2"/>
          </w:tcPr>
          <w:p>
            <w:pPr>
              <w:jc w:val="right"/>
              <w:ind w:right="693"/>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7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160" w:type="dxa"/>
            <w:vAlign w:val="bottom"/>
            <w:gridSpan w:val="2"/>
          </w:tcPr>
          <w:p>
            <w:pPr>
              <w:jc w:val="right"/>
              <w:ind w:right="3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2,822</w:t>
            </w:r>
          </w:p>
        </w:tc>
        <w:tc>
          <w:tcPr>
            <w:tcW w:w="160" w:type="dxa"/>
            <w:vAlign w:val="bottom"/>
          </w:tcPr>
          <w:p>
            <w:pPr>
              <w:spacing w:after="0"/>
              <w:rPr>
                <w:sz w:val="24"/>
                <w:szCs w:val="24"/>
                <w:color w:val="auto"/>
              </w:rPr>
            </w:pPr>
          </w:p>
        </w:tc>
        <w:tc>
          <w:tcPr>
            <w:tcW w:w="980" w:type="dxa"/>
            <w:vAlign w:val="bottom"/>
            <w:gridSpan w:val="2"/>
          </w:tcPr>
          <w:p>
            <w:pPr>
              <w:jc w:val="right"/>
              <w:ind w:right="693"/>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7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15"/>
        </w:trPr>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928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(735)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 w:type="dxa"/>
            <w:vAlign w:val="bottom"/>
            <w:gridSpan w:val="2"/>
          </w:tcPr>
          <w:p>
            <w:pPr>
              <w:jc w:val="right"/>
              <w:ind w:right="3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3,013</w:t>
            </w:r>
          </w:p>
        </w:tc>
        <w:tc>
          <w:tcPr>
            <w:tcW w:w="160" w:type="dxa"/>
            <w:vAlign w:val="bottom"/>
          </w:tcPr>
          <w:p>
            <w:pPr>
              <w:spacing w:after="0"/>
              <w:rPr>
                <w:sz w:val="18"/>
                <w:szCs w:val="18"/>
                <w:color w:val="auto"/>
              </w:rPr>
            </w:pPr>
          </w:p>
        </w:tc>
        <w:tc>
          <w:tcPr>
            <w:tcW w:w="980" w:type="dxa"/>
            <w:vAlign w:val="bottom"/>
            <w:gridSpan w:val="2"/>
          </w:tcPr>
          <w:p>
            <w:pPr>
              <w:jc w:val="right"/>
              <w:ind w:right="693"/>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7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2">
            <w:col w:w="7360" w:space="220"/>
            <w:col w:w="3200"/>
          </w:cols>
          <w:pgMar w:left="320" w:top="440" w:right="799" w:bottom="1440" w:gutter="0" w:footer="0" w:header="0"/>
          <w:type w:val="continuous"/>
        </w:sectPr>
      </w:pPr>
    </w:p>
    <w:tbl>
      <w:tblPr>
        <w:tblLayout w:type="fixed"/>
        <w:tblInd w:w="460" w:type="dxa"/>
        <w:tblCellMar>
          <w:top w:w="0" w:type="dxa"/>
          <w:left w:w="0" w:type="dxa"/>
          <w:bottom w:w="0" w:type="dxa"/>
          <w:right w:w="0" w:type="dxa"/>
        </w:tblCellMar>
      </w:tblPr>
      <w:tr>
        <w:trPr>
          <w:trHeight w:val="149"/>
        </w:trPr>
        <w:tc>
          <w:tcPr>
            <w:tcW w:w="280" w:type="dxa"/>
            <w:vAlign w:val="bottom"/>
          </w:tcPr>
          <w:p>
            <w:pPr>
              <w:jc w:val="right"/>
              <w:ind w:right="53"/>
              <w:spacing w:after="0"/>
              <w:rPr>
                <w:sz w:val="20"/>
                <w:szCs w:val="20"/>
                <w:color w:val="auto"/>
              </w:rPr>
            </w:pPr>
            <w:r>
              <w:rPr>
                <w:rFonts w:ascii="Arial" w:cs="Arial" w:eastAsia="Arial" w:hAnsi="Arial"/>
                <w:sz w:val="13"/>
                <w:szCs w:val="13"/>
                <w:color w:val="auto"/>
                <w:w w:val="87"/>
              </w:rPr>
              <w:t>(1)</w:t>
            </w:r>
          </w:p>
        </w:tc>
        <w:tc>
          <w:tcPr>
            <w:tcW w:w="4580" w:type="dxa"/>
            <w:vAlign w:val="bottom"/>
            <w:gridSpan w:val="2"/>
          </w:tcPr>
          <w:p>
            <w:pPr>
              <w:ind w:left="120"/>
              <w:spacing w:after="0"/>
              <w:rPr>
                <w:sz w:val="20"/>
                <w:szCs w:val="20"/>
                <w:color w:val="auto"/>
              </w:rPr>
            </w:pPr>
            <w:r>
              <w:rPr>
                <w:rFonts w:ascii="Arial" w:cs="Arial" w:eastAsia="Arial" w:hAnsi="Arial"/>
                <w:sz w:val="13"/>
                <w:szCs w:val="13"/>
                <w:color w:val="auto"/>
                <w:w w:val="98"/>
              </w:rPr>
              <w:t>Each $1.00 increase (decrease) in the assumed initial public offering price of $</w:t>
            </w:r>
          </w:p>
        </w:tc>
        <w:tc>
          <w:tcPr>
            <w:tcW w:w="5460" w:type="dxa"/>
            <w:vAlign w:val="bottom"/>
            <w:gridSpan w:val="3"/>
          </w:tcPr>
          <w:p>
            <w:pPr>
              <w:ind w:left="220"/>
              <w:spacing w:after="0"/>
              <w:rPr>
                <w:sz w:val="20"/>
                <w:szCs w:val="20"/>
                <w:color w:val="auto"/>
              </w:rPr>
            </w:pPr>
            <w:r>
              <w:rPr>
                <w:rFonts w:ascii="Arial" w:cs="Arial" w:eastAsia="Arial" w:hAnsi="Arial"/>
                <w:sz w:val="13"/>
                <w:szCs w:val="13"/>
                <w:color w:val="auto"/>
                <w:w w:val="96"/>
              </w:rPr>
              <w:t>per share, the midpoint of the price range set forth on the cover page of this prospectus, would</w:t>
            </w:r>
          </w:p>
        </w:tc>
      </w:tr>
      <w:tr>
        <w:trPr>
          <w:trHeight w:val="139"/>
        </w:trPr>
        <w:tc>
          <w:tcPr>
            <w:tcW w:w="280" w:type="dxa"/>
            <w:vAlign w:val="bottom"/>
          </w:tcPr>
          <w:p>
            <w:pPr>
              <w:spacing w:after="0"/>
              <w:rPr>
                <w:sz w:val="12"/>
                <w:szCs w:val="12"/>
                <w:color w:val="auto"/>
              </w:rPr>
            </w:pPr>
          </w:p>
        </w:tc>
        <w:tc>
          <w:tcPr>
            <w:tcW w:w="1004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6"/>
              </w:rPr>
              <w:t>increase (decrease) the amount of cash, cash equivalents, and marketable securities, additional paid-in capital, total stockholders’ equity, and total capitalization by approximately</w:t>
            </w:r>
          </w:p>
        </w:tc>
      </w:tr>
      <w:tr>
        <w:trPr>
          <w:trHeight w:val="139"/>
        </w:trPr>
        <w:tc>
          <w:tcPr>
            <w:tcW w:w="280" w:type="dxa"/>
            <w:vAlign w:val="bottom"/>
          </w:tcPr>
          <w:p>
            <w:pPr>
              <w:spacing w:after="0"/>
              <w:rPr>
                <w:sz w:val="12"/>
                <w:szCs w:val="12"/>
                <w:color w:val="auto"/>
              </w:rPr>
            </w:pPr>
          </w:p>
        </w:tc>
        <w:tc>
          <w:tcPr>
            <w:tcW w:w="400" w:type="dxa"/>
            <w:vAlign w:val="bottom"/>
          </w:tcPr>
          <w:p>
            <w:pPr>
              <w:ind w:left="120"/>
              <w:spacing w:after="0" w:line="139" w:lineRule="exact"/>
              <w:rPr>
                <w:sz w:val="20"/>
                <w:szCs w:val="20"/>
                <w:color w:val="auto"/>
              </w:rPr>
            </w:pPr>
            <w:r>
              <w:rPr>
                <w:rFonts w:ascii="Arial" w:cs="Arial" w:eastAsia="Arial" w:hAnsi="Arial"/>
                <w:sz w:val="13"/>
                <w:szCs w:val="13"/>
                <w:color w:val="auto"/>
              </w:rPr>
              <w:t>$</w:t>
            </w:r>
          </w:p>
        </w:tc>
        <w:tc>
          <w:tcPr>
            <w:tcW w:w="9640" w:type="dxa"/>
            <w:vAlign w:val="bottom"/>
            <w:gridSpan w:val="4"/>
          </w:tcPr>
          <w:p>
            <w:pPr>
              <w:ind w:left="220"/>
              <w:spacing w:after="0" w:line="139" w:lineRule="exact"/>
              <w:rPr>
                <w:sz w:val="20"/>
                <w:szCs w:val="20"/>
                <w:color w:val="auto"/>
              </w:rPr>
            </w:pPr>
            <w:r>
              <w:rPr>
                <w:rFonts w:ascii="Arial" w:cs="Arial" w:eastAsia="Arial" w:hAnsi="Arial"/>
                <w:sz w:val="13"/>
                <w:szCs w:val="13"/>
                <w:color w:val="auto"/>
                <w:w w:val="93"/>
              </w:rPr>
              <w:t>million, assuming the number of shares offered by us, as set forth on the cover page of this prospectus, remains the same and after deducting estimated underwriting discounts</w:t>
            </w:r>
          </w:p>
        </w:tc>
      </w:tr>
      <w:tr>
        <w:trPr>
          <w:trHeight w:val="139"/>
        </w:trPr>
        <w:tc>
          <w:tcPr>
            <w:tcW w:w="280" w:type="dxa"/>
            <w:vAlign w:val="bottom"/>
          </w:tcPr>
          <w:p>
            <w:pPr>
              <w:spacing w:after="0"/>
              <w:rPr>
                <w:sz w:val="12"/>
                <w:szCs w:val="12"/>
                <w:color w:val="auto"/>
              </w:rPr>
            </w:pPr>
          </w:p>
        </w:tc>
        <w:tc>
          <w:tcPr>
            <w:tcW w:w="1004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2"/>
              </w:rPr>
              <w:t>and commissions and estimated offering expenses payable by us. Similarly, each increase (decrease) of 1,000,000 in the number of shares we are offering would increase (decrease) the</w:t>
            </w:r>
          </w:p>
        </w:tc>
      </w:tr>
      <w:tr>
        <w:trPr>
          <w:trHeight w:val="139"/>
        </w:trPr>
        <w:tc>
          <w:tcPr>
            <w:tcW w:w="280" w:type="dxa"/>
            <w:vAlign w:val="bottom"/>
          </w:tcPr>
          <w:p>
            <w:pPr>
              <w:spacing w:after="0"/>
              <w:rPr>
                <w:sz w:val="12"/>
                <w:szCs w:val="12"/>
                <w:color w:val="auto"/>
              </w:rPr>
            </w:pPr>
          </w:p>
        </w:tc>
        <w:tc>
          <w:tcPr>
            <w:tcW w:w="8780" w:type="dxa"/>
            <w:vAlign w:val="bottom"/>
            <w:gridSpan w:val="4"/>
          </w:tcPr>
          <w:p>
            <w:pPr>
              <w:ind w:left="120"/>
              <w:spacing w:after="0" w:line="139" w:lineRule="exact"/>
              <w:rPr>
                <w:sz w:val="20"/>
                <w:szCs w:val="20"/>
                <w:color w:val="auto"/>
              </w:rPr>
            </w:pPr>
            <w:r>
              <w:rPr>
                <w:rFonts w:ascii="Arial" w:cs="Arial" w:eastAsia="Arial" w:hAnsi="Arial"/>
                <w:sz w:val="13"/>
                <w:szCs w:val="13"/>
                <w:color w:val="auto"/>
                <w:w w:val="96"/>
              </w:rPr>
              <w:t>amount of cash, cash equivalents, and marketable securities, additional paid-in capital, total stockholders’ equity, and total capitalization by approximately $</w:t>
            </w:r>
          </w:p>
        </w:tc>
        <w:tc>
          <w:tcPr>
            <w:tcW w:w="1260" w:type="dxa"/>
            <w:vAlign w:val="bottom"/>
          </w:tcPr>
          <w:p>
            <w:pPr>
              <w:ind w:left="220"/>
              <w:spacing w:after="0" w:line="139" w:lineRule="exact"/>
              <w:rPr>
                <w:sz w:val="20"/>
                <w:szCs w:val="20"/>
                <w:color w:val="auto"/>
              </w:rPr>
            </w:pPr>
            <w:r>
              <w:rPr>
                <w:rFonts w:ascii="Arial" w:cs="Arial" w:eastAsia="Arial" w:hAnsi="Arial"/>
                <w:sz w:val="13"/>
                <w:szCs w:val="13"/>
                <w:color w:val="auto"/>
              </w:rPr>
              <w:t>million, assuming</w:t>
            </w:r>
          </w:p>
        </w:tc>
      </w:tr>
      <w:tr>
        <w:trPr>
          <w:trHeight w:val="139"/>
        </w:trPr>
        <w:tc>
          <w:tcPr>
            <w:tcW w:w="280" w:type="dxa"/>
            <w:vAlign w:val="bottom"/>
          </w:tcPr>
          <w:p>
            <w:pPr>
              <w:spacing w:after="0"/>
              <w:rPr>
                <w:sz w:val="12"/>
                <w:szCs w:val="12"/>
                <w:color w:val="auto"/>
              </w:rPr>
            </w:pPr>
          </w:p>
        </w:tc>
        <w:tc>
          <w:tcPr>
            <w:tcW w:w="10040" w:type="dxa"/>
            <w:vAlign w:val="bottom"/>
            <w:gridSpan w:val="5"/>
          </w:tcPr>
          <w:p>
            <w:pPr>
              <w:ind w:left="120"/>
              <w:spacing w:after="0" w:line="139" w:lineRule="exact"/>
              <w:rPr>
                <w:sz w:val="20"/>
                <w:szCs w:val="20"/>
                <w:color w:val="auto"/>
              </w:rPr>
            </w:pPr>
            <w:r>
              <w:rPr>
                <w:rFonts w:ascii="Arial" w:cs="Arial" w:eastAsia="Arial" w:hAnsi="Arial"/>
                <w:sz w:val="13"/>
                <w:szCs w:val="13"/>
                <w:color w:val="auto"/>
                <w:w w:val="97"/>
              </w:rPr>
              <w:t>the assumed initial public offering price per share, the midpoint of the price range set forth on the cover page of this prospectus, remains the same and after deducting estimated</w:t>
            </w:r>
          </w:p>
        </w:tc>
      </w:tr>
      <w:tr>
        <w:trPr>
          <w:trHeight w:val="172"/>
        </w:trPr>
        <w:tc>
          <w:tcPr>
            <w:tcW w:w="280" w:type="dxa"/>
            <w:vAlign w:val="bottom"/>
          </w:tcPr>
          <w:p>
            <w:pPr>
              <w:spacing w:after="0"/>
              <w:rPr>
                <w:sz w:val="14"/>
                <w:szCs w:val="14"/>
                <w:color w:val="auto"/>
              </w:rPr>
            </w:pPr>
          </w:p>
        </w:tc>
        <w:tc>
          <w:tcPr>
            <w:tcW w:w="7080" w:type="dxa"/>
            <w:vAlign w:val="bottom"/>
            <w:gridSpan w:val="3"/>
          </w:tcPr>
          <w:p>
            <w:pPr>
              <w:ind w:left="120"/>
              <w:spacing w:after="0"/>
              <w:rPr>
                <w:sz w:val="20"/>
                <w:szCs w:val="20"/>
                <w:color w:val="auto"/>
              </w:rPr>
            </w:pPr>
            <w:r>
              <w:rPr>
                <w:rFonts w:ascii="Arial" w:cs="Arial" w:eastAsia="Arial" w:hAnsi="Arial"/>
                <w:sz w:val="13"/>
                <w:szCs w:val="13"/>
                <w:color w:val="auto"/>
              </w:rPr>
              <w:t>underwriting discounts and commissions and estimated offering expenses payable by us.</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90"/>
        </w:trPr>
        <w:tc>
          <w:tcPr>
            <w:tcW w:w="280" w:type="dxa"/>
            <w:vAlign w:val="bottom"/>
          </w:tcPr>
          <w:p>
            <w:pPr>
              <w:spacing w:after="0"/>
              <w:rPr>
                <w:sz w:val="24"/>
                <w:szCs w:val="24"/>
                <w:color w:val="auto"/>
              </w:rPr>
            </w:pPr>
          </w:p>
        </w:tc>
        <w:tc>
          <w:tcPr>
            <w:tcW w:w="7080" w:type="dxa"/>
            <w:vAlign w:val="bottom"/>
            <w:gridSpan w:val="3"/>
          </w:tcPr>
          <w:p>
            <w:pPr>
              <w:ind w:left="140"/>
              <w:spacing w:after="0"/>
              <w:rPr>
                <w:sz w:val="20"/>
                <w:szCs w:val="20"/>
                <w:color w:val="auto"/>
              </w:rPr>
            </w:pPr>
            <w:r>
              <w:rPr>
                <w:rFonts w:ascii="Arial" w:cs="Arial" w:eastAsia="Arial" w:hAnsi="Arial"/>
                <w:sz w:val="17"/>
                <w:szCs w:val="17"/>
                <w:color w:val="auto"/>
                <w:w w:val="94"/>
              </w:rPr>
              <w:t>The number of shares of our common stock that will be outstanding after this offering is based on</w:t>
            </w:r>
          </w:p>
        </w:tc>
        <w:tc>
          <w:tcPr>
            <w:tcW w:w="2960" w:type="dxa"/>
            <w:vAlign w:val="bottom"/>
            <w:gridSpan w:val="2"/>
          </w:tcPr>
          <w:p>
            <w:pPr>
              <w:ind w:left="360"/>
              <w:spacing w:after="0"/>
              <w:rPr>
                <w:sz w:val="20"/>
                <w:szCs w:val="20"/>
                <w:color w:val="auto"/>
              </w:rPr>
            </w:pPr>
            <w:r>
              <w:rPr>
                <w:rFonts w:ascii="Arial" w:cs="Arial" w:eastAsia="Arial" w:hAnsi="Arial"/>
                <w:sz w:val="17"/>
                <w:szCs w:val="17"/>
                <w:color w:val="auto"/>
              </w:rPr>
              <w:t>shares of our common stock</w:t>
            </w:r>
          </w:p>
        </w:tc>
      </w:tr>
    </w:tbl>
    <w:p>
      <w:pPr>
        <w:ind w:left="460" w:right="260"/>
        <w:spacing w:after="0" w:line="257" w:lineRule="auto"/>
        <w:rPr>
          <w:sz w:val="20"/>
          <w:szCs w:val="20"/>
          <w:color w:val="auto"/>
        </w:rPr>
      </w:pPr>
      <w:r>
        <w:rPr>
          <w:rFonts w:ascii="Arial" w:cs="Arial" w:eastAsia="Arial" w:hAnsi="Arial"/>
          <w:sz w:val="17"/>
          <w:szCs w:val="17"/>
          <w:color w:val="auto"/>
        </w:rPr>
        <w:t>outstanding as of June 30, 2023 (after giving effect to the Exchangeable Share Conversion, the Preferred Stock Conversion, the RSU Net Settlement, and the RSA Cancellation), and excludes:</w:t>
      </w:r>
    </w:p>
    <w:p>
      <w:pPr>
        <w:spacing w:after="0" w:line="89" w:lineRule="exact"/>
        <w:rPr>
          <w:sz w:val="20"/>
          <w:szCs w:val="20"/>
          <w:color w:val="auto"/>
        </w:rPr>
      </w:pPr>
    </w:p>
    <w:p>
      <w:pPr>
        <w:ind w:left="1360" w:right="220" w:hanging="498"/>
        <w:spacing w:after="0" w:line="272" w:lineRule="auto"/>
        <w:tabs>
          <w:tab w:leader="none" w:pos="13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29,910,133 shares of our common stock issuable upon the exercise of options to purchase shares of our common stock outstanding as of June 30, 2023, with a weighted-average exercise price of $7.66 per share;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780"/>
          </w:cols>
          <w:pgMar w:left="320" w:top="440" w:right="7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60" w:hanging="498"/>
        <w:spacing w:after="0" w:line="287" w:lineRule="auto"/>
        <w:tabs>
          <w:tab w:leader="none" w:pos="20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shares of our common stock issuable in connection with the vesting of RSUs subject to service-based, market-based, and/or liquidity event-based vesting conditions outstanding as of June 30, 2023, for which (i) the liquidity event-based vesting condition will be satisfied upon the effectiveness of the registration statement of which this prospectus forms a part but (ii) the service-based and/or market-</w:t>
      </w:r>
    </w:p>
    <w:p>
      <w:pPr>
        <w:sectPr>
          <w:pgSz w:w="11900" w:h="16838" w:orient="portrait"/>
          <w:cols w:equalWidth="0" w:num="1">
            <w:col w:w="10780"/>
          </w:cols>
          <w:pgMar w:left="320" w:top="440" w:right="799" w:bottom="1440" w:gutter="0" w:footer="0" w:header="0"/>
        </w:sectPr>
      </w:pPr>
    </w:p>
    <w:p>
      <w:pPr>
        <w:spacing w:after="0" w:line="1" w:lineRule="exact"/>
        <w:rPr>
          <w:sz w:val="20"/>
          <w:szCs w:val="20"/>
          <w:color w:val="auto"/>
        </w:rPr>
      </w:pPr>
    </w:p>
    <w:p>
      <w:pPr>
        <w:ind w:left="1360"/>
        <w:spacing w:after="0"/>
        <w:tabs>
          <w:tab w:leader="none" w:pos="10000" w:val="left"/>
        </w:tabs>
        <w:rPr>
          <w:sz w:val="20"/>
          <w:szCs w:val="20"/>
          <w:color w:val="auto"/>
        </w:rPr>
      </w:pPr>
      <w:r>
        <w:rPr>
          <w:rFonts w:ascii="Arial" w:cs="Arial" w:eastAsia="Arial" w:hAnsi="Arial"/>
          <w:sz w:val="16"/>
          <w:szCs w:val="16"/>
          <w:color w:val="auto"/>
        </w:rPr>
        <w:t>based vesting conditions were not satisfied as of June 30, 2023 (we expect that vesting of certain of these RSUs through</w:t>
      </w:r>
      <w:r>
        <w:rPr>
          <w:sz w:val="20"/>
          <w:szCs w:val="20"/>
          <w:color w:val="auto"/>
        </w:rPr>
        <w:tab/>
      </w:r>
      <w:r>
        <w:rPr>
          <w:rFonts w:ascii="Arial" w:cs="Arial" w:eastAsia="Arial" w:hAnsi="Arial"/>
          <w:sz w:val="15"/>
          <w:szCs w:val="15"/>
          <w:color w:val="auto"/>
        </w:rPr>
        <w:t>, the</w:t>
      </w:r>
    </w:p>
    <w:p>
      <w:pPr>
        <w:spacing w:after="0" w:line="19" w:lineRule="exact"/>
        <w:rPr>
          <w:sz w:val="20"/>
          <w:szCs w:val="20"/>
          <w:color w:val="auto"/>
        </w:rPr>
      </w:pPr>
    </w:p>
    <w:p>
      <w:pPr>
        <w:ind w:left="1360"/>
        <w:spacing w:after="0"/>
        <w:tabs>
          <w:tab w:leader="none" w:pos="10300" w:val="left"/>
        </w:tabs>
        <w:rPr>
          <w:sz w:val="20"/>
          <w:szCs w:val="20"/>
          <w:color w:val="auto"/>
        </w:rPr>
      </w:pPr>
      <w:r>
        <w:rPr>
          <w:rFonts w:ascii="Arial" w:cs="Arial" w:eastAsia="Arial" w:hAnsi="Arial"/>
          <w:sz w:val="17"/>
          <w:szCs w:val="17"/>
          <w:color w:val="auto"/>
        </w:rPr>
        <w:t>assumed effective date of the registration statement of which this prospectus forms a part will result in the net issuance of</w:t>
      </w:r>
      <w:r>
        <w:rPr>
          <w:sz w:val="20"/>
          <w:szCs w:val="20"/>
          <w:color w:val="auto"/>
        </w:rPr>
        <w:tab/>
      </w:r>
      <w:r>
        <w:rPr>
          <w:rFonts w:ascii="Arial" w:cs="Arial" w:eastAsia="Arial" w:hAnsi="Arial"/>
          <w:sz w:val="13"/>
          <w:szCs w:val="13"/>
          <w:color w:val="auto"/>
        </w:rPr>
        <w:t>shares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of common stock in connection with the RSU Net Settlement);</w:t>
      </w:r>
    </w:p>
    <w:p>
      <w:pPr>
        <w:sectPr>
          <w:pgSz w:w="11900" w:h="16838" w:orient="portrait"/>
          <w:cols w:equalWidth="0" w:num="1">
            <w:col w:w="10780"/>
          </w:cols>
          <w:pgMar w:left="320" w:top="440" w:right="799" w:bottom="1440" w:gutter="0" w:footer="0" w:header="0"/>
          <w:type w:val="continuous"/>
        </w:sectPr>
      </w:pPr>
    </w:p>
    <w:p>
      <w:pPr>
        <w:spacing w:after="0" w:line="109" w:lineRule="exact"/>
        <w:rPr>
          <w:sz w:val="20"/>
          <w:szCs w:val="20"/>
          <w:color w:val="auto"/>
        </w:rPr>
      </w:pPr>
    </w:p>
    <w:p>
      <w:pPr>
        <w:ind w:left="1360" w:right="140" w:hanging="498"/>
        <w:spacing w:after="0" w:line="287" w:lineRule="auto"/>
        <w:tabs>
          <w:tab w:leader="none" w:pos="2035" w:val="left"/>
        </w:tabs>
        <w:numPr>
          <w:ilvl w:val="0"/>
          <w:numId w:val="81"/>
        </w:numPr>
        <w:rPr>
          <w:rFonts w:ascii="Arial" w:cs="Arial" w:eastAsia="Arial" w:hAnsi="Arial"/>
          <w:sz w:val="15"/>
          <w:szCs w:val="15"/>
          <w:color w:val="auto"/>
        </w:rPr>
      </w:pPr>
      <w:r>
        <w:rPr>
          <w:rFonts w:ascii="Arial" w:cs="Arial" w:eastAsia="Arial" w:hAnsi="Arial"/>
          <w:sz w:val="15"/>
          <w:szCs w:val="15"/>
          <w:color w:val="auto"/>
        </w:rPr>
        <w:t>shares of our common stock issuable in connection with the vesting of RSUs subject to service-based and liquidity event-based vesting conditions granted after June 30, 2023, for which (i) the liquidity event-based vesting condition will be satisfied upon the effectiveness of the registration statement of which this prospectus forms a part but (ii) the service-based vesting conditions were not</w:t>
      </w:r>
    </w:p>
    <w:p>
      <w:pPr>
        <w:sectPr>
          <w:pgSz w:w="11900" w:h="16838" w:orient="portrait"/>
          <w:cols w:equalWidth="0" w:num="1">
            <w:col w:w="10780"/>
          </w:cols>
          <w:pgMar w:left="320" w:top="440" w:right="799" w:bottom="1440" w:gutter="0" w:footer="0" w:header="0"/>
          <w:type w:val="continuous"/>
        </w:sectPr>
      </w:pPr>
    </w:p>
    <w:p>
      <w:pPr>
        <w:spacing w:after="0" w:line="1" w:lineRule="exact"/>
        <w:rPr>
          <w:sz w:val="20"/>
          <w:szCs w:val="20"/>
          <w:color w:val="auto"/>
        </w:rPr>
      </w:pPr>
    </w:p>
    <w:p>
      <w:pPr>
        <w:ind w:left="1360" w:right="620"/>
        <w:spacing w:after="0" w:line="253" w:lineRule="auto"/>
        <w:rPr>
          <w:sz w:val="20"/>
          <w:szCs w:val="20"/>
          <w:color w:val="auto"/>
        </w:rPr>
      </w:pPr>
      <w:r>
        <w:rPr>
          <w:rFonts w:ascii="Arial" w:cs="Arial" w:eastAsia="Arial" w:hAnsi="Arial"/>
          <w:sz w:val="17"/>
          <w:szCs w:val="17"/>
          <w:color w:val="auto"/>
        </w:rPr>
        <w:t>satisfied as of June 30, 2023 (we expect that vesting of certain of these RSUs through , the assumed effective date of the registration statement of which this prospectus forms a part will result in the net issuance of shares of common stock in connection with the RSU Net Settlement);</w:t>
      </w:r>
    </w:p>
    <w:p>
      <w:pPr>
        <w:sectPr>
          <w:pgSz w:w="11900" w:h="16838" w:orient="portrait"/>
          <w:cols w:equalWidth="0" w:num="1">
            <w:col w:w="10780"/>
          </w:cols>
          <w:pgMar w:left="320" w:top="440" w:right="799" w:bottom="1440" w:gutter="0" w:footer="0" w:header="0"/>
          <w:type w:val="continuous"/>
        </w:sectPr>
      </w:pPr>
    </w:p>
    <w:p>
      <w:pPr>
        <w:spacing w:after="0" w:line="92" w:lineRule="exact"/>
        <w:rPr>
          <w:sz w:val="20"/>
          <w:szCs w:val="20"/>
          <w:color w:val="auto"/>
        </w:rPr>
      </w:pPr>
    </w:p>
    <w:p>
      <w:pPr>
        <w:ind w:left="1360" w:right="300" w:hanging="498"/>
        <w:spacing w:after="0" w:line="272" w:lineRule="auto"/>
        <w:tabs>
          <w:tab w:leader="none" w:pos="13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7,431,530 shares of our common stock issuable upon the exercise of warrants outstanding as of June 30, 2023 with an exercise price of $18.52 per share;</w:t>
      </w:r>
    </w:p>
    <w:p>
      <w:pPr>
        <w:spacing w:after="0" w:line="76" w:lineRule="exact"/>
        <w:rPr>
          <w:rFonts w:ascii="Arial" w:cs="Arial" w:eastAsia="Arial" w:hAnsi="Arial"/>
          <w:sz w:val="17"/>
          <w:szCs w:val="17"/>
          <w:color w:val="auto"/>
        </w:rPr>
      </w:pPr>
    </w:p>
    <w:p>
      <w:pPr>
        <w:ind w:left="2080" w:hanging="1218"/>
        <w:spacing w:after="0"/>
        <w:tabs>
          <w:tab w:leader="none" w:pos="20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2023 Equity Incentive Plan, or the 2023 Plan, which will</w:t>
      </w:r>
    </w:p>
    <w:p>
      <w:pPr>
        <w:sectPr>
          <w:pgSz w:w="11900" w:h="16838" w:orient="portrait"/>
          <w:cols w:equalWidth="0" w:num="1">
            <w:col w:w="10780"/>
          </w:cols>
          <w:pgMar w:left="320" w:top="440" w:right="799" w:bottom="1440" w:gutter="0" w:footer="0" w:header="0"/>
          <w:type w:val="continuous"/>
        </w:sectPr>
      </w:pPr>
    </w:p>
    <w:p>
      <w:pPr>
        <w:spacing w:after="0" w:line="42" w:lineRule="exact"/>
        <w:rPr>
          <w:sz w:val="20"/>
          <w:szCs w:val="20"/>
          <w:color w:val="auto"/>
        </w:rPr>
      </w:pPr>
    </w:p>
    <w:p>
      <w:pPr>
        <w:ind w:left="1360"/>
        <w:spacing w:after="0" w:line="264" w:lineRule="auto"/>
        <w:rPr>
          <w:sz w:val="20"/>
          <w:szCs w:val="20"/>
          <w:color w:val="auto"/>
        </w:rPr>
      </w:pPr>
      <w:r>
        <w:rPr>
          <w:rFonts w:ascii="Arial" w:cs="Arial" w:eastAsia="Arial" w:hAnsi="Arial"/>
          <w:sz w:val="16"/>
          <w:szCs w:val="16"/>
          <w:color w:val="auto"/>
        </w:rPr>
        <w:t>become effective upon the effectiveness of the registration statement of which this prospectus forms a part, including new shares plus the number of shares (not to exceed shares) (i) that remain available for grant of future awards under our 2018 Equity</w:t>
      </w:r>
    </w:p>
    <w:p>
      <w:pPr>
        <w:sectPr>
          <w:pgSz w:w="11900" w:h="16838" w:orient="portrait"/>
          <w:cols w:equalWidth="0" w:num="1">
            <w:col w:w="10780"/>
          </w:cols>
          <w:pgMar w:left="320" w:top="440" w:right="799" w:bottom="1440" w:gutter="0" w:footer="0" w:header="0"/>
          <w:type w:val="continuous"/>
        </w:sectPr>
      </w:pPr>
    </w:p>
    <w:p>
      <w:pPr>
        <w:jc w:val="both"/>
        <w:ind w:left="1360" w:right="180"/>
        <w:spacing w:after="0" w:line="276" w:lineRule="auto"/>
        <w:rPr>
          <w:sz w:val="20"/>
          <w:szCs w:val="20"/>
          <w:color w:val="auto"/>
        </w:rPr>
      </w:pPr>
      <w:r>
        <w:rPr>
          <w:rFonts w:ascii="Arial" w:cs="Arial" w:eastAsia="Arial" w:hAnsi="Arial"/>
          <w:sz w:val="16"/>
          <w:szCs w:val="16"/>
          <w:color w:val="auto"/>
        </w:rPr>
        <w:t>Incentive Plan, or the 2018 Plan, at the time the 2023 Plan becomes effective, which shares will cease to be available for issuance under the 2018 Plan at such time, and (ii) any shares underlying outstanding stock awards granted under our 2013 Equity Incentive Plan, or the 2013 Plan, or the 2018 Plan that expire, or are forfeited, cancelled, withheld, or reacquired; and</w:t>
      </w:r>
    </w:p>
    <w:p>
      <w:pPr>
        <w:spacing w:after="0" w:line="75" w:lineRule="exact"/>
        <w:rPr>
          <w:sz w:val="20"/>
          <w:szCs w:val="20"/>
          <w:color w:val="auto"/>
        </w:rPr>
      </w:pPr>
    </w:p>
    <w:p>
      <w:pPr>
        <w:ind w:left="1360" w:right="280" w:hanging="498"/>
        <w:spacing w:after="0" w:line="303" w:lineRule="auto"/>
        <w:tabs>
          <w:tab w:leader="none" w:pos="2077"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2023 Employee Stock Purchase Plan, or the ESPP, which will become effective upon the effectiveness of the registration statement of which this prospectus forms a part.</w:t>
      </w:r>
    </w:p>
    <w:p>
      <w:pPr>
        <w:spacing w:after="0" w:line="143"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Our 2023 Plan and ESPP provide for annual automatic increases in the number of shares reserved thereunder. See the section titled “Executive Compensation—Equity Plans” for additional information.</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780"/>
          </w:cols>
          <w:pgMar w:left="320" w:top="440" w:right="7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DILUTION</w:t>
      </w:r>
    </w:p>
    <w:p>
      <w:pPr>
        <w:spacing w:after="0" w:line="214"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of common stock and the pro forma as adjusted net tangible book value per share of common stock immediately after this offering.</w:t>
      </w:r>
    </w:p>
    <w:p>
      <w:pPr>
        <w:spacing w:after="0" w:line="175"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Our historical net tangible book deficit as of June 30, 2023 was $ million, or $ per share. Historical net tangible book deficit represents the amount of our total tangible assets less our total liabilities and redeemable convertible preferred stock, divided by the number of shares of common stock and exchangeable shares outstanding as of June 30, 2023.</w:t>
      </w:r>
    </w:p>
    <w:p>
      <w:pPr>
        <w:spacing w:after="0" w:line="175" w:lineRule="exact"/>
        <w:rPr>
          <w:sz w:val="20"/>
          <w:szCs w:val="20"/>
          <w:color w:val="auto"/>
        </w:rPr>
      </w:pPr>
    </w:p>
    <w:p>
      <w:pPr>
        <w:ind w:left="460" w:right="40" w:firstLine="413"/>
        <w:spacing w:after="0" w:line="286" w:lineRule="auto"/>
        <w:rPr>
          <w:sz w:val="20"/>
          <w:szCs w:val="20"/>
          <w:color w:val="auto"/>
        </w:rPr>
      </w:pPr>
      <w:r>
        <w:rPr>
          <w:rFonts w:ascii="Arial" w:cs="Arial" w:eastAsia="Arial" w:hAnsi="Arial"/>
          <w:sz w:val="15"/>
          <w:szCs w:val="15"/>
          <w:color w:val="auto"/>
        </w:rPr>
        <w:t>Our pro forma net tangible book value as of June 30, 2023 was $ million, or $ per share. Pro forma net tangible book value per share represents the amount of our total tangible assets less our total liabilities, divided by the number of shares of common stock outstanding as of June 30, 2023, after giving effect to (i) the automatic exchange of all exchangeable shares of our subsidiary, Aspen, outstanding as of June 30, 2023 into 688,787 shares of our non-voting common stock in connection with the effectiveness of the registration statement of which this prospectus forms a part;</w:t>
      </w:r>
    </w:p>
    <w:p>
      <w:pPr>
        <w:ind w:left="460" w:right="60" w:hanging="3"/>
        <w:spacing w:after="0" w:line="281" w:lineRule="auto"/>
        <w:tabs>
          <w:tab w:leader="none" w:pos="708"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conversion of all outstanding shares of our non-voting common stock and shares of our non-voting common stock underlying outstanding equity awards, warrants, and exchangeable shares into an equivalent number of shares of our voting common stock immediately prior to the closing of the offering; (iii) the automatic conversion of 167,302,220 shares of our redeemable convertible preferred stock outstanding as of June 30, 2023 into</w:t>
      </w:r>
    </w:p>
    <w:p>
      <w:pPr>
        <w:spacing w:after="0" w:line="2" w:lineRule="exact"/>
        <w:rPr>
          <w:sz w:val="20"/>
          <w:szCs w:val="20"/>
          <w:color w:val="auto"/>
        </w:rPr>
      </w:pPr>
    </w:p>
    <w:p>
      <w:pPr>
        <w:ind w:left="460"/>
        <w:spacing w:after="0" w:line="281" w:lineRule="auto"/>
        <w:rPr>
          <w:sz w:val="20"/>
          <w:szCs w:val="20"/>
          <w:color w:val="auto"/>
        </w:rPr>
      </w:pPr>
      <w:r>
        <w:rPr>
          <w:rFonts w:ascii="Arial" w:cs="Arial" w:eastAsia="Arial" w:hAnsi="Arial"/>
          <w:sz w:val="15"/>
          <w:szCs w:val="15"/>
          <w:color w:val="auto"/>
        </w:rPr>
        <w:t>167,691,828 shares of our voting common stock immediately prior to the closing of this offering; (iv) the net issuance of shares of our non-voting common stock in connection with the vesting and settlement of certain outstanding RSUs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which will satisfy the</w:t>
      </w:r>
    </w:p>
    <w:p>
      <w:pPr>
        <w:spacing w:after="0" w:line="3" w:lineRule="exact"/>
        <w:rPr>
          <w:sz w:val="20"/>
          <w:szCs w:val="20"/>
          <w:color w:val="auto"/>
        </w:rPr>
      </w:pPr>
    </w:p>
    <w:p>
      <w:pPr>
        <w:ind w:left="460" w:right="280"/>
        <w:spacing w:after="0" w:line="281" w:lineRule="auto"/>
        <w:rPr>
          <w:sz w:val="20"/>
          <w:szCs w:val="20"/>
          <w:color w:val="auto"/>
        </w:rPr>
      </w:pPr>
      <w:r>
        <w:rPr>
          <w:rFonts w:ascii="Arial" w:cs="Arial" w:eastAsia="Arial" w:hAnsi="Arial"/>
          <w:sz w:val="15"/>
          <w:szCs w:val="15"/>
          <w:color w:val="auto"/>
        </w:rPr>
        <w:t>liquidity event-based vesting condition, assuming that effectiveness occurs on and any remaining vesting continues through such date, after giving effect to the withholding of shares of common stock underlying such RSUs to satisfy the associated estimated tax withholding and remittance</w:t>
      </w:r>
    </w:p>
    <w:tbl>
      <w:tblPr>
        <w:tblLayout w:type="fixed"/>
        <w:tblInd w:w="460" w:type="dxa"/>
        <w:tblCellMar>
          <w:top w:w="0" w:type="dxa"/>
          <w:left w:w="0" w:type="dxa"/>
          <w:bottom w:w="0" w:type="dxa"/>
          <w:right w:w="0" w:type="dxa"/>
        </w:tblCellMar>
      </w:tblPr>
      <w:tr>
        <w:trPr>
          <w:trHeight w:val="192"/>
        </w:trPr>
        <w:tc>
          <w:tcPr>
            <w:tcW w:w="4760" w:type="dxa"/>
            <w:vAlign w:val="bottom"/>
            <w:gridSpan w:val="2"/>
          </w:tcPr>
          <w:p>
            <w:pPr>
              <w:spacing w:after="0" w:line="192" w:lineRule="exact"/>
              <w:rPr>
                <w:sz w:val="20"/>
                <w:szCs w:val="20"/>
                <w:color w:val="auto"/>
              </w:rPr>
            </w:pPr>
            <w:r>
              <w:rPr>
                <w:rFonts w:ascii="Arial" w:cs="Arial" w:eastAsia="Arial" w:hAnsi="Arial"/>
                <w:sz w:val="17"/>
                <w:szCs w:val="17"/>
                <w:color w:val="auto"/>
                <w:w w:val="96"/>
              </w:rPr>
              <w:t>obligations (based on the assumed initial public offering price of $</w:t>
            </w:r>
          </w:p>
        </w:tc>
        <w:tc>
          <w:tcPr>
            <w:tcW w:w="5440" w:type="dxa"/>
            <w:vAlign w:val="bottom"/>
            <w:gridSpan w:val="3"/>
          </w:tcPr>
          <w:p>
            <w:pPr>
              <w:ind w:left="280"/>
              <w:spacing w:after="0" w:line="192" w:lineRule="exact"/>
              <w:rPr>
                <w:sz w:val="20"/>
                <w:szCs w:val="20"/>
                <w:color w:val="auto"/>
              </w:rPr>
            </w:pPr>
            <w:r>
              <w:rPr>
                <w:rFonts w:ascii="Arial" w:cs="Arial" w:eastAsia="Arial" w:hAnsi="Arial"/>
                <w:sz w:val="17"/>
                <w:szCs w:val="17"/>
                <w:color w:val="auto"/>
                <w:w w:val="90"/>
              </w:rPr>
              <w:t>per share, the midpoint of the price range set forth on the cover page of this</w:t>
            </w:r>
          </w:p>
        </w:tc>
      </w:tr>
      <w:tr>
        <w:trPr>
          <w:trHeight w:val="203"/>
        </w:trPr>
        <w:tc>
          <w:tcPr>
            <w:tcW w:w="2140" w:type="dxa"/>
            <w:vAlign w:val="bottom"/>
          </w:tcPr>
          <w:p>
            <w:pPr>
              <w:spacing w:after="0"/>
              <w:rPr>
                <w:sz w:val="20"/>
                <w:szCs w:val="20"/>
                <w:color w:val="auto"/>
              </w:rPr>
            </w:pPr>
            <w:r>
              <w:rPr>
                <w:rFonts w:ascii="Arial" w:cs="Arial" w:eastAsia="Arial" w:hAnsi="Arial"/>
                <w:sz w:val="17"/>
                <w:szCs w:val="17"/>
                <w:color w:val="auto"/>
                <w:w w:val="97"/>
              </w:rPr>
              <w:t>prospectus, and an assumed</w:t>
            </w:r>
          </w:p>
        </w:tc>
        <w:tc>
          <w:tcPr>
            <w:tcW w:w="3640" w:type="dxa"/>
            <w:vAlign w:val="bottom"/>
            <w:gridSpan w:val="2"/>
          </w:tcPr>
          <w:p>
            <w:pPr>
              <w:ind w:left="280"/>
              <w:spacing w:after="0"/>
              <w:rPr>
                <w:sz w:val="20"/>
                <w:szCs w:val="20"/>
                <w:color w:val="auto"/>
              </w:rPr>
            </w:pPr>
            <w:r>
              <w:rPr>
                <w:rFonts w:ascii="Arial" w:cs="Arial" w:eastAsia="Arial" w:hAnsi="Arial"/>
                <w:sz w:val="17"/>
                <w:szCs w:val="17"/>
                <w:color w:val="auto"/>
                <w:w w:val="97"/>
              </w:rPr>
              <w:t>% tax withholding rate); (v) the cancellation of</w:t>
            </w:r>
          </w:p>
        </w:tc>
        <w:tc>
          <w:tcPr>
            <w:tcW w:w="4420" w:type="dxa"/>
            <w:vAlign w:val="bottom"/>
            <w:gridSpan w:val="2"/>
          </w:tcPr>
          <w:p>
            <w:pPr>
              <w:ind w:left="400"/>
              <w:spacing w:after="0"/>
              <w:rPr>
                <w:sz w:val="20"/>
                <w:szCs w:val="20"/>
                <w:color w:val="auto"/>
              </w:rPr>
            </w:pPr>
            <w:r>
              <w:rPr>
                <w:rFonts w:ascii="Arial" w:cs="Arial" w:eastAsia="Arial" w:hAnsi="Arial"/>
                <w:sz w:val="17"/>
                <w:szCs w:val="17"/>
                <w:color w:val="auto"/>
                <w:w w:val="97"/>
              </w:rPr>
              <w:t>shares of our outstanding restricted stock to satisfy the</w:t>
            </w:r>
          </w:p>
        </w:tc>
      </w:tr>
      <w:tr>
        <w:trPr>
          <w:trHeight w:val="203"/>
        </w:trPr>
        <w:tc>
          <w:tcPr>
            <w:tcW w:w="8340" w:type="dxa"/>
            <w:vAlign w:val="bottom"/>
            <w:gridSpan w:val="4"/>
          </w:tcPr>
          <w:p>
            <w:pPr>
              <w:spacing w:after="0"/>
              <w:rPr>
                <w:sz w:val="20"/>
                <w:szCs w:val="20"/>
                <w:color w:val="auto"/>
              </w:rPr>
            </w:pPr>
            <w:r>
              <w:rPr>
                <w:rFonts w:ascii="Arial" w:cs="Arial" w:eastAsia="Arial" w:hAnsi="Arial"/>
                <w:sz w:val="17"/>
                <w:szCs w:val="17"/>
                <w:color w:val="auto"/>
                <w:w w:val="93"/>
              </w:rPr>
              <w:t>associated estimated tax withholding and remittance obligations (based on the assumed initial public offering price of $</w:t>
            </w:r>
          </w:p>
        </w:tc>
        <w:tc>
          <w:tcPr>
            <w:tcW w:w="1860" w:type="dxa"/>
            <w:vAlign w:val="bottom"/>
          </w:tcPr>
          <w:p>
            <w:pPr>
              <w:ind w:left="260"/>
              <w:spacing w:after="0"/>
              <w:rPr>
                <w:sz w:val="20"/>
                <w:szCs w:val="20"/>
                <w:color w:val="auto"/>
              </w:rPr>
            </w:pPr>
            <w:r>
              <w:rPr>
                <w:rFonts w:ascii="Arial" w:cs="Arial" w:eastAsia="Arial" w:hAnsi="Arial"/>
                <w:sz w:val="17"/>
                <w:szCs w:val="17"/>
                <w:color w:val="auto"/>
                <w:w w:val="90"/>
              </w:rPr>
              <w:t>per share, the midpoint</w:t>
            </w:r>
          </w:p>
        </w:tc>
      </w:tr>
      <w:tr>
        <w:trPr>
          <w:trHeight w:val="214"/>
        </w:trPr>
        <w:tc>
          <w:tcPr>
            <w:tcW w:w="5780" w:type="dxa"/>
            <w:vAlign w:val="bottom"/>
            <w:gridSpan w:val="3"/>
          </w:tcPr>
          <w:p>
            <w:pPr>
              <w:spacing w:after="0"/>
              <w:rPr>
                <w:sz w:val="20"/>
                <w:szCs w:val="20"/>
                <w:color w:val="auto"/>
              </w:rPr>
            </w:pPr>
            <w:r>
              <w:rPr>
                <w:rFonts w:ascii="Arial" w:cs="Arial" w:eastAsia="Arial" w:hAnsi="Arial"/>
                <w:sz w:val="17"/>
                <w:szCs w:val="17"/>
                <w:color w:val="auto"/>
                <w:w w:val="94"/>
              </w:rPr>
              <w:t>of the price range set forth on the cover page of this prospectus, and an assumed</w:t>
            </w:r>
          </w:p>
        </w:tc>
        <w:tc>
          <w:tcPr>
            <w:tcW w:w="4420" w:type="dxa"/>
            <w:vAlign w:val="bottom"/>
            <w:gridSpan w:val="2"/>
          </w:tcPr>
          <w:p>
            <w:pPr>
              <w:ind w:left="180"/>
              <w:spacing w:after="0"/>
              <w:rPr>
                <w:sz w:val="20"/>
                <w:szCs w:val="20"/>
                <w:color w:val="auto"/>
              </w:rPr>
            </w:pPr>
            <w:r>
              <w:rPr>
                <w:rFonts w:ascii="Arial" w:cs="Arial" w:eastAsia="Arial" w:hAnsi="Arial"/>
                <w:sz w:val="17"/>
                <w:szCs w:val="17"/>
                <w:color w:val="auto"/>
                <w:w w:val="90"/>
              </w:rPr>
              <w:t>% tax withholding rate) due upon the vesting of such restricted</w:t>
            </w:r>
          </w:p>
        </w:tc>
      </w:tr>
    </w:tbl>
    <w:p>
      <w:pPr>
        <w:ind w:left="460" w:right="120"/>
        <w:spacing w:after="0" w:line="281" w:lineRule="auto"/>
        <w:rPr>
          <w:sz w:val="20"/>
          <w:szCs w:val="20"/>
          <w:color w:val="auto"/>
        </w:rPr>
      </w:pPr>
      <w:r>
        <w:rPr>
          <w:rFonts w:ascii="Arial" w:cs="Arial" w:eastAsia="Arial" w:hAnsi="Arial"/>
          <w:sz w:val="15"/>
          <w:szCs w:val="15"/>
          <w:color w:val="auto"/>
        </w:rPr>
        <w:t>stock, which will occur upon the effectiveness of the registration statement of which this prospectus forms a part; (vi) the reclassification of all outstanding shares of our voting common stock and shares of our voting common stock underlying outstanding equity awards, after giving effect to the conversions described above, into an equivalent number of shares of common stock immediately prior to the closing of this offering; and (vii)</w:t>
      </w:r>
    </w:p>
    <w:p>
      <w:pPr>
        <w:spacing w:after="0" w:line="2" w:lineRule="exact"/>
        <w:rPr>
          <w:sz w:val="20"/>
          <w:szCs w:val="20"/>
          <w:color w:val="auto"/>
        </w:rPr>
      </w:pPr>
    </w:p>
    <w:p>
      <w:pPr>
        <w:ind w:left="460"/>
        <w:spacing w:after="0" w:line="292" w:lineRule="auto"/>
        <w:rPr>
          <w:sz w:val="20"/>
          <w:szCs w:val="20"/>
          <w:color w:val="auto"/>
        </w:rPr>
      </w:pPr>
      <w:r>
        <w:rPr>
          <w:rFonts w:ascii="Arial" w:cs="Arial" w:eastAsia="Arial" w:hAnsi="Arial"/>
          <w:sz w:val="15"/>
          <w:szCs w:val="15"/>
          <w:color w:val="auto"/>
        </w:rPr>
        <w:t>stock-based compensation expense of $ million associated with RSUs and shares of outstanding restricted stock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and which we expect to recognize in connection with the effectiveness of the registration statement, which will satisfy the liquidity event-based vesting condition, as further described in Notes 2 and 12 to our consolidated financial statements included elsewhere in this prospectus.</w:t>
      </w:r>
    </w:p>
    <w:p>
      <w:pPr>
        <w:spacing w:after="0" w:line="155" w:lineRule="exact"/>
        <w:rPr>
          <w:sz w:val="20"/>
          <w:szCs w:val="20"/>
          <w:color w:val="auto"/>
        </w:rPr>
      </w:pPr>
    </w:p>
    <w:p>
      <w:pPr>
        <w:ind w:left="880"/>
        <w:spacing w:after="0"/>
        <w:tabs>
          <w:tab w:leader="none" w:pos="10320" w:val="left"/>
        </w:tabs>
        <w:rPr>
          <w:sz w:val="20"/>
          <w:szCs w:val="20"/>
          <w:color w:val="auto"/>
        </w:rPr>
      </w:pPr>
      <w:r>
        <w:rPr>
          <w:rFonts w:ascii="Arial" w:cs="Arial" w:eastAsia="Arial" w:hAnsi="Arial"/>
          <w:sz w:val="16"/>
          <w:szCs w:val="16"/>
          <w:color w:val="auto"/>
        </w:rPr>
        <w:t>After giving further effect to the sale of shares of common stock that we are offering at the assumed initial public offering price of $</w:t>
      </w:r>
      <w:r>
        <w:rPr>
          <w:sz w:val="20"/>
          <w:szCs w:val="20"/>
          <w:color w:val="auto"/>
        </w:rPr>
        <w:tab/>
      </w:r>
      <w:r>
        <w:rPr>
          <w:rFonts w:ascii="Arial" w:cs="Arial" w:eastAsia="Arial" w:hAnsi="Arial"/>
          <w:sz w:val="13"/>
          <w:szCs w:val="13"/>
          <w:color w:val="auto"/>
        </w:rPr>
        <w:t>per</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 the midpoint of the price range set forth on the cover page of this prospectus, and after deducting estimated underwriting discounts and</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commissions and estimated offering expenses payable by us and the use of proceeds to satisfy the assumed tax withholding and remittance obligations</w:t>
      </w:r>
    </w:p>
    <w:p>
      <w:pPr>
        <w:spacing w:after="0" w:line="363" w:lineRule="exact"/>
        <w:rPr>
          <w:sz w:val="20"/>
          <w:szCs w:val="20"/>
          <w:color w:val="auto"/>
        </w:rPr>
      </w:pPr>
    </w:p>
    <w:p>
      <w:pPr>
        <w:ind w:left="460" w:right="400"/>
        <w:spacing w:after="0" w:line="272" w:lineRule="auto"/>
        <w:rPr>
          <w:sz w:val="20"/>
          <w:szCs w:val="20"/>
          <w:color w:val="auto"/>
        </w:rPr>
      </w:pPr>
      <w:r>
        <w:rPr>
          <w:rFonts w:ascii="Arial" w:cs="Arial" w:eastAsia="Arial" w:hAnsi="Arial"/>
          <w:sz w:val="17"/>
          <w:szCs w:val="17"/>
          <w:color w:val="auto"/>
        </w:rPr>
        <w:t>described above, our pro forma as adjusted net tangible book value as of June 30, 2023 would have been $ million, or $ per share of common stock. This amount represents an immediate increase in pro</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780"/>
          </w:cols>
          <w:pgMar w:left="320" w:top="440" w:right="79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forma net tangible book value of $ per share to our existing stockholders and immediate dilution in pro forma as adjusted net tangible book value of $ per share to investors purchasing shares of common stock in this offering.</w:t>
      </w:r>
    </w:p>
    <w:p>
      <w:pPr>
        <w:spacing w:after="0" w:line="165"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Dilution per share to new investors is determined by subtracting pro forma as adjusted net tangible book value per share after this offering from the initial public offering price per share paid by investors in this offering. The following table illustrates this dilution: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328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r>
      <w:tr>
        <w:trPr>
          <w:trHeight w:val="203"/>
        </w:trPr>
        <w:tc>
          <w:tcPr>
            <w:tcW w:w="7060" w:type="dxa"/>
            <w:vAlign w:val="bottom"/>
          </w:tcPr>
          <w:p>
            <w:pPr>
              <w:ind w:left="340"/>
              <w:spacing w:after="0"/>
              <w:rPr>
                <w:sz w:val="20"/>
                <w:szCs w:val="20"/>
                <w:color w:val="auto"/>
              </w:rPr>
            </w:pPr>
            <w:r>
              <w:rPr>
                <w:rFonts w:ascii="Arial" w:cs="Arial" w:eastAsia="Arial" w:hAnsi="Arial"/>
                <w:sz w:val="17"/>
                <w:szCs w:val="17"/>
                <w:color w:val="auto"/>
              </w:rPr>
              <w:t>Historical net tangible book deficit per share as of June 30, 2023</w:t>
            </w:r>
          </w:p>
        </w:tc>
        <w:tc>
          <w:tcPr>
            <w:tcW w:w="22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7"/>
                <w:szCs w:val="17"/>
                <w:color w:val="auto"/>
              </w:rPr>
            </w:pPr>
          </w:p>
        </w:tc>
      </w:tr>
      <w:tr>
        <w:trPr>
          <w:trHeight w:val="203"/>
        </w:trPr>
        <w:tc>
          <w:tcPr>
            <w:tcW w:w="7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per share attributable to the pro forma adjustments described above</w:t>
            </w:r>
          </w:p>
        </w:tc>
        <w:tc>
          <w:tcPr>
            <w:tcW w:w="15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bl>
    <w:p>
      <w:pPr>
        <w:ind w:left="800"/>
        <w:spacing w:after="0"/>
        <w:rPr>
          <w:sz w:val="20"/>
          <w:szCs w:val="20"/>
          <w:color w:val="auto"/>
        </w:rPr>
      </w:pPr>
      <w:r>
        <w:rPr>
          <w:rFonts w:ascii="Arial" w:cs="Arial" w:eastAsia="Arial" w:hAnsi="Arial"/>
          <w:sz w:val="17"/>
          <w:szCs w:val="17"/>
          <w:color w:val="auto"/>
        </w:rPr>
        <w:t>Pro forma net tangible book value per share as of June 30, 2023</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Increase in pro forma as adjusted net tangible book value per share attributable to investors purchasing shares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-123190</wp:posOffset>
            </wp:positionV>
            <wp:extent cx="6562090"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62090" cy="25717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360" w:type="dxa"/>
            <w:vAlign w:val="bottom"/>
          </w:tcPr>
          <w:p>
            <w:pPr>
              <w:ind w:left="480"/>
              <w:spacing w:after="0"/>
              <w:rPr>
                <w:sz w:val="20"/>
                <w:szCs w:val="20"/>
                <w:color w:val="auto"/>
              </w:rPr>
            </w:pPr>
            <w:r>
              <w:rPr>
                <w:rFonts w:ascii="Arial" w:cs="Arial" w:eastAsia="Arial" w:hAnsi="Arial"/>
                <w:sz w:val="17"/>
                <w:szCs w:val="17"/>
                <w:color w:val="auto"/>
              </w:rPr>
              <w:t>offering</w:t>
            </w:r>
          </w:p>
        </w:tc>
        <w:tc>
          <w:tcPr>
            <w:tcW w:w="5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6580" w:type="dxa"/>
            <w:vAlign w:val="bottom"/>
            <w:gridSpan w:val="3"/>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Dilution in pro forma as adjusted net tangible book value per share to investors in this offering</w:t>
            </w:r>
          </w:p>
        </w:tc>
        <w:tc>
          <w:tcPr>
            <w:tcW w:w="3700" w:type="dxa"/>
            <w:vAlign w:val="bottom"/>
            <w:gridSpan w:val="4"/>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gridSpan w:val="5"/>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0320" w:type="dxa"/>
            <w:vAlign w:val="bottom"/>
            <w:gridSpan w:val="7"/>
          </w:tcPr>
          <w:p>
            <w:pPr>
              <w:ind w:left="400"/>
              <w:spacing w:after="0"/>
              <w:rPr>
                <w:sz w:val="20"/>
                <w:szCs w:val="20"/>
                <w:color w:val="auto"/>
              </w:rPr>
            </w:pPr>
            <w:r>
              <w:rPr>
                <w:rFonts w:ascii="Arial" w:cs="Arial" w:eastAsia="Arial" w:hAnsi="Arial"/>
                <w:sz w:val="17"/>
                <w:szCs w:val="17"/>
                <w:color w:val="auto"/>
                <w:w w:val="93"/>
              </w:rPr>
              <w:t>The dilution information discussed above is illustrative only and may change based on the actual initial public offering price and other terms of</w:t>
            </w:r>
          </w:p>
        </w:tc>
      </w:tr>
      <w:tr>
        <w:trPr>
          <w:trHeight w:val="203"/>
        </w:trPr>
        <w:tc>
          <w:tcPr>
            <w:tcW w:w="6580" w:type="dxa"/>
            <w:vAlign w:val="bottom"/>
            <w:gridSpan w:val="3"/>
          </w:tcPr>
          <w:p>
            <w:pPr>
              <w:spacing w:after="0"/>
              <w:rPr>
                <w:sz w:val="20"/>
                <w:szCs w:val="20"/>
                <w:color w:val="auto"/>
              </w:rPr>
            </w:pPr>
            <w:r>
              <w:rPr>
                <w:rFonts w:ascii="Arial" w:cs="Arial" w:eastAsia="Arial" w:hAnsi="Arial"/>
                <w:sz w:val="17"/>
                <w:szCs w:val="17"/>
                <w:color w:val="auto"/>
                <w:w w:val="95"/>
              </w:rPr>
              <w:t>this offering. Each $1.00 increase (decrease) in the assumed initial public offering price of $</w:t>
            </w:r>
          </w:p>
        </w:tc>
        <w:tc>
          <w:tcPr>
            <w:tcW w:w="3760" w:type="dxa"/>
            <w:vAlign w:val="bottom"/>
            <w:gridSpan w:val="5"/>
          </w:tcPr>
          <w:p>
            <w:pPr>
              <w:ind w:left="180"/>
              <w:spacing w:after="0"/>
              <w:rPr>
                <w:sz w:val="20"/>
                <w:szCs w:val="20"/>
                <w:color w:val="auto"/>
              </w:rPr>
            </w:pPr>
            <w:r>
              <w:rPr>
                <w:rFonts w:ascii="Arial" w:cs="Arial" w:eastAsia="Arial" w:hAnsi="Arial"/>
                <w:sz w:val="17"/>
                <w:szCs w:val="17"/>
                <w:color w:val="auto"/>
                <w:w w:val="94"/>
              </w:rPr>
              <w:t>per share, the midpoint of the price range set forth</w:t>
            </w:r>
          </w:p>
        </w:tc>
      </w:tr>
      <w:tr>
        <w:trPr>
          <w:trHeight w:val="203"/>
        </w:trPr>
        <w:tc>
          <w:tcPr>
            <w:tcW w:w="10340" w:type="dxa"/>
            <w:vAlign w:val="bottom"/>
            <w:gridSpan w:val="8"/>
          </w:tcPr>
          <w:p>
            <w:pPr>
              <w:spacing w:after="0"/>
              <w:rPr>
                <w:sz w:val="20"/>
                <w:szCs w:val="20"/>
                <w:color w:val="auto"/>
              </w:rPr>
            </w:pPr>
            <w:r>
              <w:rPr>
                <w:rFonts w:ascii="Arial" w:cs="Arial" w:eastAsia="Arial" w:hAnsi="Arial"/>
                <w:sz w:val="17"/>
                <w:szCs w:val="17"/>
                <w:color w:val="auto"/>
                <w:w w:val="94"/>
              </w:rPr>
              <w:t>on the cover page of this prospectus, would increase (decrease) our pro forma as adjusted net tangible book value per share after this offering by</w:t>
            </w:r>
          </w:p>
        </w:tc>
      </w:tr>
      <w:tr>
        <w:trPr>
          <w:trHeight w:val="203"/>
        </w:trPr>
        <w:tc>
          <w:tcPr>
            <w:tcW w:w="1380" w:type="dxa"/>
            <w:vAlign w:val="bottom"/>
            <w:gridSpan w:val="2"/>
          </w:tcPr>
          <w:p>
            <w:pPr>
              <w:spacing w:after="0"/>
              <w:rPr>
                <w:sz w:val="20"/>
                <w:szCs w:val="20"/>
                <w:color w:val="auto"/>
              </w:rPr>
            </w:pPr>
            <w:r>
              <w:rPr>
                <w:rFonts w:ascii="Arial" w:cs="Arial" w:eastAsia="Arial" w:hAnsi="Arial"/>
                <w:sz w:val="17"/>
                <w:szCs w:val="17"/>
                <w:color w:val="auto"/>
              </w:rPr>
              <w:t>approximately $</w:t>
            </w:r>
          </w:p>
        </w:tc>
        <w:tc>
          <w:tcPr>
            <w:tcW w:w="8960" w:type="dxa"/>
            <w:vAlign w:val="bottom"/>
            <w:gridSpan w:val="6"/>
          </w:tcPr>
          <w:p>
            <w:pPr>
              <w:ind w:left="260"/>
              <w:spacing w:after="0"/>
              <w:rPr>
                <w:sz w:val="20"/>
                <w:szCs w:val="20"/>
                <w:color w:val="auto"/>
              </w:rPr>
            </w:pPr>
            <w:r>
              <w:rPr>
                <w:rFonts w:ascii="Arial" w:cs="Arial" w:eastAsia="Arial" w:hAnsi="Arial"/>
                <w:sz w:val="17"/>
                <w:szCs w:val="17"/>
                <w:color w:val="auto"/>
                <w:w w:val="89"/>
              </w:rPr>
              <w:t>per share, and increase (decrease) the dilution in the pro forma as adjusted net tangible book value per share to new investors by</w:t>
            </w:r>
          </w:p>
        </w:tc>
      </w:tr>
      <w:tr>
        <w:trPr>
          <w:trHeight w:val="214"/>
        </w:trPr>
        <w:tc>
          <w:tcPr>
            <w:tcW w:w="1380" w:type="dxa"/>
            <w:vAlign w:val="bottom"/>
            <w:gridSpan w:val="2"/>
          </w:tcPr>
          <w:p>
            <w:pPr>
              <w:spacing w:after="0"/>
              <w:rPr>
                <w:sz w:val="20"/>
                <w:szCs w:val="20"/>
                <w:color w:val="auto"/>
              </w:rPr>
            </w:pPr>
            <w:r>
              <w:rPr>
                <w:rFonts w:ascii="Arial" w:cs="Arial" w:eastAsia="Arial" w:hAnsi="Arial"/>
                <w:sz w:val="17"/>
                <w:szCs w:val="17"/>
                <w:color w:val="auto"/>
              </w:rPr>
              <w:t>approximately $</w:t>
            </w:r>
          </w:p>
        </w:tc>
        <w:tc>
          <w:tcPr>
            <w:tcW w:w="8960" w:type="dxa"/>
            <w:vAlign w:val="bottom"/>
            <w:gridSpan w:val="6"/>
          </w:tcPr>
          <w:p>
            <w:pPr>
              <w:ind w:left="260"/>
              <w:spacing w:after="0"/>
              <w:rPr>
                <w:sz w:val="20"/>
                <w:szCs w:val="20"/>
                <w:color w:val="auto"/>
              </w:rPr>
            </w:pPr>
            <w:r>
              <w:rPr>
                <w:rFonts w:ascii="Arial" w:cs="Arial" w:eastAsia="Arial" w:hAnsi="Arial"/>
                <w:sz w:val="17"/>
                <w:szCs w:val="17"/>
                <w:color w:val="auto"/>
                <w:w w:val="88"/>
              </w:rPr>
              <w:t>per share, in each case, assuming that the number of shares of common stock offered by us, as set forth on the cover page of this</w:t>
            </w:r>
          </w:p>
        </w:tc>
      </w:tr>
    </w:tbl>
    <w:p>
      <w:pPr>
        <w:ind w:left="460" w:right="300"/>
        <w:spacing w:after="0" w:line="703" w:lineRule="auto"/>
        <w:rPr>
          <w:sz w:val="20"/>
          <w:szCs w:val="20"/>
          <w:color w:val="auto"/>
        </w:rPr>
      </w:pPr>
      <w:r>
        <w:rPr>
          <w:rFonts w:ascii="Arial" w:cs="Arial" w:eastAsia="Arial" w:hAnsi="Arial"/>
          <w:sz w:val="15"/>
          <w:szCs w:val="15"/>
          <w:color w:val="auto"/>
        </w:rPr>
        <w:t>prospectus, remains the same and after deducting estimated underwriting discounts and commissions and estimated offering expenses payable by us. Each increase (decrease) of 1,000,000 shares in the number of shares of common stock offered by us would increase (decrease) our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right="60"/>
        <w:spacing w:after="0" w:line="284" w:lineRule="auto"/>
        <w:rPr>
          <w:sz w:val="20"/>
          <w:szCs w:val="20"/>
          <w:color w:val="auto"/>
        </w:rPr>
      </w:pPr>
      <w:r>
        <w:rPr>
          <w:rFonts w:ascii="Arial" w:cs="Arial" w:eastAsia="Arial" w:hAnsi="Arial"/>
          <w:sz w:val="16"/>
          <w:szCs w:val="16"/>
          <w:color w:val="auto"/>
        </w:rPr>
        <w:t>adjusted net tangible book value per share after this offering by approximately $ per share and increase (decrease) the dilution to investors participating in this offering by approximately $ per share, in each case assuming that the assumed initial public offering price remains the same, and after deducting estimated underwriting discounts and commissions and estimated offering expenses payable by us.</w:t>
      </w:r>
    </w:p>
    <w:p>
      <w:pPr>
        <w:spacing w:after="0" w:line="157" w:lineRule="exact"/>
        <w:rPr>
          <w:sz w:val="20"/>
          <w:szCs w:val="20"/>
          <w:color w:val="auto"/>
        </w:rPr>
      </w:pPr>
    </w:p>
    <w:p>
      <w:pPr>
        <w:ind w:left="460" w:right="380" w:firstLine="413"/>
        <w:spacing w:after="0" w:line="260" w:lineRule="auto"/>
        <w:rPr>
          <w:sz w:val="20"/>
          <w:szCs w:val="20"/>
          <w:color w:val="auto"/>
        </w:rPr>
      </w:pPr>
      <w:r>
        <w:rPr>
          <w:rFonts w:ascii="Arial" w:cs="Arial" w:eastAsia="Arial" w:hAnsi="Arial"/>
          <w:sz w:val="17"/>
          <w:szCs w:val="17"/>
          <w:color w:val="auto"/>
        </w:rPr>
        <w:t>If the underwriters exercise their option to purchase additional shares of common stock from us in full, our pro forma as adjusted net tangible book value per share after this offering would be $ , and the dilution in pro forma as adjusted net tangible book value per share to investors purchasing shares of common stock in this offering would be $ .</w:t>
      </w:r>
    </w:p>
    <w:p>
      <w:pPr>
        <w:spacing w:after="0" w:line="175" w:lineRule="exact"/>
        <w:rPr>
          <w:sz w:val="20"/>
          <w:szCs w:val="20"/>
          <w:color w:val="auto"/>
        </w:rPr>
      </w:pPr>
    </w:p>
    <w:p>
      <w:pPr>
        <w:ind w:left="460" w:right="260" w:firstLine="413"/>
        <w:spacing w:after="0" w:line="290" w:lineRule="auto"/>
        <w:rPr>
          <w:sz w:val="20"/>
          <w:szCs w:val="20"/>
          <w:color w:val="auto"/>
        </w:rPr>
      </w:pPr>
      <w:r>
        <w:rPr>
          <w:rFonts w:ascii="Arial" w:cs="Arial" w:eastAsia="Arial" w:hAnsi="Arial"/>
          <w:sz w:val="15"/>
          <w:szCs w:val="15"/>
          <w:color w:val="auto"/>
        </w:rPr>
        <w:t>The following table summarizes, on the pro forma as adjusted basis described above, as of June 30, 2023, the number of shares of our common stock, the total consideration, and the average price per share (i) paid to us by existing stockholders and (ii) to be paid by new investors acquiring our</w:t>
      </w:r>
    </w:p>
    <w:p>
      <w:pPr>
        <w:ind w:left="460" w:right="20"/>
        <w:spacing w:after="0" w:line="323" w:lineRule="auto"/>
        <w:rPr>
          <w:sz w:val="20"/>
          <w:szCs w:val="20"/>
          <w:color w:val="auto"/>
        </w:rPr>
      </w:pPr>
      <w:r>
        <w:rPr>
          <w:rFonts w:ascii="Arial" w:cs="Arial" w:eastAsia="Arial" w:hAnsi="Arial"/>
          <w:sz w:val="15"/>
          <w:szCs w:val="15"/>
          <w:color w:val="auto"/>
        </w:rPr>
        <w:t>common stock in this offering at the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5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Shares Purchased</w:t>
            </w:r>
          </w:p>
        </w:tc>
        <w:tc>
          <w:tcPr>
            <w:tcW w:w="400" w:type="dxa"/>
            <w:vAlign w:val="bottom"/>
          </w:tcPr>
          <w:p>
            <w:pPr>
              <w:spacing w:after="0"/>
              <w:rPr>
                <w:sz w:val="13"/>
                <w:szCs w:val="13"/>
                <w:color w:val="auto"/>
              </w:rPr>
            </w:pPr>
          </w:p>
        </w:tc>
        <w:tc>
          <w:tcPr>
            <w:tcW w:w="168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Total Consideration</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Number</w:t>
            </w:r>
          </w:p>
        </w:tc>
        <w:tc>
          <w:tcPr>
            <w:tcW w:w="26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Percent</w:t>
            </w:r>
          </w:p>
        </w:tc>
        <w:tc>
          <w:tcPr>
            <w:tcW w:w="400" w:type="dxa"/>
            <w:vAlign w:val="bottom"/>
          </w:tcPr>
          <w:p>
            <w:pPr>
              <w:spacing w:after="0"/>
              <w:rPr>
                <w:sz w:val="9"/>
                <w:szCs w:val="9"/>
                <w:color w:val="auto"/>
              </w:rPr>
            </w:pPr>
          </w:p>
        </w:tc>
        <w:tc>
          <w:tcPr>
            <w:tcW w:w="1100" w:type="dxa"/>
            <w:vAlign w:val="bottom"/>
            <w:gridSpan w:val="3"/>
          </w:tcPr>
          <w:p>
            <w:pPr>
              <w:ind w:left="160"/>
              <w:spacing w:after="0" w:line="112"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Percent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60"/>
              <w:spacing w:after="0" w:line="112" w:lineRule="exact"/>
              <w:rPr>
                <w:sz w:val="20"/>
                <w:szCs w:val="20"/>
                <w:color w:val="auto"/>
              </w:rPr>
            </w:pPr>
            <w:r>
              <w:rPr>
                <w:rFonts w:ascii="Arial" w:cs="Arial" w:eastAsia="Arial" w:hAnsi="Arial"/>
                <w:sz w:val="12"/>
                <w:szCs w:val="12"/>
                <w:b w:val="1"/>
                <w:bCs w:val="1"/>
                <w:color w:val="auto"/>
              </w:rPr>
              <w:t>Price per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3"/>
          </w:tcPr>
          <w:p>
            <w:pPr>
              <w:ind w:left="80"/>
              <w:spacing w:after="0" w:line="147" w:lineRule="exact"/>
              <w:rPr>
                <w:sz w:val="20"/>
                <w:szCs w:val="20"/>
                <w:color w:val="auto"/>
              </w:rPr>
            </w:pPr>
            <w:r>
              <w:rPr>
                <w:rFonts w:ascii="Arial" w:cs="Arial" w:eastAsia="Arial" w:hAnsi="Arial"/>
                <w:sz w:val="13"/>
                <w:szCs w:val="13"/>
                <w:b w:val="1"/>
                <w:bCs w:val="1"/>
                <w:color w:val="auto"/>
              </w:rPr>
              <w:t>(in millions)</w:t>
            </w:r>
          </w:p>
        </w:tc>
        <w:tc>
          <w:tcPr>
            <w:tcW w:w="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80"/>
              <w:spacing w:after="0" w:line="147" w:lineRule="exact"/>
              <w:rPr>
                <w:sz w:val="20"/>
                <w:szCs w:val="20"/>
                <w:color w:val="auto"/>
              </w:rPr>
            </w:pPr>
            <w:r>
              <w:rPr>
                <w:rFonts w:ascii="Arial" w:cs="Arial" w:eastAsia="Arial" w:hAnsi="Arial"/>
                <w:sz w:val="13"/>
                <w:szCs w:val="13"/>
                <w:b w:val="1"/>
                <w:bCs w:val="1"/>
                <w:color w:val="auto"/>
                <w:w w:val="93"/>
              </w:rPr>
              <w:t>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79"/>
              </w:rPr>
              <w:t>%</w:t>
            </w:r>
          </w:p>
        </w:tc>
        <w:tc>
          <w:tcPr>
            <w:tcW w:w="800" w:type="dxa"/>
            <w:vAlign w:val="bottom"/>
            <w:tcBorders>
              <w:top w:val="single" w:sz="8" w:color="auto"/>
            </w:tcBorders>
            <w:shd w:val="clear" w:color="auto" w:fill="CCEEFF"/>
          </w:tcPr>
          <w:p>
            <w:pPr>
              <w:jc w:val="right"/>
              <w:ind w:right="65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New investors</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79"/>
              </w:rPr>
              <w:t>%</w:t>
            </w:r>
          </w:p>
        </w:tc>
        <w:tc>
          <w:tcPr>
            <w:tcW w:w="800" w:type="dxa"/>
            <w:vAlign w:val="bottom"/>
            <w:shd w:val="clear" w:color="auto" w:fill="CCEEFF"/>
          </w:tcPr>
          <w:p>
            <w:pPr>
              <w:jc w:val="right"/>
              <w:ind w:right="651"/>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w:t>
            </w:r>
          </w:p>
        </w:tc>
        <w:tc>
          <w:tcPr>
            <w:tcW w:w="7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jc w:val="right"/>
              <w:ind w:right="276"/>
              <w:spacing w:after="0"/>
              <w:rPr>
                <w:sz w:val="20"/>
                <w:szCs w:val="20"/>
                <w:color w:val="auto"/>
              </w:rPr>
            </w:pPr>
            <w:r>
              <w:rPr>
                <w:rFonts w:ascii="Arial" w:cs="Arial" w:eastAsia="Arial" w:hAnsi="Arial"/>
                <w:sz w:val="17"/>
                <w:szCs w:val="17"/>
                <w:color w:val="auto"/>
              </w:rPr>
              <w:t>95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6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840" w:type="dxa"/>
            <w:vAlign w:val="bottom"/>
            <w:gridSpan w:val="2"/>
          </w:tcPr>
          <w:p>
            <w:pPr>
              <w:spacing w:after="0"/>
              <w:rPr>
                <w:sz w:val="20"/>
                <w:szCs w:val="20"/>
                <w:color w:val="auto"/>
              </w:rPr>
            </w:pPr>
            <w:r>
              <w:rPr>
                <w:rFonts w:ascii="Arial" w:cs="Arial" w:eastAsia="Arial" w:hAnsi="Arial"/>
                <w:sz w:val="17"/>
                <w:szCs w:val="17"/>
                <w:b w:val="1"/>
                <w:bCs w:val="1"/>
                <w:color w:val="0000EE"/>
              </w:rPr>
              <w:t>Table of Contents</w:t>
            </w:r>
          </w:p>
        </w:tc>
        <w:tc>
          <w:tcPr>
            <w:tcW w:w="6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83"/>
        </w:trPr>
        <w:tc>
          <w:tcPr>
            <w:tcW w:w="126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6860" w:type="dxa"/>
            <w:vAlign w:val="bottom"/>
          </w:tcPr>
          <w:p>
            <w:pPr>
              <w:jc w:val="center"/>
              <w:ind w:right="1196"/>
              <w:spacing w:after="0"/>
              <w:rPr>
                <w:sz w:val="20"/>
                <w:szCs w:val="20"/>
                <w:color w:val="auto"/>
              </w:rPr>
            </w:pPr>
            <w:r>
              <w:rPr>
                <w:rFonts w:ascii="Arial" w:cs="Arial" w:eastAsia="Arial" w:hAnsi="Arial"/>
                <w:sz w:val="17"/>
                <w:szCs w:val="17"/>
                <w:b w:val="1"/>
                <w:bCs w:val="1"/>
                <w:color w:val="auto"/>
                <w:w w:val="90"/>
              </w:rPr>
              <w:t>Confidential Treatment Requested by Maplebear Inc.</w:t>
            </w:r>
          </w:p>
        </w:tc>
        <w:tc>
          <w:tcPr>
            <w:tcW w:w="1000" w:type="dxa"/>
            <w:vAlign w:val="bottom"/>
          </w:tcPr>
          <w:p>
            <w:pPr>
              <w:spacing w:after="0"/>
              <w:rPr>
                <w:sz w:val="24"/>
                <w:szCs w:val="24"/>
                <w:color w:val="auto"/>
              </w:rPr>
            </w:pPr>
          </w:p>
        </w:tc>
      </w:tr>
      <w:tr>
        <w:trPr>
          <w:trHeight w:val="218"/>
        </w:trPr>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60" w:type="dxa"/>
            <w:vAlign w:val="bottom"/>
          </w:tcPr>
          <w:p>
            <w:pPr>
              <w:jc w:val="center"/>
              <w:ind w:right="1216"/>
              <w:spacing w:after="0"/>
              <w:rPr>
                <w:sz w:val="20"/>
                <w:szCs w:val="20"/>
                <w:color w:val="auto"/>
              </w:rPr>
            </w:pPr>
            <w:r>
              <w:rPr>
                <w:rFonts w:ascii="Arial" w:cs="Arial" w:eastAsia="Arial" w:hAnsi="Arial"/>
                <w:sz w:val="17"/>
                <w:szCs w:val="17"/>
                <w:b w:val="1"/>
                <w:bCs w:val="1"/>
                <w:color w:val="auto"/>
                <w:w w:val="89"/>
              </w:rPr>
              <w:t>Pursuant to 17 C.F.R. Section 200.83</w:t>
            </w:r>
          </w:p>
        </w:tc>
        <w:tc>
          <w:tcPr>
            <w:tcW w:w="1000" w:type="dxa"/>
            <w:vAlign w:val="bottom"/>
          </w:tcPr>
          <w:p>
            <w:pPr>
              <w:spacing w:after="0"/>
              <w:rPr>
                <w:sz w:val="18"/>
                <w:szCs w:val="18"/>
                <w:color w:val="auto"/>
              </w:rPr>
            </w:pPr>
          </w:p>
        </w:tc>
      </w:tr>
      <w:tr>
        <w:trPr>
          <w:trHeight w:val="330"/>
        </w:trPr>
        <w:tc>
          <w:tcPr>
            <w:tcW w:w="9700" w:type="dxa"/>
            <w:vAlign w:val="bottom"/>
            <w:gridSpan w:val="3"/>
          </w:tcPr>
          <w:p>
            <w:pPr>
              <w:ind w:left="880"/>
              <w:spacing w:after="0"/>
              <w:rPr>
                <w:sz w:val="20"/>
                <w:szCs w:val="20"/>
                <w:color w:val="auto"/>
              </w:rPr>
            </w:pPr>
            <w:r>
              <w:rPr>
                <w:rFonts w:ascii="Arial" w:cs="Arial" w:eastAsia="Arial" w:hAnsi="Arial"/>
                <w:sz w:val="17"/>
                <w:szCs w:val="17"/>
                <w:color w:val="auto"/>
                <w:w w:val="92"/>
              </w:rPr>
              <w:t>Sales by the selling stockholders in this offering will cause the number of shares held by existing stockholders to be reduced to</w:t>
            </w:r>
          </w:p>
        </w:tc>
        <w:tc>
          <w:tcPr>
            <w:tcW w:w="1000" w:type="dxa"/>
            <w:vAlign w:val="bottom"/>
          </w:tcPr>
          <w:p>
            <w:pPr>
              <w:ind w:left="280"/>
              <w:spacing w:after="0"/>
              <w:rPr>
                <w:sz w:val="20"/>
                <w:szCs w:val="20"/>
                <w:color w:val="auto"/>
              </w:rPr>
            </w:pPr>
            <w:r>
              <w:rPr>
                <w:rFonts w:ascii="Arial" w:cs="Arial" w:eastAsia="Arial" w:hAnsi="Arial"/>
                <w:sz w:val="17"/>
                <w:szCs w:val="17"/>
                <w:color w:val="auto"/>
                <w:w w:val="92"/>
              </w:rPr>
              <w:t>shares, or</w:t>
            </w:r>
          </w:p>
        </w:tc>
      </w:tr>
      <w:tr>
        <w:trPr>
          <w:trHeight w:val="203"/>
        </w:trPr>
        <w:tc>
          <w:tcPr>
            <w:tcW w:w="10700" w:type="dxa"/>
            <w:vAlign w:val="bottom"/>
            <w:gridSpan w:val="4"/>
          </w:tcPr>
          <w:p>
            <w:pPr>
              <w:jc w:val="center"/>
              <w:ind w:left="456"/>
              <w:spacing w:after="0"/>
              <w:rPr>
                <w:sz w:val="20"/>
                <w:szCs w:val="20"/>
                <w:color w:val="auto"/>
              </w:rPr>
            </w:pPr>
            <w:r>
              <w:rPr>
                <w:rFonts w:ascii="Arial" w:cs="Arial" w:eastAsia="Arial" w:hAnsi="Arial"/>
                <w:sz w:val="17"/>
                <w:szCs w:val="17"/>
                <w:color w:val="auto"/>
                <w:w w:val="91"/>
              </w:rPr>
              <w:t>% of the total number of shares of our common stock outstanding immediately after the completion of this offering, and will increase the number of</w:t>
            </w:r>
          </w:p>
        </w:tc>
      </w:tr>
      <w:tr>
        <w:trPr>
          <w:trHeight w:val="203"/>
        </w:trPr>
        <w:tc>
          <w:tcPr>
            <w:tcW w:w="2840" w:type="dxa"/>
            <w:vAlign w:val="bottom"/>
            <w:gridSpan w:val="2"/>
          </w:tcPr>
          <w:p>
            <w:pPr>
              <w:ind w:left="460"/>
              <w:spacing w:after="0"/>
              <w:rPr>
                <w:sz w:val="20"/>
                <w:szCs w:val="20"/>
                <w:color w:val="auto"/>
              </w:rPr>
            </w:pPr>
            <w:r>
              <w:rPr>
                <w:rFonts w:ascii="Arial" w:cs="Arial" w:eastAsia="Arial" w:hAnsi="Arial"/>
                <w:sz w:val="17"/>
                <w:szCs w:val="17"/>
                <w:color w:val="auto"/>
                <w:w w:val="99"/>
              </w:rPr>
              <w:t>shares held by new investors to</w:t>
            </w:r>
          </w:p>
        </w:tc>
        <w:tc>
          <w:tcPr>
            <w:tcW w:w="7860" w:type="dxa"/>
            <w:vAlign w:val="bottom"/>
            <w:gridSpan w:val="2"/>
          </w:tcPr>
          <w:p>
            <w:pPr>
              <w:ind w:left="280"/>
              <w:spacing w:after="0"/>
              <w:rPr>
                <w:sz w:val="20"/>
                <w:szCs w:val="20"/>
                <w:color w:val="auto"/>
              </w:rPr>
            </w:pPr>
            <w:r>
              <w:rPr>
                <w:rFonts w:ascii="Arial" w:cs="Arial" w:eastAsia="Arial" w:hAnsi="Arial"/>
                <w:sz w:val="17"/>
                <w:szCs w:val="17"/>
                <w:color w:val="auto"/>
                <w:w w:val="91"/>
              </w:rPr>
              <w:t>shares, or   % of the total number of shares of our common stock outstanding immediately after the completion</w:t>
            </w:r>
          </w:p>
        </w:tc>
      </w:tr>
      <w:tr>
        <w:trPr>
          <w:trHeight w:val="214"/>
        </w:trPr>
        <w:tc>
          <w:tcPr>
            <w:tcW w:w="2840" w:type="dxa"/>
            <w:vAlign w:val="bottom"/>
            <w:gridSpan w:val="2"/>
          </w:tcPr>
          <w:p>
            <w:pPr>
              <w:ind w:left="460"/>
              <w:spacing w:after="0"/>
              <w:rPr>
                <w:sz w:val="20"/>
                <w:szCs w:val="20"/>
                <w:color w:val="auto"/>
              </w:rPr>
            </w:pPr>
            <w:r>
              <w:rPr>
                <w:rFonts w:ascii="Arial" w:cs="Arial" w:eastAsia="Arial" w:hAnsi="Arial"/>
                <w:sz w:val="17"/>
                <w:szCs w:val="17"/>
                <w:color w:val="auto"/>
              </w:rPr>
              <w:t>of this offering.</w:t>
            </w: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91"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If the underwriters exercise their option to purchase additional shares of common stock from us in full, our existing stockholders would own %, and new investors purchasing shares of our common stock in this offering would own %, of the total number of shares of our common stock outstanding immediately after the completion of this offering.</w:t>
      </w:r>
    </w:p>
    <w:p>
      <w:pPr>
        <w:spacing w:after="0" w:line="175"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number of shares of our common stock that will be outstanding after this offering is based on shares of our common stock outstanding as of June 30, 2023 (after giving effect to the Exchangeable Share Conversion, the Preferred Stock Conversion, the RSU Net Settlement, and the RSA Cancellation), and excludes:</w:t>
      </w:r>
    </w:p>
    <w:p>
      <w:pPr>
        <w:spacing w:after="0" w:line="87" w:lineRule="exact"/>
        <w:rPr>
          <w:sz w:val="20"/>
          <w:szCs w:val="20"/>
          <w:color w:val="auto"/>
        </w:rPr>
      </w:pPr>
    </w:p>
    <w:p>
      <w:pPr>
        <w:ind w:left="1360" w:right="220" w:hanging="396"/>
        <w:spacing w:after="0" w:line="272"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29,910,133 shares of our common stock issuable upon the exercise of options to purchase shares of our common stock outstanding as of June 30, 2023, with a weighted-average exercise price of $7.66 per share;</w:t>
      </w:r>
    </w:p>
    <w:p>
      <w:pPr>
        <w:spacing w:after="0" w:line="76" w:lineRule="exact"/>
        <w:rPr>
          <w:rFonts w:ascii="Arial" w:cs="Arial" w:eastAsia="Arial" w:hAnsi="Arial"/>
          <w:sz w:val="17"/>
          <w:szCs w:val="17"/>
          <w:color w:val="auto"/>
        </w:rPr>
      </w:pPr>
    </w:p>
    <w:p>
      <w:pPr>
        <w:ind w:left="1360" w:right="60" w:hanging="396"/>
        <w:spacing w:after="0" w:line="287" w:lineRule="auto"/>
        <w:tabs>
          <w:tab w:leader="none" w:pos="1909" w:val="left"/>
        </w:tabs>
        <w:numPr>
          <w:ilvl w:val="0"/>
          <w:numId w:val="85"/>
        </w:numPr>
        <w:rPr>
          <w:rFonts w:ascii="Arial" w:cs="Arial" w:eastAsia="Arial" w:hAnsi="Arial"/>
          <w:sz w:val="15"/>
          <w:szCs w:val="15"/>
          <w:color w:val="auto"/>
        </w:rPr>
      </w:pPr>
      <w:r>
        <w:rPr>
          <w:rFonts w:ascii="Arial" w:cs="Arial" w:eastAsia="Arial" w:hAnsi="Arial"/>
          <w:sz w:val="15"/>
          <w:szCs w:val="15"/>
          <w:color w:val="auto"/>
        </w:rPr>
        <w:t>shares of our common stock issuable in connection with the vesting of RSUs subject to service-based, market-based, and/or liquidity event-based vesting conditions outstanding as of June 30, 2023, for which (i) the liquidity event-based vesting condition will be satisfied upon the effectiveness of the registration statement of which this prospectus forms a part but (ii) the service-based and/or market-</w:t>
      </w:r>
    </w:p>
    <w:p>
      <w:pPr>
        <w:sectPr>
          <w:pgSz w:w="11900" w:h="16838" w:orient="portrait"/>
          <w:cols w:equalWidth="0" w:num="1">
            <w:col w:w="10780"/>
          </w:cols>
          <w:pgMar w:left="320" w:top="425" w:right="799" w:bottom="1440" w:gutter="0" w:footer="0" w:header="0"/>
        </w:sectPr>
      </w:pPr>
    </w:p>
    <w:p>
      <w:pPr>
        <w:spacing w:after="0" w:line="1" w:lineRule="exact"/>
        <w:rPr>
          <w:sz w:val="20"/>
          <w:szCs w:val="20"/>
          <w:color w:val="auto"/>
        </w:rPr>
      </w:pPr>
    </w:p>
    <w:p>
      <w:pPr>
        <w:ind w:left="1360"/>
        <w:spacing w:after="0"/>
        <w:tabs>
          <w:tab w:leader="none" w:pos="10000" w:val="left"/>
        </w:tabs>
        <w:rPr>
          <w:sz w:val="20"/>
          <w:szCs w:val="20"/>
          <w:color w:val="auto"/>
        </w:rPr>
      </w:pPr>
      <w:r>
        <w:rPr>
          <w:rFonts w:ascii="Arial" w:cs="Arial" w:eastAsia="Arial" w:hAnsi="Arial"/>
          <w:sz w:val="16"/>
          <w:szCs w:val="16"/>
          <w:color w:val="auto"/>
        </w:rPr>
        <w:t>based vesting conditions were not satisfied as of June 30, 2023 (we expect that vesting of certain of these RSUs through</w:t>
      </w:r>
      <w:r>
        <w:rPr>
          <w:sz w:val="20"/>
          <w:szCs w:val="20"/>
          <w:color w:val="auto"/>
        </w:rPr>
        <w:tab/>
      </w:r>
      <w:r>
        <w:rPr>
          <w:rFonts w:ascii="Arial" w:cs="Arial" w:eastAsia="Arial" w:hAnsi="Arial"/>
          <w:sz w:val="15"/>
          <w:szCs w:val="15"/>
          <w:color w:val="auto"/>
        </w:rPr>
        <w:t>, the</w:t>
      </w:r>
    </w:p>
    <w:p>
      <w:pPr>
        <w:spacing w:after="0" w:line="19" w:lineRule="exact"/>
        <w:rPr>
          <w:sz w:val="20"/>
          <w:szCs w:val="20"/>
          <w:color w:val="auto"/>
        </w:rPr>
      </w:pPr>
    </w:p>
    <w:p>
      <w:pPr>
        <w:ind w:left="1360"/>
        <w:spacing w:after="0"/>
        <w:tabs>
          <w:tab w:leader="none" w:pos="10300" w:val="left"/>
        </w:tabs>
        <w:rPr>
          <w:sz w:val="20"/>
          <w:szCs w:val="20"/>
          <w:color w:val="auto"/>
        </w:rPr>
      </w:pPr>
      <w:r>
        <w:rPr>
          <w:rFonts w:ascii="Arial" w:cs="Arial" w:eastAsia="Arial" w:hAnsi="Arial"/>
          <w:sz w:val="17"/>
          <w:szCs w:val="17"/>
          <w:color w:val="auto"/>
        </w:rPr>
        <w:t>assumed effective date of the registration statement of which this prospectus forms a part will result in the net issuance of</w:t>
      </w:r>
      <w:r>
        <w:rPr>
          <w:sz w:val="20"/>
          <w:szCs w:val="20"/>
          <w:color w:val="auto"/>
        </w:rPr>
        <w:tab/>
      </w:r>
      <w:r>
        <w:rPr>
          <w:rFonts w:ascii="Arial" w:cs="Arial" w:eastAsia="Arial" w:hAnsi="Arial"/>
          <w:sz w:val="13"/>
          <w:szCs w:val="13"/>
          <w:color w:val="auto"/>
        </w:rPr>
        <w:t>shares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of common stock in connection with the RSU Net Settlement);</w:t>
      </w:r>
    </w:p>
    <w:p>
      <w:pPr>
        <w:sectPr>
          <w:pgSz w:w="11900" w:h="16838" w:orient="portrait"/>
          <w:cols w:equalWidth="0" w:num="1">
            <w:col w:w="10780"/>
          </w:cols>
          <w:pgMar w:left="320" w:top="425" w:right="799" w:bottom="1440" w:gutter="0" w:footer="0" w:header="0"/>
          <w:type w:val="continuous"/>
        </w:sectPr>
      </w:pPr>
    </w:p>
    <w:p>
      <w:pPr>
        <w:spacing w:after="0" w:line="109" w:lineRule="exact"/>
        <w:rPr>
          <w:sz w:val="20"/>
          <w:szCs w:val="20"/>
          <w:color w:val="auto"/>
        </w:rPr>
      </w:pPr>
    </w:p>
    <w:p>
      <w:pPr>
        <w:ind w:left="1360" w:right="280" w:hanging="396"/>
        <w:spacing w:after="0" w:line="287" w:lineRule="auto"/>
        <w:tabs>
          <w:tab w:leader="none" w:pos="1909" w:val="left"/>
        </w:tabs>
        <w:numPr>
          <w:ilvl w:val="0"/>
          <w:numId w:val="86"/>
        </w:numPr>
        <w:rPr>
          <w:rFonts w:ascii="Arial" w:cs="Arial" w:eastAsia="Arial" w:hAnsi="Arial"/>
          <w:sz w:val="15"/>
          <w:szCs w:val="15"/>
          <w:color w:val="auto"/>
        </w:rPr>
      </w:pPr>
      <w:r>
        <w:rPr>
          <w:rFonts w:ascii="Arial" w:cs="Arial" w:eastAsia="Arial" w:hAnsi="Arial"/>
          <w:sz w:val="15"/>
          <w:szCs w:val="15"/>
          <w:color w:val="auto"/>
        </w:rPr>
        <w:t>shares of our common stock issuable in connection with the vesting of RSUs subject to service-based and liquidity event-based vesting conditions granted after June 30, 2023, for which (i) the liquidity event-based vesting condition will be satisfied upon the effectiveness of the registration statement of which this prospectus forms a part but (ii) the service-based vesting conditions were not</w:t>
      </w:r>
    </w:p>
    <w:p>
      <w:pPr>
        <w:sectPr>
          <w:pgSz w:w="11900" w:h="16838" w:orient="portrait"/>
          <w:cols w:equalWidth="0" w:num="1">
            <w:col w:w="10780"/>
          </w:cols>
          <w:pgMar w:left="320" w:top="425" w:right="799" w:bottom="1440" w:gutter="0" w:footer="0" w:header="0"/>
          <w:type w:val="continuous"/>
        </w:sectPr>
      </w:pPr>
    </w:p>
    <w:p>
      <w:pPr>
        <w:spacing w:after="0" w:line="1" w:lineRule="exact"/>
        <w:rPr>
          <w:sz w:val="20"/>
          <w:szCs w:val="20"/>
          <w:color w:val="auto"/>
        </w:rPr>
      </w:pPr>
    </w:p>
    <w:p>
      <w:pPr>
        <w:ind w:left="1360" w:right="660"/>
        <w:spacing w:after="0" w:line="253" w:lineRule="auto"/>
        <w:rPr>
          <w:sz w:val="20"/>
          <w:szCs w:val="20"/>
          <w:color w:val="auto"/>
        </w:rPr>
      </w:pPr>
      <w:r>
        <w:rPr>
          <w:rFonts w:ascii="Arial" w:cs="Arial" w:eastAsia="Arial" w:hAnsi="Arial"/>
          <w:sz w:val="17"/>
          <w:szCs w:val="17"/>
          <w:color w:val="auto"/>
        </w:rPr>
        <w:t>satisfied as of June 30, 2023 (we expect that vesting of certain of these RSUs through , the assumed effective date of the registration statement of which this prospectus forms a part will result in the net issuance of shares of common stock in connection with the RSU Net Settlement);</w:t>
      </w:r>
    </w:p>
    <w:p>
      <w:pPr>
        <w:sectPr>
          <w:pgSz w:w="11900" w:h="16838" w:orient="portrait"/>
          <w:cols w:equalWidth="0" w:num="1">
            <w:col w:w="10780"/>
          </w:cols>
          <w:pgMar w:left="320" w:top="425" w:right="799" w:bottom="1440" w:gutter="0" w:footer="0" w:header="0"/>
          <w:type w:val="continuous"/>
        </w:sectPr>
      </w:pPr>
    </w:p>
    <w:p>
      <w:pPr>
        <w:spacing w:after="0" w:line="92" w:lineRule="exact"/>
        <w:rPr>
          <w:sz w:val="20"/>
          <w:szCs w:val="20"/>
          <w:color w:val="auto"/>
        </w:rPr>
      </w:pPr>
    </w:p>
    <w:p>
      <w:pPr>
        <w:ind w:left="1360" w:right="300" w:hanging="396"/>
        <w:spacing w:after="0" w:line="272" w:lineRule="auto"/>
        <w:tabs>
          <w:tab w:leader="none" w:pos="1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7,431,530 shares of our common stock issuable upon the exercise of warrants outstanding as of June 30, 2023 with an exercise price of $18.52 per share;</w:t>
      </w:r>
    </w:p>
    <w:p>
      <w:pPr>
        <w:spacing w:after="0" w:line="76" w:lineRule="exact"/>
        <w:rPr>
          <w:rFonts w:ascii="Arial" w:cs="Arial" w:eastAsia="Arial" w:hAnsi="Arial"/>
          <w:sz w:val="17"/>
          <w:szCs w:val="17"/>
          <w:color w:val="auto"/>
        </w:rPr>
      </w:pPr>
    </w:p>
    <w:p>
      <w:pPr>
        <w:ind w:left="1920" w:hanging="956"/>
        <w:spacing w:after="0"/>
        <w:tabs>
          <w:tab w:leader="none" w:pos="19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2023 Equity Incentive Plan, or the 2023 Plan, which will</w:t>
      </w:r>
    </w:p>
    <w:p>
      <w:pPr>
        <w:spacing w:after="0" w:line="30"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become effective upon the effectiveness of the registration statement of which this prospectus forms a part, including new shares plus the</w:t>
      </w:r>
    </w:p>
    <w:p>
      <w:pPr>
        <w:spacing w:after="0" w:line="30" w:lineRule="exact"/>
        <w:rPr>
          <w:sz w:val="20"/>
          <w:szCs w:val="20"/>
          <w:color w:val="auto"/>
        </w:rPr>
      </w:pPr>
    </w:p>
    <w:p>
      <w:pPr>
        <w:jc w:val="both"/>
        <w:ind w:left="1360" w:right="120"/>
        <w:spacing w:after="0" w:line="251" w:lineRule="auto"/>
        <w:rPr>
          <w:sz w:val="20"/>
          <w:szCs w:val="20"/>
          <w:color w:val="auto"/>
        </w:rPr>
      </w:pPr>
      <w:r>
        <w:rPr>
          <w:rFonts w:ascii="Arial" w:cs="Arial" w:eastAsia="Arial" w:hAnsi="Arial"/>
          <w:sz w:val="17"/>
          <w:szCs w:val="17"/>
          <w:color w:val="auto"/>
        </w:rPr>
        <w:t>number of shares (not to exceed shares) (i) that remain available for grant of future awards under our 2018 Equity Incentive Plan, or the 2018 Plan, at the time the 2023 Plan becomes effective, which shares will cease to be available for issuance under the 2018 Plan at such time, and (ii) any shares underlying outstanding stock awards granted under our 2013 Equity Incentive Plan, or the 2013 Plan, or the 2018 Plan that expire, or are forfeited, cancelled, withheld, or reacquired; and</w:t>
      </w:r>
    </w:p>
    <w:p>
      <w:pPr>
        <w:spacing w:after="0" w:line="95" w:lineRule="exact"/>
        <w:rPr>
          <w:sz w:val="20"/>
          <w:szCs w:val="20"/>
          <w:color w:val="auto"/>
        </w:rPr>
      </w:pPr>
    </w:p>
    <w:p>
      <w:pPr>
        <w:ind w:left="1360" w:right="140" w:hanging="396"/>
        <w:spacing w:after="0" w:line="303" w:lineRule="auto"/>
        <w:tabs>
          <w:tab w:leader="none" w:pos="1909"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2023 Employee Stock Purchase Plan, or the ESPP, which will become effective upon the effectiveness of the registration statement of which this prospectus forms a part.</w:t>
      </w:r>
    </w:p>
    <w:p>
      <w:pPr>
        <w:spacing w:after="0" w:line="143"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Our 2023 Plan and ESPP provide for annual automatic increases in the number of shares reserved thereunder. See the section titled “Executive Compensation—Equity Plans” for additional information.</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780"/>
          </w:cols>
          <w:pgMar w:left="320" w:top="425" w:right="79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To the extent any outstanding options are exercised, additional outstanding RSUs vest and settle, or new stock options or RSUs are issued under our equity incentive plans, or we issue additional equity or convertible debt securities in the future, there will be further dilution to investors participating in this offering. If all outstanding options and RSUs issued under our 2013 Equity Incentive Plan or 2018 Plan as of December 31, 2022 were exercised or settled, assuming no net settlement of RSUs or net or cashless exercise of stock options, then our existing stockholders, including the holders of these options and RSUs would own % and our new investors would own % of the total number of shares of our common stock outstanding on the closing of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780"/>
          </w:cols>
          <w:pgMar w:left="320" w:top="440" w:right="79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14"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Our historical results are not necessarily indicative of the results that may be expected for any period in the future.</w:t>
      </w:r>
    </w:p>
    <w:p>
      <w:pPr>
        <w:spacing w:after="0" w:line="3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Overview</w:t>
      </w:r>
    </w:p>
    <w:p>
      <w:pPr>
        <w:spacing w:after="0" w:line="214" w:lineRule="exact"/>
        <w:rPr>
          <w:sz w:val="20"/>
          <w:szCs w:val="20"/>
          <w:color w:val="auto"/>
        </w:rPr>
      </w:pPr>
    </w:p>
    <w:p>
      <w:pPr>
        <w:ind w:left="460" w:right="860" w:firstLine="413"/>
        <w:spacing w:after="0" w:line="272" w:lineRule="auto"/>
        <w:rPr>
          <w:sz w:val="20"/>
          <w:szCs w:val="20"/>
          <w:color w:val="auto"/>
        </w:rPr>
      </w:pPr>
      <w:r>
        <w:rPr>
          <w:rFonts w:ascii="Arial" w:cs="Arial" w:eastAsia="Arial" w:hAnsi="Arial"/>
          <w:sz w:val="17"/>
          <w:szCs w:val="17"/>
          <w:color w:val="auto"/>
        </w:rPr>
        <w:t>Instacart is powering the future of grocery through technology. We partner with retailers to help them successfully navigate the digital transformation of their businesses.</w:t>
      </w:r>
    </w:p>
    <w:p>
      <w:pPr>
        <w:spacing w:after="0" w:line="165" w:lineRule="exact"/>
        <w:rPr>
          <w:sz w:val="20"/>
          <w:szCs w:val="20"/>
          <w:color w:val="auto"/>
        </w:rPr>
      </w:pPr>
    </w:p>
    <w:p>
      <w:pPr>
        <w:ind w:left="460" w:right="60" w:firstLine="413"/>
        <w:spacing w:after="0"/>
        <w:rPr>
          <w:sz w:val="20"/>
          <w:szCs w:val="20"/>
          <w:color w:val="auto"/>
        </w:rPr>
      </w:pPr>
      <w:r>
        <w:rPr>
          <w:rFonts w:ascii="Arial" w:cs="Arial" w:eastAsia="Arial" w:hAnsi="Arial"/>
          <w:sz w:val="16"/>
          <w:szCs w:val="16"/>
          <w:color w:val="auto"/>
        </w:rPr>
        <w:t>Instacart was founded in 2012 to bring the grocery industry online and help make grocery shopping effortless. We started by understanding what consumers want and then built enterprise-grade technologies that allow retailers to meet those needs. We want to enable any retailer, large or small, to drive success both online and in-store and serve their customers better in all of the ways they choose to shop. Today, more than 1,400 national, regional, and local retail banners</w:t>
      </w:r>
      <w:r>
        <w:rPr>
          <w:rFonts w:ascii="Arial" w:cs="Arial" w:eastAsia="Arial" w:hAnsi="Arial"/>
          <w:sz w:val="24"/>
          <w:szCs w:val="24"/>
          <w:color w:val="auto"/>
          <w:vertAlign w:val="superscript"/>
        </w:rPr>
        <w:t>57</w:t>
      </w:r>
      <w:r>
        <w:rPr>
          <w:rFonts w:ascii="Arial" w:cs="Arial" w:eastAsia="Arial" w:hAnsi="Arial"/>
          <w:sz w:val="16"/>
          <w:szCs w:val="16"/>
          <w:color w:val="auto"/>
        </w:rPr>
        <w:t xml:space="preserve"> that collectively represent more than 85% of the U.S. grocery market partner with Instacart.</w:t>
      </w:r>
      <w:r>
        <w:rPr>
          <w:rFonts w:ascii="Arial" w:cs="Arial" w:eastAsia="Arial" w:hAnsi="Arial"/>
          <w:sz w:val="24"/>
          <w:szCs w:val="24"/>
          <w:color w:val="auto"/>
          <w:vertAlign w:val="superscript"/>
        </w:rPr>
        <w:t>58</w:t>
      </w:r>
      <w:r>
        <w:rPr>
          <w:rFonts w:ascii="Arial" w:cs="Arial" w:eastAsia="Arial" w:hAnsi="Arial"/>
          <w:sz w:val="16"/>
          <w:szCs w:val="16"/>
          <w:color w:val="auto"/>
        </w:rPr>
        <w:t xml:space="preserve"> We have demonstrated our ability to help our retail partners drive strong growth and stay competitive in a complex and increasingly digital industry. Our GTV, representing the online sales we power for all of our retail partners, grew at a CAGR of 80% between 2018 and 2022, compared to 50% for the overall online grocery market and 1% for offline grocery.</w:t>
      </w:r>
      <w:r>
        <w:rPr>
          <w:rFonts w:ascii="Arial" w:cs="Arial" w:eastAsia="Arial" w:hAnsi="Arial"/>
          <w:sz w:val="24"/>
          <w:szCs w:val="24"/>
          <w:color w:val="auto"/>
          <w:vertAlign w:val="superscript"/>
        </w:rPr>
        <w:t>59</w:t>
      </w:r>
      <w:r>
        <w:rPr>
          <w:rFonts w:ascii="Arial" w:cs="Arial" w:eastAsia="Arial" w:hAnsi="Arial"/>
          <w:sz w:val="16"/>
          <w:szCs w:val="16"/>
          <w:color w:val="auto"/>
        </w:rPr>
        <w:t xml:space="preserve"> In 2022, we generated approximately $29 billion of GTV, which makes Instacart the leading grocery technology company in North America.</w:t>
      </w:r>
      <w:r>
        <w:rPr>
          <w:rFonts w:ascii="Arial" w:cs="Arial" w:eastAsia="Arial" w:hAnsi="Arial"/>
          <w:sz w:val="24"/>
          <w:szCs w:val="24"/>
          <w:color w:val="auto"/>
          <w:vertAlign w:val="superscript"/>
        </w:rPr>
        <w:t>60</w:t>
      </w:r>
    </w:p>
    <w:p>
      <w:pPr>
        <w:spacing w:after="0" w:line="76" w:lineRule="exact"/>
        <w:rPr>
          <w:sz w:val="20"/>
          <w:szCs w:val="20"/>
          <w:color w:val="auto"/>
        </w:rPr>
      </w:pPr>
    </w:p>
    <w:p>
      <w:pPr>
        <w:ind w:left="460" w:right="160" w:firstLine="413"/>
        <w:spacing w:after="0" w:line="230" w:lineRule="auto"/>
        <w:rPr>
          <w:sz w:val="20"/>
          <w:szCs w:val="20"/>
          <w:color w:val="auto"/>
        </w:rPr>
      </w:pPr>
      <w:r>
        <w:rPr>
          <w:rFonts w:ascii="Arial" w:cs="Arial" w:eastAsia="Arial" w:hAnsi="Arial"/>
          <w:sz w:val="17"/>
          <w:szCs w:val="17"/>
          <w:color w:val="auto"/>
        </w:rPr>
        <w:t>Instacart invented a new model for online grocery shopping by giving consumers on-demand delivery from the stores they know and trust. We help our retail partners reach 7.7 million monthly active orderers who spend approximately $323 per month on average on Instacart.</w:t>
      </w:r>
      <w:r>
        <w:rPr>
          <w:rFonts w:ascii="Arial" w:cs="Arial" w:eastAsia="Arial" w:hAnsi="Arial"/>
          <w:sz w:val="25"/>
          <w:szCs w:val="25"/>
          <w:color w:val="auto"/>
          <w:vertAlign w:val="superscript"/>
        </w:rPr>
        <w:t>61</w:t>
      </w:r>
      <w:r>
        <w:rPr>
          <w:rFonts w:ascii="Arial" w:cs="Arial" w:eastAsia="Arial" w:hAnsi="Arial"/>
          <w:sz w:val="17"/>
          <w:szCs w:val="17"/>
          <w:color w:val="auto"/>
        </w:rPr>
        <w:t xml:space="preserv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in-store, ads, and insights.</w:t>
      </w:r>
    </w:p>
    <w:p>
      <w:pPr>
        <w:spacing w:after="0" w:line="191" w:lineRule="exact"/>
        <w:rPr>
          <w:sz w:val="20"/>
          <w:szCs w:val="20"/>
          <w:color w:val="auto"/>
        </w:rPr>
      </w:pPr>
    </w:p>
    <w:p>
      <w:pPr>
        <w:jc w:val="both"/>
        <w:ind w:left="460" w:right="140" w:firstLine="413"/>
        <w:spacing w:after="0" w:line="287" w:lineRule="auto"/>
        <w:rPr>
          <w:sz w:val="20"/>
          <w:szCs w:val="20"/>
          <w:color w:val="auto"/>
        </w:rPr>
      </w:pPr>
      <w:r>
        <w:rPr>
          <w:rFonts w:ascii="Arial" w:cs="Arial" w:eastAsia="Arial" w:hAnsi="Arial"/>
          <w:sz w:val="15"/>
          <w:szCs w:val="15"/>
          <w:color w:val="auto"/>
        </w:rPr>
        <w:t>When shopping for groceries, consumers want selection, quality, value, and convenience, and they shop in many different ways. 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and special occasions.</w:t>
      </w:r>
    </w:p>
    <w:p>
      <w:pPr>
        <w:spacing w:after="0" w:line="1" w:lineRule="exact"/>
        <w:rPr>
          <w:sz w:val="20"/>
          <w:szCs w:val="20"/>
          <w:color w:val="auto"/>
        </w:rPr>
      </w:pPr>
    </w:p>
    <w:p>
      <w:pPr>
        <w:ind w:left="460" w:right="40"/>
        <w:spacing w:after="0" w:line="277" w:lineRule="auto"/>
        <w:rPr>
          <w:sz w:val="20"/>
          <w:szCs w:val="20"/>
          <w:color w:val="auto"/>
        </w:rPr>
      </w:pPr>
      <w:r>
        <w:rPr>
          <w:rFonts w:ascii="Arial" w:cs="Arial" w:eastAsia="Arial" w:hAnsi="Arial"/>
          <w:sz w:val="16"/>
          <w:szCs w:val="16"/>
          <w:color w:val="auto"/>
        </w:rPr>
        <w:t>Customers can select the fulfillment option and speed that best serve their needs. For example, a busy parent may prefer the reliability of having their family’s groceries delivered every Sunday, but if they need a few items in the middle of the week, they can trust Instacart to deliver the items they need with priority delivery (one hour) or quick convenience (as fast as 30 minutes). Each order is shopped for and delivered with care by one of our hundreds of thousands of shoppers who value the flexible earnings opportunities that Instacart provides.</w:t>
      </w:r>
      <w:r>
        <w:rPr>
          <w:rFonts w:ascii="Arial" w:cs="Arial" w:eastAsia="Arial" w:hAnsi="Arial"/>
          <w:sz w:val="24"/>
          <w:szCs w:val="24"/>
          <w:color w:val="auto"/>
          <w:vertAlign w:val="superscript"/>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-2540</wp:posOffset>
            </wp:positionV>
            <wp:extent cx="7239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7" w:lineRule="exact"/>
        <w:rPr>
          <w:sz w:val="20"/>
          <w:szCs w:val="20"/>
          <w:color w:val="auto"/>
        </w:rPr>
      </w:pPr>
    </w:p>
    <w:p>
      <w:pPr>
        <w:ind w:left="860" w:hanging="403"/>
        <w:spacing w:after="0"/>
        <w:tabs>
          <w:tab w:leader="none" w:pos="860" w:val="left"/>
        </w:tabs>
        <w:numPr>
          <w:ilvl w:val="0"/>
          <w:numId w:val="89"/>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89"/>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860" w:hanging="403"/>
        <w:spacing w:after="0" w:line="223" w:lineRule="auto"/>
        <w:tabs>
          <w:tab w:leader="none" w:pos="860" w:val="left"/>
        </w:tabs>
        <w:numPr>
          <w:ilvl w:val="0"/>
          <w:numId w:val="89"/>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line="223" w:lineRule="auto"/>
        <w:tabs>
          <w:tab w:leader="none" w:pos="860" w:val="left"/>
        </w:tabs>
        <w:numPr>
          <w:ilvl w:val="0"/>
          <w:numId w:val="89"/>
        </w:numPr>
        <w:rPr>
          <w:rFonts w:ascii="Arial" w:cs="Arial" w:eastAsia="Arial" w:hAnsi="Arial"/>
          <w:sz w:val="10"/>
          <w:szCs w:val="10"/>
          <w:color w:val="auto"/>
        </w:rPr>
      </w:pPr>
      <w:r>
        <w:rPr>
          <w:rFonts w:ascii="Arial" w:cs="Arial" w:eastAsia="Arial" w:hAnsi="Arial"/>
          <w:sz w:val="13"/>
          <w:szCs w:val="13"/>
          <w:color w:val="auto"/>
        </w:rPr>
        <w:t>Based on total online grocery sales in 2022.</w:t>
      </w:r>
    </w:p>
    <w:p>
      <w:pPr>
        <w:ind w:left="860" w:hanging="403"/>
        <w:spacing w:after="0" w:line="223" w:lineRule="auto"/>
        <w:tabs>
          <w:tab w:leader="none" w:pos="860" w:val="left"/>
        </w:tabs>
        <w:numPr>
          <w:ilvl w:val="0"/>
          <w:numId w:val="89"/>
        </w:numPr>
        <w:rPr>
          <w:rFonts w:ascii="Arial" w:cs="Arial" w:eastAsia="Arial" w:hAnsi="Arial"/>
          <w:sz w:val="10"/>
          <w:szCs w:val="10"/>
          <w:color w:val="auto"/>
        </w:rPr>
      </w:pPr>
      <w:r>
        <w:rPr>
          <w:rFonts w:ascii="Arial" w:cs="Arial" w:eastAsia="Arial" w:hAnsi="Arial"/>
          <w:sz w:val="13"/>
          <w:szCs w:val="13"/>
          <w:color w:val="auto"/>
        </w:rPr>
        <w:t>Monthly active orderers for the month ended June 30, 2023. Average monthly spend for the quarter ended June 30, 2023.</w:t>
      </w:r>
    </w:p>
    <w:p>
      <w:pPr>
        <w:ind w:left="860" w:hanging="403"/>
        <w:spacing w:after="0"/>
        <w:tabs>
          <w:tab w:leader="none" w:pos="860" w:val="left"/>
        </w:tabs>
        <w:numPr>
          <w:ilvl w:val="0"/>
          <w:numId w:val="89"/>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780"/>
          </w:cols>
          <w:pgMar w:left="320" w:top="440" w:right="79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80" w:firstLine="413"/>
        <w:spacing w:after="0" w:line="225" w:lineRule="auto"/>
        <w:rPr>
          <w:sz w:val="20"/>
          <w:szCs w:val="20"/>
          <w:color w:val="auto"/>
        </w:rPr>
      </w:pPr>
      <w:r>
        <w:rPr>
          <w:rFonts w:ascii="Arial" w:cs="Arial" w:eastAsia="Arial" w:hAnsi="Arial"/>
          <w:sz w:val="17"/>
          <w:szCs w:val="17"/>
          <w:color w:val="auto"/>
        </w:rPr>
        <w:t>As consumers and retailers move online, CPG brands can use Instacart Ads as a new way to reach customers at the point of purchase and within minutes of delivery and consumption. Today, over 5,500 brands are using Instacart Ads and are now more easily discoverable as customers fill their digital carts.</w:t>
      </w:r>
      <w:r>
        <w:rPr>
          <w:rFonts w:ascii="Arial" w:cs="Arial" w:eastAsia="Arial" w:hAnsi="Arial"/>
          <w:sz w:val="25"/>
          <w:szCs w:val="25"/>
          <w:color w:val="auto"/>
          <w:vertAlign w:val="superscript"/>
        </w:rPr>
        <w:t>63</w:t>
      </w:r>
      <w:r>
        <w:rPr>
          <w:rFonts w:ascii="Arial" w:cs="Arial" w:eastAsia="Arial" w:hAnsi="Arial"/>
          <w:sz w:val="17"/>
          <w:szCs w:val="17"/>
          <w:color w:val="auto"/>
        </w:rPr>
        <w:t xml:space="preserve"> Instacart Ads offers brands a highly measurable ads offering that leverages first-party transaction data to move products off of store shelves more efficiently.</w:t>
      </w:r>
    </w:p>
    <w:p>
      <w:pPr>
        <w:spacing w:after="0" w:line="194" w:lineRule="exact"/>
        <w:rPr>
          <w:sz w:val="20"/>
          <w:szCs w:val="20"/>
          <w:color w:val="auto"/>
        </w:rPr>
      </w:pPr>
    </w:p>
    <w:p>
      <w:pPr>
        <w:ind w:left="460" w:firstLine="413"/>
        <w:spacing w:after="0" w:line="203" w:lineRule="auto"/>
        <w:rPr>
          <w:sz w:val="20"/>
          <w:szCs w:val="20"/>
          <w:color w:val="auto"/>
        </w:rPr>
      </w:pPr>
      <w:r>
        <w:rPr>
          <w:rFonts w:ascii="Arial" w:cs="Arial" w:eastAsia="Arial" w:hAnsi="Arial"/>
          <w:sz w:val="17"/>
          <w:szCs w:val="17"/>
          <w:color w:val="auto"/>
        </w:rPr>
        <w:t>We believe the future of grocery is about helping consumers find products they love from retailers they trust, no matter where they are or how they choose to shop. Grocery is the largest category in all of retail, with an annual spend of approximately $1.1 trillion in the United States in 2022.</w:t>
      </w:r>
      <w:r>
        <w:rPr>
          <w:rFonts w:ascii="Arial" w:cs="Arial" w:eastAsia="Arial" w:hAnsi="Arial"/>
          <w:sz w:val="25"/>
          <w:szCs w:val="25"/>
          <w:color w:val="auto"/>
          <w:vertAlign w:val="superscript"/>
        </w:rPr>
        <w:t>64</w:t>
      </w:r>
      <w:r>
        <w:rPr>
          <w:rFonts w:ascii="Arial" w:cs="Arial" w:eastAsia="Arial" w:hAnsi="Arial"/>
          <w:sz w:val="17"/>
          <w:szCs w:val="17"/>
          <w:color w:val="auto"/>
        </w:rPr>
        <w:t xml:space="preserve"> Despite the size of the market, grocery has historically been significantly slower to move online compared to other consumer categories. In 2022, only 12% of U.S. grocery shopping took place online,</w:t>
      </w:r>
      <w:r>
        <w:rPr>
          <w:rFonts w:ascii="Arial" w:cs="Arial" w:eastAsia="Arial" w:hAnsi="Arial"/>
          <w:sz w:val="25"/>
          <w:szCs w:val="25"/>
          <w:color w:val="auto"/>
          <w:vertAlign w:val="superscript"/>
        </w:rPr>
        <w:t>65</w:t>
      </w:r>
      <w:r>
        <w:rPr>
          <w:rFonts w:ascii="Arial" w:cs="Arial" w:eastAsia="Arial" w:hAnsi="Arial"/>
          <w:sz w:val="17"/>
          <w:szCs w:val="17"/>
          <w:color w:val="auto"/>
        </w:rPr>
        <w:t xml:space="preserve"> compared to 66% of consumer electronics, 38% of apparel, 23% of consumer foodservice, and 20% of home goods.</w:t>
      </w:r>
      <w:r>
        <w:rPr>
          <w:rFonts w:ascii="Arial" w:cs="Arial" w:eastAsia="Arial" w:hAnsi="Arial"/>
          <w:sz w:val="25"/>
          <w:szCs w:val="25"/>
          <w:color w:val="auto"/>
          <w:vertAlign w:val="superscript"/>
        </w:rPr>
        <w:t>66</w:t>
      </w:r>
      <w:r>
        <w:rPr>
          <w:rFonts w:ascii="Arial" w:cs="Arial" w:eastAsia="Arial" w:hAnsi="Arial"/>
          <w:sz w:val="17"/>
          <w:szCs w:val="17"/>
          <w:color w:val="auto"/>
        </w:rPr>
        <w:t xml:space="preserve"> Over the past three years, this spend shifted from offline to online at an accelerated pace. For online grocery, while penetration took 10 years to triple from 1% of total grocery sales in 2009</w:t>
      </w:r>
      <w:r>
        <w:rPr>
          <w:rFonts w:ascii="Arial" w:cs="Arial" w:eastAsia="Arial" w:hAnsi="Arial"/>
          <w:sz w:val="25"/>
          <w:szCs w:val="25"/>
          <w:color w:val="auto"/>
          <w:vertAlign w:val="superscript"/>
        </w:rPr>
        <w:t>67</w:t>
      </w:r>
      <w:r>
        <w:rPr>
          <w:rFonts w:ascii="Arial" w:cs="Arial" w:eastAsia="Arial" w:hAnsi="Arial"/>
          <w:sz w:val="17"/>
          <w:szCs w:val="17"/>
          <w:color w:val="auto"/>
        </w:rPr>
        <w:t xml:space="preserve"> to 3% in 2019, it took just three years to quadruple to 12% in 2022.</w:t>
      </w:r>
      <w:r>
        <w:rPr>
          <w:rFonts w:ascii="Arial" w:cs="Arial" w:eastAsia="Arial" w:hAnsi="Arial"/>
          <w:sz w:val="25"/>
          <w:szCs w:val="25"/>
          <w:color w:val="auto"/>
          <w:vertAlign w:val="superscript"/>
        </w:rPr>
        <w:t>68</w:t>
      </w:r>
      <w:r>
        <w:rPr>
          <w:rFonts w:ascii="Arial" w:cs="Arial" w:eastAsia="Arial" w:hAnsi="Arial"/>
          <w:sz w:val="17"/>
          <w:szCs w:val="17"/>
          <w:color w:val="auto"/>
        </w:rPr>
        <w:t xml:space="preserve"> Market penetration could double or more over time.</w:t>
      </w:r>
      <w:r>
        <w:rPr>
          <w:rFonts w:ascii="Arial" w:cs="Arial" w:eastAsia="Arial" w:hAnsi="Arial"/>
          <w:sz w:val="25"/>
          <w:szCs w:val="25"/>
          <w:color w:val="auto"/>
          <w:vertAlign w:val="superscript"/>
        </w:rPr>
        <w:t>69</w:t>
      </w:r>
    </w:p>
    <w:p>
      <w:pPr>
        <w:spacing w:after="0" w:line="75"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Grocery retailers have earned the trust and loyalty of consumers over generations by offering selection, quality, value, and convenience. For more than a decade, we have invested in technology that is custom-built for online grocery. We believe our scaled marketplace provides us with unique insights into the needs of the online grocery consumer. Our strategy is to put our technology capabilities and consumer insights into the hands of our retail partners. We are investing more in technology custom-built for online grocery than any single grocer could on their own, allowing grocers to leverage our scale and investments to grow their businesses.</w:t>
      </w:r>
    </w:p>
    <w:p>
      <w:pPr>
        <w:spacing w:after="0" w:line="181"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Our technology solutions are better together. Instacart Marketplace has powered hundreds of millions of orders placed by millions of customers. This scale gives us unique insights into customer buying behavior, needs, and trends across the entire grocery industry in North America. We then utilize these insights to enhance Instacart Enterprise Platform, ensuring retailers can best meet their customers’ needs on their owned and operated online storefronts. Similarly, Instacart Enterprise Platform enhances Instacart Marketplace, as our deep integration with retailers allows us to expand marketplace capabilities for our customers. As we continue to scale and refine our technology and data insights across Instacart Marketplace and Instacart Enterprise Platform, our algorithms also continue to improve to provide significant benefits, including better search results, intelligent replacements, and more seamless checkout flows, among others. Many of these benefits also enhance the value delivered to our brand partners. This draws more brands to Instacart Ads, which yields benefits for Instacart Marketplace and Instacart Enterprise Platform.</w:t>
      </w:r>
    </w:p>
    <w:p>
      <w:pPr>
        <w:spacing w:after="0" w:line="68" w:lineRule="exact"/>
        <w:rPr>
          <w:sz w:val="20"/>
          <w:szCs w:val="20"/>
          <w:color w:val="auto"/>
        </w:rPr>
      </w:pPr>
    </w:p>
    <w:p>
      <w:pPr>
        <w:ind w:left="1360" w:right="40" w:hanging="498"/>
        <w:spacing w:after="0" w:line="264" w:lineRule="auto"/>
        <w:tabs>
          <w:tab w:leader="none" w:pos="136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Instacart Marketplace</w:t>
      </w:r>
      <w:r>
        <w:rPr>
          <w:rFonts w:ascii="Arial" w:cs="Arial" w:eastAsia="Arial" w:hAnsi="Arial"/>
          <w:sz w:val="17"/>
          <w:szCs w:val="17"/>
          <w:color w:val="auto"/>
        </w:rPr>
        <w:t>. Connects customers to their favorite national, regional, and local retailers on the largest online grocery marketplace</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by using our mobile app or website.</w:t>
      </w:r>
      <w:r>
        <w:rPr>
          <w:rFonts w:ascii="Arial" w:cs="Arial" w:eastAsia="Arial" w:hAnsi="Arial"/>
          <w:sz w:val="25"/>
          <w:szCs w:val="25"/>
          <w:color w:val="auto"/>
          <w:vertAlign w:val="superscript"/>
        </w:rPr>
        <w:t>70</w:t>
      </w:r>
    </w:p>
    <w:p>
      <w:pPr>
        <w:spacing w:after="0" w:line="1" w:lineRule="exact"/>
        <w:rPr>
          <w:rFonts w:ascii="Arial" w:cs="Arial" w:eastAsia="Arial" w:hAnsi="Arial"/>
          <w:sz w:val="17"/>
          <w:szCs w:val="17"/>
          <w:color w:val="auto"/>
        </w:rPr>
      </w:pPr>
    </w:p>
    <w:p>
      <w:pPr>
        <w:ind w:left="1360" w:right="160" w:hanging="498"/>
        <w:spacing w:after="0" w:line="254" w:lineRule="auto"/>
        <w:tabs>
          <w:tab w:leader="none" w:pos="136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Instacart Enterprise Platform</w:t>
      </w:r>
      <w:r>
        <w:rPr>
          <w:rFonts w:ascii="Arial" w:cs="Arial" w:eastAsia="Arial" w:hAnsi="Arial"/>
          <w:sz w:val="17"/>
          <w:szCs w:val="17"/>
          <w:color w:val="auto"/>
        </w:rPr>
        <w:t>. Provides retailers with a suite of enterprise-grade technologies that span eCommerce, fulfillment, in-store,</w:t>
      </w:r>
      <w:r>
        <w:rPr>
          <w:rFonts w:ascii="Arial" w:cs="Arial" w:eastAsia="Arial" w:hAnsi="Arial"/>
          <w:sz w:val="17"/>
          <w:szCs w:val="17"/>
          <w:i w:val="1"/>
          <w:iCs w:val="1"/>
          <w:color w:val="auto"/>
        </w:rPr>
        <w:t xml:space="preserve"> </w:t>
      </w:r>
      <w:r>
        <w:rPr>
          <w:rFonts w:ascii="Arial" w:cs="Arial" w:eastAsia="Arial" w:hAnsi="Arial"/>
          <w:sz w:val="17"/>
          <w:szCs w:val="17"/>
          <w:color w:val="auto"/>
        </w:rPr>
        <w:t>ads, and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81915</wp:posOffset>
            </wp:positionV>
            <wp:extent cx="7239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2" w:lineRule="exact"/>
        <w:rPr>
          <w:sz w:val="20"/>
          <w:szCs w:val="20"/>
          <w:color w:val="auto"/>
        </w:rPr>
      </w:pPr>
    </w:p>
    <w:p>
      <w:pPr>
        <w:ind w:left="860" w:hanging="403"/>
        <w:spacing w:after="0"/>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line="223" w:lineRule="auto"/>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tabs>
          <w:tab w:leader="none" w:pos="860" w:val="left"/>
        </w:tabs>
        <w:numPr>
          <w:ilvl w:val="0"/>
          <w:numId w:val="91"/>
        </w:numPr>
        <w:rPr>
          <w:rFonts w:ascii="Arial" w:cs="Arial" w:eastAsia="Arial" w:hAnsi="Arial"/>
          <w:sz w:val="9"/>
          <w:szCs w:val="9"/>
          <w:color w:val="auto"/>
        </w:rPr>
      </w:pPr>
      <w:r>
        <w:rPr>
          <w:rFonts w:ascii="Arial" w:cs="Arial" w:eastAsia="Arial" w:hAnsi="Arial"/>
          <w:sz w:val="12"/>
          <w:szCs w:val="12"/>
          <w:color w:val="auto"/>
        </w:rPr>
        <w:t xml:space="preserve">Euromonitor, </w:t>
      </w:r>
      <w:r>
        <w:rPr>
          <w:rFonts w:ascii="Arial" w:cs="Arial" w:eastAsia="Arial" w:hAnsi="Arial"/>
          <w:sz w:val="12"/>
          <w:szCs w:val="12"/>
          <w:i w:val="1"/>
          <w:iCs w:val="1"/>
          <w:color w:val="auto"/>
        </w:rPr>
        <w:t>Retail</w:t>
      </w:r>
      <w:r>
        <w:rPr>
          <w:rFonts w:ascii="Arial" w:cs="Arial" w:eastAsia="Arial" w:hAnsi="Arial"/>
          <w:sz w:val="12"/>
          <w:szCs w:val="12"/>
          <w:color w:val="auto"/>
        </w:rPr>
        <w:t xml:space="preserve"> (2023 edition), </w:t>
      </w:r>
      <w:r>
        <w:rPr>
          <w:rFonts w:ascii="Arial" w:cs="Arial" w:eastAsia="Arial" w:hAnsi="Arial"/>
          <w:sz w:val="12"/>
          <w:szCs w:val="12"/>
          <w:i w:val="1"/>
          <w:iCs w:val="1"/>
          <w:color w:val="auto"/>
        </w:rPr>
        <w:t>Consumer Foodservice</w:t>
      </w:r>
      <w:r>
        <w:rPr>
          <w:rFonts w:ascii="Arial" w:cs="Arial" w:eastAsia="Arial" w:hAnsi="Arial"/>
          <w:sz w:val="12"/>
          <w:szCs w:val="12"/>
          <w:color w:val="auto"/>
        </w:rPr>
        <w:t xml:space="preserve"> (2023 edition); categories: Consumer Electronics, Consumer Electronics E-Commerce, Apparel and Footwear, Apparel and</w:t>
      </w:r>
    </w:p>
    <w:p>
      <w:pPr>
        <w:spacing w:after="0" w:line="1" w:lineRule="exact"/>
        <w:rPr>
          <w:rFonts w:ascii="Arial" w:cs="Arial" w:eastAsia="Arial" w:hAnsi="Arial"/>
          <w:sz w:val="9"/>
          <w:szCs w:val="9"/>
          <w:color w:val="auto"/>
        </w:rPr>
      </w:pPr>
    </w:p>
    <w:p>
      <w:pPr>
        <w:ind w:left="860" w:right="120"/>
        <w:spacing w:after="0" w:line="242" w:lineRule="auto"/>
        <w:rPr>
          <w:rFonts w:ascii="Arial" w:cs="Arial" w:eastAsia="Arial" w:hAnsi="Arial"/>
          <w:sz w:val="9"/>
          <w:szCs w:val="9"/>
          <w:color w:val="auto"/>
        </w:rPr>
      </w:pPr>
      <w:r>
        <w:rPr>
          <w:rFonts w:ascii="Arial" w:cs="Arial" w:eastAsia="Arial" w:hAnsi="Arial"/>
          <w:sz w:val="12"/>
          <w:szCs w:val="12"/>
          <w:color w:val="auto"/>
        </w:rPr>
        <w:t>Footwear E-Commerce, Homewares and Home Furnishings, Homewares and Home Furnishings E-Commerce, Consumer Foodservice by Type, categorization type: online and total; Consumer Foodservice by Type covers Foodservice Value RSP, data for the Retail Categories covers Retail Value RSP excluding Sales Tax; USD, current prices.</w:t>
      </w:r>
    </w:p>
    <w:p>
      <w:pPr>
        <w:ind w:left="860" w:right="80" w:hanging="403"/>
        <w:spacing w:after="0" w:line="223" w:lineRule="auto"/>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 xml:space="preserve">Euromonitor, </w:t>
      </w:r>
      <w:r>
        <w:rPr>
          <w:rFonts w:ascii="Arial" w:cs="Arial" w:eastAsia="Arial" w:hAnsi="Arial"/>
          <w:sz w:val="13"/>
          <w:szCs w:val="13"/>
          <w:i w:val="1"/>
          <w:iCs w:val="1"/>
          <w:color w:val="auto"/>
        </w:rPr>
        <w:t>Retail</w:t>
      </w:r>
      <w:r>
        <w:rPr>
          <w:rFonts w:ascii="Arial" w:cs="Arial" w:eastAsia="Arial" w:hAnsi="Arial"/>
          <w:sz w:val="13"/>
          <w:szCs w:val="13"/>
          <w:color w:val="auto"/>
        </w:rPr>
        <w:t xml:space="preserve"> (2023 edition), categories: Food E-Commerce and Drinks and Tobacco E-Commerce 2009 retail value RSP in USD, excluding sales tax, current terms; calculated as a percentage of total Grocery Retailers Food E-Commerce, and Drinks and Tobacco combined 2009 retail value RSP in USD, excluding sales tax.</w:t>
      </w:r>
    </w:p>
    <w:p>
      <w:pPr>
        <w:ind w:left="860" w:hanging="403"/>
        <w:spacing w:after="0" w:line="223" w:lineRule="auto"/>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line="223" w:lineRule="auto"/>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ind w:left="860" w:hanging="403"/>
        <w:spacing w:after="0"/>
        <w:tabs>
          <w:tab w:leader="none" w:pos="860" w:val="left"/>
        </w:tabs>
        <w:numPr>
          <w:ilvl w:val="0"/>
          <w:numId w:val="91"/>
        </w:numPr>
        <w:rPr>
          <w:rFonts w:ascii="Arial" w:cs="Arial" w:eastAsia="Arial" w:hAnsi="Arial"/>
          <w:sz w:val="10"/>
          <w:szCs w:val="10"/>
          <w:color w:val="auto"/>
        </w:rPr>
      </w:pPr>
      <w:r>
        <w:rPr>
          <w:rFonts w:ascii="Arial" w:cs="Arial" w:eastAsia="Arial" w:hAnsi="Arial"/>
          <w:sz w:val="13"/>
          <w:szCs w:val="13"/>
          <w:color w:val="auto"/>
        </w:rPr>
        <w:t>Based on GTV generated on Instacart and total grocery sales in 2022.</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780"/>
          </w:cols>
          <w:pgMar w:left="320" w:top="440" w:right="79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200" w:hanging="498"/>
        <w:spacing w:after="0" w:line="303" w:lineRule="auto"/>
        <w:tabs>
          <w:tab w:leader="none" w:pos="13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Instacart Ads</w:t>
      </w:r>
      <w:r>
        <w:rPr>
          <w:rFonts w:ascii="Arial" w:cs="Arial" w:eastAsia="Arial" w:hAnsi="Arial"/>
          <w:sz w:val="16"/>
          <w:szCs w:val="16"/>
          <w:color w:val="auto"/>
        </w:rPr>
        <w:t>. Allows CPG brands to drive sales by engaging with high-intent customers in a highly measurable and targeted way while</w:t>
      </w:r>
      <w:r>
        <w:rPr>
          <w:rFonts w:ascii="Arial" w:cs="Arial" w:eastAsia="Arial" w:hAnsi="Arial"/>
          <w:sz w:val="16"/>
          <w:szCs w:val="16"/>
          <w:i w:val="1"/>
          <w:iCs w:val="1"/>
          <w:color w:val="auto"/>
        </w:rPr>
        <w:t xml:space="preserve"> </w:t>
      </w:r>
      <w:r>
        <w:rPr>
          <w:rFonts w:ascii="Arial" w:cs="Arial" w:eastAsia="Arial" w:hAnsi="Arial"/>
          <w:sz w:val="16"/>
          <w:szCs w:val="16"/>
          <w:color w:val="auto"/>
        </w:rPr>
        <w:t>also providing savings and product discovery to customers through our leading digital advertising solutions and insights.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focus on powering the future of grocery through technology has propelled us to achieve numerous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229870</wp:posOffset>
            </wp:positionV>
            <wp:extent cx="4865370" cy="27419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65370" cy="274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Our Financial Model</w:t>
      </w:r>
    </w:p>
    <w:p>
      <w:pPr>
        <w:spacing w:after="0" w:line="112"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Our financial model is driven by the success of retailers, customers, brands, and shoppers in the Instacart ecosystem. As our key constituents engage on Instacart, we generate more orders for our retail partners, who generate transaction volume. We enjoy diversified revenue streams and scaling operating efficiencies.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How We Generate Revenue</w:t>
      </w:r>
    </w:p>
    <w:p>
      <w:pPr>
        <w:spacing w:after="0" w:line="108"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We generate revenue, and ultimately gross profit, through fees paid on each order by retail partners and customers as well as advertising fees paid by brands less the associated costs of those revenues. The following chart illustrates the economics of a completed order on Instacart, based on the average order in the year ended December 31, 2022. The order represents a blended average of orders on Instacart Marketplace as well as retailers’ owned and operated online storefronts powered by Instacart Enterprise Platform. Instacart Marketplace and Instacart Enterprise Platform orders have comparable economics, which makes us agnostic as to where orders happen, aligning our incentives with the incentives of our retail partners.</w:t>
      </w:r>
    </w:p>
    <w:p>
      <w:pPr>
        <w:spacing w:after="0" w:line="8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740"/>
          </w:cols>
          <w:pgMar w:left="320" w:top="440" w:right="8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5717540" cy="25171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7540" cy="251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hanging="403"/>
        <w:spacing w:after="0"/>
        <w:tabs>
          <w:tab w:leader="none" w:pos="8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100% of shopper tips are paid to shoppers.</w:t>
      </w:r>
    </w:p>
    <w:p>
      <w:pPr>
        <w:spacing w:after="0" w:line="109" w:lineRule="exact"/>
        <w:rPr>
          <w:rFonts w:ascii="Arial" w:cs="Arial" w:eastAsia="Arial" w:hAnsi="Arial"/>
          <w:sz w:val="13"/>
          <w:szCs w:val="13"/>
          <w:color w:val="auto"/>
        </w:rPr>
      </w:pPr>
    </w:p>
    <w:p>
      <w:pPr>
        <w:ind w:left="1360" w:right="40" w:hanging="498"/>
        <w:spacing w:after="0" w:line="269" w:lineRule="auto"/>
        <w:tabs>
          <w:tab w:leader="none" w:pos="1360"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Gross Transaction Value</w:t>
      </w:r>
      <w:r>
        <w:rPr>
          <w:rFonts w:ascii="Arial" w:cs="Arial" w:eastAsia="Arial" w:hAnsi="Arial"/>
          <w:sz w:val="16"/>
          <w:szCs w:val="16"/>
          <w:color w:val="auto"/>
        </w:rPr>
        <w:t>. GTV is the value of the products sold based on prices shown on Instacart, in addition to applicable taxes,</w:t>
      </w:r>
      <w:r>
        <w:rPr>
          <w:rFonts w:ascii="Arial" w:cs="Arial" w:eastAsia="Arial" w:hAnsi="Arial"/>
          <w:sz w:val="16"/>
          <w:szCs w:val="16"/>
          <w:i w:val="1"/>
          <w:iCs w:val="1"/>
          <w:color w:val="auto"/>
        </w:rPr>
        <w:t xml:space="preserve"> </w:t>
      </w:r>
      <w:r>
        <w:rPr>
          <w:rFonts w:ascii="Arial" w:cs="Arial" w:eastAsia="Arial" w:hAnsi="Arial"/>
          <w:sz w:val="16"/>
          <w:szCs w:val="16"/>
          <w:color w:val="auto"/>
        </w:rPr>
        <w:t>deposits and other local fees, and customer tips, which go directly to shoppers, and customer fees, which include flat membership fees related to Instacart+ that are charged monthly or annually. GTV consists of orders completed through Instacart Marketplace and services that are part of Instacart Enterprise Platform. Given grocery is one of the largest recurring monthly household expenses, we have a high average order value, which was $110 in 2022. This large average order value allows us to keep fees as a percent of GTV lower for retailers and customers relative to other on-demand delivery platforms. Of the total average order value of $110 in 2022, retailers and customers incurred an average of $16 in fees before netting shopper earnings and customer incentives, coupons, and refunds, as described below, to arrive at transaction revenue. See the section titled “—Key Business and Non-GAAP Metrics—Gross Transaction Value (GTV)” for additional information about GTV.</w:t>
      </w:r>
    </w:p>
    <w:p>
      <w:pPr>
        <w:spacing w:after="0" w:line="81" w:lineRule="exact"/>
        <w:rPr>
          <w:rFonts w:ascii="Arial" w:cs="Arial" w:eastAsia="Arial" w:hAnsi="Arial"/>
          <w:sz w:val="16"/>
          <w:szCs w:val="16"/>
          <w:color w:val="auto"/>
        </w:rPr>
      </w:pPr>
    </w:p>
    <w:p>
      <w:pPr>
        <w:ind w:left="1360" w:hanging="498"/>
        <w:spacing w:after="0"/>
        <w:tabs>
          <w:tab w:leader="none" w:pos="1360"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 In 2022, our average transaction revenue per order was approximately $7, or 6.3% of GTV, which consists of:</w:t>
      </w:r>
    </w:p>
    <w:p>
      <w:pPr>
        <w:spacing w:after="0" w:line="132" w:lineRule="exact"/>
        <w:rPr>
          <w:rFonts w:ascii="Arial" w:cs="Arial" w:eastAsia="Arial" w:hAnsi="Arial"/>
          <w:sz w:val="16"/>
          <w:szCs w:val="16"/>
          <w:color w:val="auto"/>
        </w:rPr>
      </w:pPr>
    </w:p>
    <w:p>
      <w:pPr>
        <w:ind w:left="2400" w:right="120" w:hanging="499"/>
        <w:spacing w:after="0" w:line="274" w:lineRule="auto"/>
        <w:tabs>
          <w:tab w:leader="none" w:pos="2400" w:val="left"/>
        </w:tabs>
        <w:numPr>
          <w:ilvl w:val="2"/>
          <w:numId w:val="93"/>
        </w:numPr>
        <w:rPr>
          <w:rFonts w:ascii="Arial" w:cs="Arial" w:eastAsia="Arial" w:hAnsi="Arial"/>
          <w:sz w:val="16"/>
          <w:szCs w:val="16"/>
          <w:color w:val="auto"/>
        </w:rPr>
      </w:pPr>
      <w:r>
        <w:rPr>
          <w:rFonts w:ascii="Arial" w:cs="Arial" w:eastAsia="Arial" w:hAnsi="Arial"/>
          <w:sz w:val="16"/>
          <w:szCs w:val="16"/>
          <w:i w:val="1"/>
          <w:iCs w:val="1"/>
          <w:color w:val="auto"/>
        </w:rPr>
        <w:t>Retailer Fees</w:t>
      </w:r>
      <w:r>
        <w:rPr>
          <w:rFonts w:ascii="Arial" w:cs="Arial" w:eastAsia="Arial" w:hAnsi="Arial"/>
          <w:sz w:val="16"/>
          <w:szCs w:val="16"/>
          <w:color w:val="auto"/>
        </w:rPr>
        <w:t>. We charge retail partners a fee on orders completed. These fees are generally charged as a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order but in some cases can be charged as a fixed fee per order. Our fee structure is similar for orders completed through Instacart Marketplace and retailers’ owned and operated online storefronts powered by Instacart Enterprise Platform. Retailer fees may be influenced in the near term by renegotiations of our agreements with retailers, including as a result of competitive pressure, and may fluctuate over time.</w:t>
      </w:r>
    </w:p>
    <w:p>
      <w:pPr>
        <w:spacing w:after="0" w:line="76" w:lineRule="exact"/>
        <w:rPr>
          <w:rFonts w:ascii="Arial" w:cs="Arial" w:eastAsia="Arial" w:hAnsi="Arial"/>
          <w:sz w:val="16"/>
          <w:szCs w:val="16"/>
          <w:color w:val="auto"/>
        </w:rPr>
      </w:pPr>
    </w:p>
    <w:p>
      <w:pPr>
        <w:ind w:left="2400" w:hanging="499"/>
        <w:spacing w:after="0" w:line="293" w:lineRule="auto"/>
        <w:tabs>
          <w:tab w:leader="none" w:pos="2400" w:val="left"/>
        </w:tabs>
        <w:numPr>
          <w:ilvl w:val="2"/>
          <w:numId w:val="93"/>
        </w:numPr>
        <w:rPr>
          <w:rFonts w:ascii="Arial" w:cs="Arial" w:eastAsia="Arial" w:hAnsi="Arial"/>
          <w:sz w:val="15"/>
          <w:szCs w:val="15"/>
          <w:color w:val="auto"/>
        </w:rPr>
      </w:pPr>
      <w:r>
        <w:rPr>
          <w:rFonts w:ascii="Arial" w:cs="Arial" w:eastAsia="Arial" w:hAnsi="Arial"/>
          <w:sz w:val="15"/>
          <w:szCs w:val="15"/>
          <w:i w:val="1"/>
          <w:iCs w:val="1"/>
          <w:color w:val="auto"/>
        </w:rPr>
        <w:t>Customer Fees</w:t>
      </w:r>
      <w:r>
        <w:rPr>
          <w:rFonts w:ascii="Arial" w:cs="Arial" w:eastAsia="Arial" w:hAnsi="Arial"/>
          <w:sz w:val="15"/>
          <w:szCs w:val="15"/>
          <w:color w:val="auto"/>
        </w:rPr>
        <w:t>. We charge customers a delivery fee as well as a service fee. The delivery fee and service fee vary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market and the value and composition of the order, as well as the time window selected and distance from the store location. Instacart+, our membership program, offers unlimited free delivery on orders over a certain size, a reduced service fee, credit back on eligible pickup orders, and exclusive benefits. For Instacart+, we generally charge customers a flat fee of $99 for an annual subscription or $9.99 for a monthly subscription. Customers also have the option to include a tip on any delivery order, which goes directly to shoppers and is not included in fees received by Instacart.</w:t>
      </w:r>
    </w:p>
    <w:p>
      <w:pPr>
        <w:spacing w:after="0" w:line="9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780"/>
          </w:cols>
          <w:pgMar w:left="320" w:top="440" w:right="79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400" w:hanging="499"/>
        <w:spacing w:after="0" w:line="256" w:lineRule="auto"/>
        <w:tabs>
          <w:tab w:leader="none" w:pos="24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Retailer and customer fees together have historically been 14.2% of GTV in 2021 and 14.9% of GTV in 2022, translating to $16 per order for each of those fiscal years. We have historically managed these fees together as a percentage of GTV and expect to continue to optimize both customer and retailer fees to reflect the value we deliver across a range of use cases. Additional details on these fees include:</w:t>
      </w:r>
    </w:p>
    <w:p>
      <w:pPr>
        <w:spacing w:after="0" w:line="90" w:lineRule="exact"/>
        <w:rPr>
          <w:rFonts w:ascii="Arial" w:cs="Arial" w:eastAsia="Arial" w:hAnsi="Arial"/>
          <w:sz w:val="17"/>
          <w:szCs w:val="17"/>
          <w:color w:val="auto"/>
        </w:rPr>
      </w:pPr>
    </w:p>
    <w:p>
      <w:pPr>
        <w:ind w:left="2920" w:right="20" w:hanging="297"/>
        <w:spacing w:after="0" w:line="293" w:lineRule="auto"/>
        <w:tabs>
          <w:tab w:leader="none" w:pos="2920" w:val="left"/>
        </w:tabs>
        <w:numPr>
          <w:ilvl w:val="2"/>
          <w:numId w:val="94"/>
        </w:numPr>
        <w:rPr>
          <w:rFonts w:ascii="Arial" w:cs="Arial" w:eastAsia="Arial" w:hAnsi="Arial"/>
          <w:sz w:val="15"/>
          <w:szCs w:val="15"/>
          <w:color w:val="auto"/>
        </w:rPr>
      </w:pPr>
      <w:r>
        <w:rPr>
          <w:rFonts w:ascii="Arial" w:cs="Arial" w:eastAsia="Arial" w:hAnsi="Arial"/>
          <w:sz w:val="15"/>
          <w:szCs w:val="15"/>
          <w:i w:val="1"/>
          <w:iCs w:val="1"/>
          <w:color w:val="auto"/>
        </w:rPr>
        <w:t>Shopper Earnings</w:t>
      </w:r>
      <w:r>
        <w:rPr>
          <w:rFonts w:ascii="Arial" w:cs="Arial" w:eastAsia="Arial" w:hAnsi="Arial"/>
          <w:sz w:val="15"/>
          <w:szCs w:val="15"/>
          <w:color w:val="auto"/>
        </w:rPr>
        <w:t>. Shoppers earn on Instacart for each batch of orders they fulfill. The amount a shopper earns per</w:t>
      </w:r>
      <w:r>
        <w:rPr>
          <w:rFonts w:ascii="Arial" w:cs="Arial" w:eastAsia="Arial" w:hAnsi="Arial"/>
          <w:sz w:val="15"/>
          <w:szCs w:val="15"/>
          <w:i w:val="1"/>
          <w:iCs w:val="1"/>
          <w:color w:val="auto"/>
        </w:rPr>
        <w:t xml:space="preserve"> </w:t>
      </w:r>
      <w:r>
        <w:rPr>
          <w:rFonts w:ascii="Arial" w:cs="Arial" w:eastAsia="Arial" w:hAnsi="Arial"/>
          <w:sz w:val="15"/>
          <w:szCs w:val="15"/>
          <w:color w:val="auto"/>
        </w:rPr>
        <w:t>batch is based on the effort it takes to complete the batch, including the number and weight of items, driving distance, and expected time to shop and deliver. Shoppers also earn tips, which get passed directly to them from customers. In 2022, shopper earnings, excluding customer tips, were 8.2% of GTV. Shoppers keep 100% of tips and also have opportunities to generate additional earnings through incentives and promotions. As a result, over the past year, shopper earnings increased due to more earnings opportunities, types of batches available, and customer tips.</w:t>
      </w:r>
    </w:p>
    <w:p>
      <w:pPr>
        <w:spacing w:after="0" w:line="66" w:lineRule="exact"/>
        <w:rPr>
          <w:rFonts w:ascii="Arial" w:cs="Arial" w:eastAsia="Arial" w:hAnsi="Arial"/>
          <w:sz w:val="15"/>
          <w:szCs w:val="15"/>
          <w:color w:val="auto"/>
        </w:rPr>
      </w:pPr>
    </w:p>
    <w:p>
      <w:pPr>
        <w:ind w:left="2920" w:right="500" w:hanging="297"/>
        <w:spacing w:after="0" w:line="260" w:lineRule="auto"/>
        <w:tabs>
          <w:tab w:leader="none" w:pos="2920" w:val="left"/>
        </w:tabs>
        <w:numPr>
          <w:ilvl w:val="2"/>
          <w:numId w:val="94"/>
        </w:numPr>
        <w:rPr>
          <w:rFonts w:ascii="Arial" w:cs="Arial" w:eastAsia="Arial" w:hAnsi="Arial"/>
          <w:sz w:val="17"/>
          <w:szCs w:val="17"/>
          <w:color w:val="auto"/>
        </w:rPr>
      </w:pPr>
      <w:r>
        <w:rPr>
          <w:rFonts w:ascii="Arial" w:cs="Arial" w:eastAsia="Arial" w:hAnsi="Arial"/>
          <w:sz w:val="17"/>
          <w:szCs w:val="17"/>
          <w:i w:val="1"/>
          <w:iCs w:val="1"/>
          <w:color w:val="auto"/>
        </w:rPr>
        <w:t>Customer Incentives, Coupons, and Refunds</w:t>
      </w:r>
      <w:r>
        <w:rPr>
          <w:rFonts w:ascii="Arial" w:cs="Arial" w:eastAsia="Arial" w:hAnsi="Arial"/>
          <w:sz w:val="17"/>
          <w:szCs w:val="17"/>
          <w:color w:val="auto"/>
        </w:rPr>
        <w:t>. Transaction revenue is recognized upon delivery, net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incentives, coupons, and refunds, after remitting the purchase value of the goods to retailers and payments to shoppers for their services.</w:t>
      </w:r>
    </w:p>
    <w:p>
      <w:pPr>
        <w:spacing w:after="0" w:line="86" w:lineRule="exact"/>
        <w:rPr>
          <w:rFonts w:ascii="Arial" w:cs="Arial" w:eastAsia="Arial" w:hAnsi="Arial"/>
          <w:sz w:val="17"/>
          <w:szCs w:val="17"/>
          <w:color w:val="auto"/>
        </w:rPr>
      </w:pPr>
    </w:p>
    <w:p>
      <w:pPr>
        <w:ind w:left="1360" w:right="200" w:hanging="498"/>
        <w:spacing w:after="0" w:line="254"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Advertising and Other Revenue</w:t>
      </w:r>
      <w:r>
        <w:rPr>
          <w:rFonts w:ascii="Arial" w:cs="Arial" w:eastAsia="Arial" w:hAnsi="Arial"/>
          <w:sz w:val="17"/>
          <w:szCs w:val="17"/>
          <w:color w:val="auto"/>
        </w:rPr>
        <w:t>. In 2022, average advertising and other revenue per order was approximately $3, or 2.6% of GTV. We</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fees from brand and retail partners that vary by the product, category, search term, and other criteria that the brand or retailer specifies. These fees are generated through Sponsored Product ads on a per click basis, coupon redemptions, and display ads placements on an impression or fixed fee basis. Other revenue includes fees paid by retailers for use of certain of our technology solutions, such as Eversight, Storefront Pro, and Caper.</w:t>
      </w:r>
    </w:p>
    <w:p>
      <w:pPr>
        <w:spacing w:after="0" w:line="92" w:lineRule="exact"/>
        <w:rPr>
          <w:rFonts w:ascii="Arial" w:cs="Arial" w:eastAsia="Arial" w:hAnsi="Arial"/>
          <w:sz w:val="17"/>
          <w:szCs w:val="17"/>
          <w:color w:val="auto"/>
        </w:rPr>
      </w:pPr>
    </w:p>
    <w:p>
      <w:pPr>
        <w:ind w:left="1360" w:right="80" w:hanging="498"/>
        <w:spacing w:after="0" w:line="272"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In 2022, our average gross profit per order was approximately $7, or 6.4% of GTV, which is defined as total revenue 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w:t>
      </w:r>
    </w:p>
    <w:p>
      <w:pPr>
        <w:spacing w:after="0" w:line="76" w:lineRule="exact"/>
        <w:rPr>
          <w:rFonts w:ascii="Arial" w:cs="Arial" w:eastAsia="Arial" w:hAnsi="Arial"/>
          <w:sz w:val="17"/>
          <w:szCs w:val="17"/>
          <w:color w:val="auto"/>
        </w:rPr>
      </w:pPr>
    </w:p>
    <w:p>
      <w:pPr>
        <w:ind w:left="2920" w:right="120" w:hanging="297"/>
        <w:spacing w:after="0" w:line="296" w:lineRule="auto"/>
        <w:tabs>
          <w:tab w:leader="none" w:pos="2920" w:val="left"/>
        </w:tabs>
        <w:numPr>
          <w:ilvl w:val="2"/>
          <w:numId w:val="94"/>
        </w:numPr>
        <w:rPr>
          <w:rFonts w:ascii="Arial" w:cs="Arial" w:eastAsia="Arial" w:hAnsi="Arial"/>
          <w:sz w:val="15"/>
          <w:szCs w:val="15"/>
          <w:color w:val="auto"/>
        </w:rPr>
      </w:pPr>
      <w:r>
        <w:rPr>
          <w:rFonts w:ascii="Arial" w:cs="Arial" w:eastAsia="Arial" w:hAnsi="Arial"/>
          <w:sz w:val="15"/>
          <w:szCs w:val="15"/>
          <w:i w:val="1"/>
          <w:iCs w:val="1"/>
          <w:color w:val="auto"/>
        </w:rPr>
        <w:t>Cost of Revenue</w:t>
      </w:r>
      <w:r>
        <w:rPr>
          <w:rFonts w:ascii="Arial" w:cs="Arial" w:eastAsia="Arial" w:hAnsi="Arial"/>
          <w:sz w:val="15"/>
          <w:szCs w:val="15"/>
          <w:color w:val="auto"/>
        </w:rPr>
        <w:t>. In 2022, our average cost of revenue per order was approximately $3, or 2.5% of GTV. Cost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primarily consists of third-party payment processing fees, expenses related to payment chargebacks, hosting fees, insurance costs attributed to fulfillment, compensation costs of our employees primarily involved in fulfillment, depreciation expense, and amortization expense of technology-related intangible assets and capitalized internal-use software. Compensation costs include salaries, taxes, benefits, and bonuses.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Core Principles of Our Financial Model</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Generate More Orders</w:t>
      </w:r>
    </w:p>
    <w:p>
      <w:pPr>
        <w:spacing w:after="0" w:line="108" w:lineRule="exact"/>
        <w:rPr>
          <w:sz w:val="20"/>
          <w:szCs w:val="20"/>
          <w:color w:val="auto"/>
        </w:rPr>
      </w:pPr>
    </w:p>
    <w:p>
      <w:pPr>
        <w:ind w:left="460" w:right="40" w:firstLine="413"/>
        <w:spacing w:after="0" w:line="250" w:lineRule="auto"/>
        <w:rPr>
          <w:sz w:val="20"/>
          <w:szCs w:val="20"/>
          <w:color w:val="auto"/>
        </w:rPr>
      </w:pPr>
      <w:r>
        <w:rPr>
          <w:rFonts w:ascii="Arial" w:cs="Arial" w:eastAsia="Arial" w:hAnsi="Arial"/>
          <w:sz w:val="16"/>
          <w:szCs w:val="16"/>
          <w:color w:val="auto"/>
        </w:rPr>
        <w:t>We believe every Instacart order represents a success for retailers, customers, brands, and shoppers. The success of our business relies on the success of all these constituents. When we help retailers succeed, orders and GTV on Instacart grow. We aim to continue to grow orders for our retail partners by expanding the breadth of services we offer to retailers, acquiring new customers, and increasing engagement and orders from our new and existing customers. We have 7.7 million monthly active orderers,</w:t>
      </w:r>
      <w:r>
        <w:rPr>
          <w:rFonts w:ascii="Arial" w:cs="Arial" w:eastAsia="Arial" w:hAnsi="Arial"/>
          <w:sz w:val="24"/>
          <w:szCs w:val="24"/>
          <w:color w:val="auto"/>
          <w:vertAlign w:val="superscript"/>
        </w:rPr>
        <w:t>71</w:t>
      </w:r>
      <w:r>
        <w:rPr>
          <w:rFonts w:ascii="Arial" w:cs="Arial" w:eastAsia="Arial" w:hAnsi="Arial"/>
          <w:sz w:val="16"/>
          <w:szCs w:val="16"/>
          <w:color w:val="auto"/>
        </w:rPr>
        <w:t xml:space="preserve"> a small fraction of the households in North America. Prior to 2021, we did not spend significantly on sales and marketing since the majority of our growth in our new customers was organic. Beginning in 2021, after we achieved meaningful improvement in unit economics, we began to significantly increase consumer marketing. We believe we have a significant opportunity to increase our brand awareness to fuel new customer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172720</wp:posOffset>
            </wp:positionV>
            <wp:extent cx="7239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84" w:lineRule="exact"/>
        <w:rPr>
          <w:sz w:val="20"/>
          <w:szCs w:val="20"/>
          <w:color w:val="auto"/>
        </w:rPr>
      </w:pPr>
    </w:p>
    <w:p>
      <w:pPr>
        <w:ind w:left="860" w:right="400" w:hanging="403"/>
        <w:spacing w:after="0" w:line="260" w:lineRule="auto"/>
        <w:tabs>
          <w:tab w:leader="none" w:pos="860" w:val="left"/>
        </w:tabs>
        <w:numPr>
          <w:ilvl w:val="0"/>
          <w:numId w:val="95"/>
        </w:numPr>
        <w:rPr>
          <w:rFonts w:ascii="Arial" w:cs="Arial" w:eastAsia="Arial" w:hAnsi="Arial"/>
          <w:sz w:val="10"/>
          <w:szCs w:val="10"/>
          <w:color w:val="auto"/>
        </w:rPr>
      </w:pPr>
      <w:r>
        <w:rPr>
          <w:rFonts w:ascii="Arial" w:cs="Arial" w:eastAsia="Arial" w:hAnsi="Arial"/>
          <w:sz w:val="13"/>
          <w:szCs w:val="13"/>
          <w:color w:val="auto"/>
        </w:rPr>
        <w:t>For the month ended June 30, 2023. The number of monthly active orderers may overstate the number of unique individuals, as one customer may register for, and use, multiple accounts. Fluctuations in the number of monthly active orderers are not necessarily indicative of changes in our financial performance.</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780"/>
          </w:cols>
          <w:pgMar w:left="320" w:top="440" w:right="79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Our customer cohorts highlight the strong retention dynamics in our business and our proven ability to increase engagement with each cohort over time. Each cohort represents customers who placed their first order with us in a given year. As the chart below indicates, annual GTV for the 2017 to 2019 and 2021 customer cohorts have generally expanded year-over-year compared to annual GTV in the first year on Instacart. This means the annual GTV from customers we retained more than offsets GTV lost from customers who did not further transact with Instacart. For example, for the 2017 and 2018 cohorts, GTV tripled and nearly tripled, respectively, by Year 4, and the 2019 cohort more than doubled.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128905</wp:posOffset>
            </wp:positionV>
            <wp:extent cx="4865370" cy="2517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65370" cy="251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right="20" w:firstLine="413"/>
        <w:spacing w:after="0" w:line="267" w:lineRule="auto"/>
        <w:rPr>
          <w:sz w:val="20"/>
          <w:szCs w:val="20"/>
          <w:color w:val="auto"/>
        </w:rPr>
      </w:pPr>
      <w:r>
        <w:rPr>
          <w:rFonts w:ascii="Arial" w:cs="Arial" w:eastAsia="Arial" w:hAnsi="Arial"/>
          <w:sz w:val="16"/>
          <w:szCs w:val="16"/>
          <w:color w:val="auto"/>
        </w:rPr>
        <w:t>The COVID-19 pandemic had certain impacts on our cohort behavior that were inconsistent with prior trends. During the COVID-19 pandemic and its variant outbreaks, we experienced a significant increase in spend across all cohorts due to increased consumer demand for grocery delivery and higher average order value, which was a significant factor in annual GTV growth for cohorts during those years, including the growth trends highlighted above. The 2020 cohort performance is more nuanced given its unique, COVID-19-driven characteristics. In addition to being significantly larger than other cohorts, we believe spending behavior of the 2020 cohort was heavily influenced by health and safety considerations. See the section titled “—COVID-19 Impact on Our Business.” GTV from the 2020 cohort declined sequentially in 2021 and 2022 because certain health factors became less important to our customers. Over the near term, we expect this trend to continue for our more recent historical cohorts, including our 2021 and 2022 cohorts. We also expect GTV growth to be tempered across our existing and new customer cohorts over the near term. These expected GTV trends are primarily due to the subsiding effects of the COVID-19 pandemic on demand for online grocery, including a return to pre-COVID grocery shopping behaviors, continuing macroeconomic uncertainty (including inflation and recession risks), the cessation of government stimulus (including the termination of certain EBT SNAP benefits in March 2023), the declining effectiveness of historical growth initiatives as we continue to scale, and the effects of our initiatives to drive profitable growth.</w:t>
      </w:r>
    </w:p>
    <w:p>
      <w:pPr>
        <w:spacing w:after="0" w:line="178" w:lineRule="exact"/>
        <w:rPr>
          <w:sz w:val="20"/>
          <w:szCs w:val="20"/>
          <w:color w:val="auto"/>
        </w:rPr>
      </w:pPr>
    </w:p>
    <w:p>
      <w:pPr>
        <w:ind w:left="460" w:firstLine="413"/>
        <w:spacing w:after="0" w:line="251" w:lineRule="auto"/>
        <w:rPr>
          <w:sz w:val="20"/>
          <w:szCs w:val="20"/>
          <w:color w:val="auto"/>
        </w:rPr>
      </w:pPr>
      <w:r>
        <w:rPr>
          <w:rFonts w:ascii="Arial" w:cs="Arial" w:eastAsia="Arial" w:hAnsi="Arial"/>
          <w:sz w:val="17"/>
          <w:szCs w:val="17"/>
          <w:color w:val="auto"/>
        </w:rPr>
        <w:t>Our cohorts displayed some of these trends in the first half of 2023, during which our 2017, 2018, and 2019 cohorts generated GTV in-line with the same period in 2022, but GTV from our 2020 and 2021 cohorts declined relative to the same period in 2022, which still experienced a modest amount of COVID-driven demand. As shown below, this COVID-driven demand decreased from the first quarter to the second quarter of 2022, allowing for a more normalized year-over-year comparison for all cohorts in the second quarter of 2023 compared to the same period in 2022. In addition, in the first six months of 2023, despite overall tempered GTV growth, our GTV from new customers was 1.6 times higher than our GTV from new customers in the first six months of 2019. This is driven in part by the continued scaling of our business and customer acquisition costs compared to pre-COVID periods. See the section titled “—Our Performance in the Six Months Ended June 30, 2023” for more information. Over time, we believe that long-term growth in demand for online grocery and our focus on achieving profitable growth over time can support habitual customer behavior across all of our cohorts.</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780"/>
          </w:cols>
          <w:pgMar w:left="320" w:top="440" w:right="79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5717540" cy="26777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7540" cy="267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“NM” - not meaningful</w:t>
      </w:r>
    </w:p>
    <w:p>
      <w:pPr>
        <w:spacing w:after="0" w:line="19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GTV growth from existing cohorts was elevated in 2020 due to both an increase in orders and higher average order value. The below graphic illustrates these trends by comparing growth in GTV, orders, and average order value. GTV grew faster than orders in 2020 driven by a 17% increase in average order value as a result of COVID-19-related consumer health concerns that led to a larger number of stock-up orders during months with more significant shelter-in-place restrictions. Beyond a return to pre-COVID-19 grocery shopping behaviors, we expect average order value to continue to be impacted by the mix of consumer use cases, product categories shopped on Instacart, consumer shopping behaviors (including changes due to macroeconomic uncertainty, inflation, and cessation of government stimulus), and Instacart+ orders. We have added additional fulfillment options, such as priority delivery (one hour) and quick convenience (as fast as 30 minutes) that may have lower order values than a traditional weekly shop but potentially higher frequency. Throughout 2022, inflationary pressures driving higher prices have also resulted in higher GTV and average order values. However, customers have also been purchasing fewer items on average per order and shifting toward lower-price product categories on Instacart, partially offsetting the effects of inflation and driving average order values back down. Our Instacart+ membership lowers the cost of online grocery through waived delivery fees, lower service fees, and credit back on eligible pickup orders. While Instacart+ members order more frequently and have lower average order values, in part due to lower customer fees, they typically develop a more habitual and sticky behavior on Instacart over time. While average order value may continue to decline or fluctuate, including as inflation abates and due to the other factors described above, we believe these strategic decisions, which include expansion of fulfillment options and increased GTV from Instacart+ members, will benefit our business over the long term by increasing orders and GTV per customer over time.</w:t>
      </w:r>
    </w:p>
    <w:p>
      <w:pPr>
        <w:spacing w:after="0" w:line="33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720"/>
          </w:cols>
          <w:pgMar w:left="320" w:top="440" w:right="8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93345</wp:posOffset>
            </wp:positionV>
            <wp:extent cx="4857115" cy="20262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57115" cy="202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firstLine="413"/>
        <w:spacing w:after="0" w:line="256" w:lineRule="auto"/>
        <w:rPr>
          <w:sz w:val="20"/>
          <w:szCs w:val="20"/>
          <w:color w:val="auto"/>
        </w:rPr>
      </w:pPr>
      <w:r>
        <w:rPr>
          <w:rFonts w:ascii="Arial" w:cs="Arial" w:eastAsia="Arial" w:hAnsi="Arial"/>
          <w:sz w:val="16"/>
          <w:szCs w:val="16"/>
          <w:color w:val="auto"/>
        </w:rPr>
        <w:t>The strength of our customer cohorts is driven by the habitual behavior and expanding engagement of our customers. We aim to have every Instacart customer regularly use and engage with our offerings. To illustrate the strength of our customer cohorts, the charts below depict the average behavior of our monthly active orderers in each annual cohort for the years shown, weighted by the relative size of each cohort. These charts demonstrate that our customers order more frequently and spend more on Instacart over time. As shown below, our monthly active orderers increased their monthly order frequency on Instacart from approximately 2.1 times in the year of their first order to 3.9 times by Year 6. Similarly, monthly active orderers increased their monthly average spend on Instacart from $226 in the year of their first order to $480 by Year 6.</w:t>
      </w:r>
      <w:r>
        <w:rPr>
          <w:rFonts w:ascii="Arial" w:cs="Arial" w:eastAsia="Arial" w:hAnsi="Arial"/>
          <w:sz w:val="24"/>
          <w:szCs w:val="24"/>
          <w:color w:val="auto"/>
          <w:vertAlign w:val="superscript"/>
        </w:rPr>
        <w:t>72</w:t>
      </w:r>
      <w:r>
        <w:rPr>
          <w:rFonts w:ascii="Arial" w:cs="Arial" w:eastAsia="Arial" w:hAnsi="Arial"/>
          <w:sz w:val="16"/>
          <w:szCs w:val="16"/>
          <w:color w:val="auto"/>
        </w:rPr>
        <w:t xml:space="preserve"> This compares to the average U.S. household monthly grocery spend of $438,</w:t>
      </w:r>
      <w:r>
        <w:rPr>
          <w:rFonts w:ascii="Arial" w:cs="Arial" w:eastAsia="Arial" w:hAnsi="Arial"/>
          <w:sz w:val="24"/>
          <w:szCs w:val="24"/>
          <w:color w:val="auto"/>
          <w:vertAlign w:val="superscript"/>
        </w:rPr>
        <w:t>73</w:t>
      </w:r>
      <w:r>
        <w:rPr>
          <w:rFonts w:ascii="Arial" w:cs="Arial" w:eastAsia="Arial" w:hAnsi="Arial"/>
          <w:sz w:val="16"/>
          <w:szCs w:val="16"/>
          <w:color w:val="auto"/>
        </w:rPr>
        <w:t xml:space="preserve"> showing that engaged Instacart customers spend a majority of their entire grocery budget with Instacart. While the charts below do not include in years 2 through 6 any cohorts for which the requisite number of years has not yet been completed, we believe that we can continue growing average monthly GTV and orders per monthly active orderer for these cohorts over time due to our ability to drive customer engagement through product enhancements and continued marketing investment. However, over the near term, we expect engagement trends and GTV growth for our customer cohorts to be tempered, particularly for our more recent cohorts, primarily due to the reasons described earlier in this section titled “—Generate More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82550</wp:posOffset>
            </wp:positionV>
            <wp:extent cx="7239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2" w:lineRule="exact"/>
        <w:rPr>
          <w:sz w:val="20"/>
          <w:szCs w:val="20"/>
          <w:color w:val="auto"/>
        </w:rPr>
      </w:pPr>
    </w:p>
    <w:p>
      <w:pPr>
        <w:ind w:left="860" w:right="300" w:hanging="403"/>
        <w:spacing w:after="0" w:line="233" w:lineRule="auto"/>
        <w:tabs>
          <w:tab w:leader="none" w:pos="860" w:val="left"/>
        </w:tabs>
        <w:numPr>
          <w:ilvl w:val="0"/>
          <w:numId w:val="96"/>
        </w:numPr>
        <w:rPr>
          <w:rFonts w:ascii="Arial" w:cs="Arial" w:eastAsia="Arial" w:hAnsi="Arial"/>
          <w:sz w:val="10"/>
          <w:szCs w:val="10"/>
          <w:color w:val="auto"/>
        </w:rPr>
      </w:pPr>
      <w:r>
        <w:rPr>
          <w:rFonts w:ascii="Arial" w:cs="Arial" w:eastAsia="Arial" w:hAnsi="Arial"/>
          <w:sz w:val="13"/>
          <w:szCs w:val="13"/>
          <w:color w:val="auto"/>
        </w:rPr>
        <w:t>Year 1 amount based on the average monthly spend of the 2017, 2018, 2019, 2020, 2021, and 2022 cohorts in the year of their first order, and Year 6 amount based on the average monthly spend of the 2017 cohort in 2022.</w:t>
      </w:r>
    </w:p>
    <w:p>
      <w:pPr>
        <w:ind w:left="860" w:hanging="403"/>
        <w:spacing w:after="0"/>
        <w:tabs>
          <w:tab w:leader="none" w:pos="860" w:val="left"/>
        </w:tabs>
        <w:numPr>
          <w:ilvl w:val="0"/>
          <w:numId w:val="96"/>
        </w:numPr>
        <w:rPr>
          <w:rFonts w:ascii="Arial" w:cs="Arial" w:eastAsia="Arial" w:hAnsi="Arial"/>
          <w:sz w:val="10"/>
          <w:szCs w:val="10"/>
          <w:color w:val="auto"/>
        </w:rPr>
      </w:pPr>
      <w:r>
        <w:rPr>
          <w:rFonts w:ascii="Arial" w:cs="Arial" w:eastAsia="Arial" w:hAnsi="Arial"/>
          <w:sz w:val="13"/>
          <w:szCs w:val="13"/>
          <w:color w:val="auto"/>
        </w:rPr>
        <w:t>U.S. Bureau of Labor Statistics; based on consumer expenditures in 2021.</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780"/>
          </w:cols>
          <w:pgMar w:left="320" w:top="440" w:right="79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5709285" cy="22599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09285" cy="225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60" w:hanging="403"/>
        <w:spacing w:after="0" w:line="229" w:lineRule="auto"/>
        <w:tabs>
          <w:tab w:leader="none" w:pos="860" w:val="left"/>
        </w:tabs>
        <w:numPr>
          <w:ilvl w:val="0"/>
          <w:numId w:val="97"/>
        </w:numPr>
        <w:rPr>
          <w:rFonts w:ascii="Arial" w:cs="Arial" w:eastAsia="Arial" w:hAnsi="Arial"/>
          <w:sz w:val="10"/>
          <w:szCs w:val="10"/>
          <w:color w:val="auto"/>
        </w:rPr>
      </w:pPr>
      <w:r>
        <w:rPr>
          <w:rFonts w:ascii="Arial" w:cs="Arial" w:eastAsia="Arial" w:hAnsi="Arial"/>
          <w:sz w:val="13"/>
          <w:szCs w:val="13"/>
          <w:color w:val="auto"/>
        </w:rPr>
        <w:t>For each year, the average figure represents average monthly orders or average monthly GTV, as applicable, per monthly active orderer for the applicable cohorts, weighted by the size of each cohort on the basis of monthly active orderers. For example, “Year 1” reflects the first year of results for the 2017 through 2022 customer cohorts while “Year 4” reflects the results for only the 2017, 2018, and 2019 customer cohorts. Average monthly GTV or orders, as applicable, per monthly active orderer for each cohort in a given year is calculated by determining GTV or total orders, as applicable, per monthly active orderer for each calendar month and averaging each monthly GTV or total orders, as applicable, per monthly active orderer, weighted on the basis of the monthly active orderers for each month. For the purposes of these charts, a monthly active orderer is a customer who places at least one order on Instacart in any particular month in that customer’s year of activation. Each monthly active orderer belongs to the annual cohort in which that customer made an initial order. Multiple accounts using a single phone number count as a single customer in the annual cohort when the customer placed the first order across the accounts. For each month in which a monthly active orderer places at least one order, that customer is included as a single monthly active orderer for purposes of calculating average GTV or orders, as applicable, per monthly active orderer for that month.</w:t>
      </w:r>
    </w:p>
    <w:p>
      <w:pPr>
        <w:spacing w:after="0" w:line="178" w:lineRule="exact"/>
        <w:rPr>
          <w:sz w:val="20"/>
          <w:szCs w:val="20"/>
          <w:color w:val="auto"/>
        </w:rPr>
      </w:pPr>
    </w:p>
    <w:p>
      <w:pPr>
        <w:ind w:left="460" w:right="80" w:firstLine="413"/>
        <w:spacing w:after="0" w:line="250" w:lineRule="auto"/>
        <w:rPr>
          <w:sz w:val="20"/>
          <w:szCs w:val="20"/>
          <w:color w:val="auto"/>
        </w:rPr>
      </w:pPr>
      <w:r>
        <w:rPr>
          <w:rFonts w:ascii="Arial" w:cs="Arial" w:eastAsia="Arial" w:hAnsi="Arial"/>
          <w:sz w:val="16"/>
          <w:szCs w:val="16"/>
          <w:color w:val="auto"/>
        </w:rPr>
        <w:t>In addition, we aim to increase our customer engagement through Instacart+. Instacart+ members exhibit higher order frequency compared to non-members. On average, an Instacart+ member spends an aggregate of $466 over 4.1 orders per month, compared to an aggregate of $231 spent over 2.1 orders by a non-member.</w:t>
      </w:r>
      <w:r>
        <w:rPr>
          <w:rFonts w:ascii="Arial" w:cs="Arial" w:eastAsia="Arial" w:hAnsi="Arial"/>
          <w:sz w:val="24"/>
          <w:szCs w:val="24"/>
          <w:color w:val="auto"/>
          <w:vertAlign w:val="superscript"/>
        </w:rPr>
        <w:t>74</w:t>
      </w:r>
      <w:r>
        <w:rPr>
          <w:rFonts w:ascii="Arial" w:cs="Arial" w:eastAsia="Arial" w:hAnsi="Arial"/>
          <w:sz w:val="16"/>
          <w:szCs w:val="16"/>
          <w:color w:val="auto"/>
        </w:rPr>
        <w:t xml:space="preserve"> As a result, orders from Instacart+ members represent a meaningful portion of our GTV, comprising $8,533 million, or 57%, of our total GTV in the first six months of 2023, compared to $7,597 million, or 53%, in the first six months of 2022. We had approximately 5.1 million and 4.6 million Instacart+ members as of June 30, 2023 and June 30, 2022, respectively.</w:t>
      </w:r>
      <w:r>
        <w:rPr>
          <w:rFonts w:ascii="Arial" w:cs="Arial" w:eastAsia="Arial" w:hAnsi="Arial"/>
          <w:sz w:val="24"/>
          <w:szCs w:val="24"/>
          <w:color w:val="auto"/>
          <w:vertAlign w:val="superscript"/>
        </w:rPr>
        <w:t>75</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Deepen Relationships with Retail Partners</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Our strategy of powering every grocery transaction is contingent on our ability to deepen our relationships with existing retail partners and attract new retail partners. We expand with retail partners by offering them a comprehensive set of enterprise-grade technology products and services that can help them grow and thrive both within and beyond their four walls. These technology solutions and services include building owned and operated online storefronts powered by Instacart Enterprise Platform, fulfilling orders through new options such as pickup, offering a range of delivery speeds from as fast as 30 minutes to next available window to next day, and addressing additional consumer use cases such as alcohol and ready-made meals. As our retail partners utilize Instacart for more use cases, we are able to power a greater number of orders on behalf of our retail partners and increase our GTV.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57785</wp:posOffset>
            </wp:positionV>
            <wp:extent cx="7239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04" w:lineRule="exact"/>
        <w:rPr>
          <w:sz w:val="20"/>
          <w:szCs w:val="20"/>
          <w:color w:val="auto"/>
        </w:rPr>
      </w:pPr>
    </w:p>
    <w:p>
      <w:pPr>
        <w:ind w:left="860" w:hanging="403"/>
        <w:spacing w:after="0"/>
        <w:tabs>
          <w:tab w:leader="none" w:pos="860" w:val="left"/>
        </w:tabs>
        <w:numPr>
          <w:ilvl w:val="0"/>
          <w:numId w:val="98"/>
        </w:numPr>
        <w:rPr>
          <w:rFonts w:ascii="Arial" w:cs="Arial" w:eastAsia="Arial" w:hAnsi="Arial"/>
          <w:sz w:val="10"/>
          <w:szCs w:val="10"/>
          <w:color w:val="auto"/>
        </w:rPr>
      </w:pPr>
      <w:r>
        <w:rPr>
          <w:rFonts w:ascii="Arial" w:cs="Arial" w:eastAsia="Arial" w:hAnsi="Arial"/>
          <w:sz w:val="13"/>
          <w:szCs w:val="13"/>
          <w:color w:val="auto"/>
        </w:rPr>
        <w:t>For the six months ended June 30, 2023.</w:t>
      </w:r>
    </w:p>
    <w:p>
      <w:pPr>
        <w:spacing w:after="0" w:line="1" w:lineRule="exact"/>
        <w:rPr>
          <w:rFonts w:ascii="Arial" w:cs="Arial" w:eastAsia="Arial" w:hAnsi="Arial"/>
          <w:sz w:val="10"/>
          <w:szCs w:val="10"/>
          <w:color w:val="auto"/>
        </w:rPr>
      </w:pPr>
    </w:p>
    <w:p>
      <w:pPr>
        <w:ind w:left="860" w:right="60" w:hanging="403"/>
        <w:spacing w:after="0"/>
        <w:tabs>
          <w:tab w:leader="none" w:pos="860" w:val="left"/>
        </w:tabs>
        <w:numPr>
          <w:ilvl w:val="0"/>
          <w:numId w:val="98"/>
        </w:numPr>
        <w:rPr>
          <w:rFonts w:ascii="Arial" w:cs="Arial" w:eastAsia="Arial" w:hAnsi="Arial"/>
          <w:sz w:val="10"/>
          <w:szCs w:val="10"/>
          <w:color w:val="auto"/>
        </w:rPr>
      </w:pPr>
      <w:r>
        <w:rPr>
          <w:rFonts w:ascii="Arial" w:cs="Arial" w:eastAsia="Arial" w:hAnsi="Arial"/>
          <w:sz w:val="13"/>
          <w:szCs w:val="13"/>
          <w:color w:val="auto"/>
        </w:rPr>
        <w:t>Includes paying Instacart+ members only and excludes free trial members. Fluctuations in the number of Instacart+ members are not necessarily indicative of changes in our financial performance or contribution of Instacart+ members to GTV or orders over time.</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60"/>
          </w:cols>
          <w:pgMar w:left="320" w:top="440" w:right="81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We have deep trust and integrations with retailers and have demonstrated our ability to expand with them over time as illustrated in the graphic below. For example, 25% of our top 20 retail partners offered alcohol through Instacart in 2016, which increased to 80% in the second quarter of 2023. We launched EBT SNAP payments in 2020, and 65% of our top 20 retail partners enable EBT SNAP payments on Instacart as of the second quarter of 2023. Since 2019, 16 of our top 20 retail partners have adopted one or more additional solutions, including Wegmans.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111760</wp:posOffset>
            </wp:positionV>
            <wp:extent cx="4969510" cy="3055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69510" cy="305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hanging="203"/>
        <w:spacing w:after="0"/>
        <w:tabs>
          <w:tab w:leader="none" w:pos="660" w:val="left"/>
        </w:tabs>
        <w:numPr>
          <w:ilvl w:val="0"/>
          <w:numId w:val="99"/>
        </w:numPr>
        <w:rPr>
          <w:rFonts w:ascii="Arial" w:cs="Arial" w:eastAsia="Arial" w:hAnsi="Arial"/>
          <w:sz w:val="10"/>
          <w:szCs w:val="10"/>
          <w:color w:val="auto"/>
        </w:rPr>
      </w:pPr>
      <w:r>
        <w:rPr>
          <w:rFonts w:ascii="Arial" w:cs="Arial" w:eastAsia="Arial" w:hAnsi="Arial"/>
          <w:sz w:val="13"/>
          <w:szCs w:val="13"/>
          <w:color w:val="auto"/>
        </w:rPr>
        <w:t>Based on retail partner level data. All metrics, except for Instacart Enterprise Platform, measured by retail partners adopting a feature on Instacart Marketplace.</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Grow Relationships with Brands</w:t>
      </w:r>
    </w:p>
    <w:p>
      <w:pPr>
        <w:spacing w:after="0" w:line="10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As consumers move online, we have built Instacart Ads as a new way for brands to reach consumers and succeed. Since launch, we have demonstrated durable and consistent growth in advertising and other revenue, primarily driven by the increasing scale of our business, the increase in number of active brand partners that use our ads offerings, and an increase in spend from brand partners that currently advertise with us. As of June 30, 2023, over 5,500 CPG brands used Instacart Ads, representing growth of over five times compared to December 2019. As a result, we have demonstrated strong growth in our advertising and other revenue, which grew 340% from 2019 to 2020, 94% from 2020 to 2021, and 29% from 2021 to 2022 and have increased our advertising and other investment rate from 1.3% in 2019 to 2.6% in 2022. Macroeconomic uncertainty, including from inflation, rising interest rates, supply chain shortages, and cessation of government stimulus, has caused advertisers, including our brand partners, to decrease spending, which negatively impacts our advertising and other revenue. In addition, our brand partners’ sales generated from digital marketing campaigns on Instacart may fail to meet their expectations, including as a result of decreases in GTV growth, which in turn can result in reductions in future brand partner digital marketing spend on Instacart and related decreases in advertising and other revenue in future periods. We expect our advertising and other revenue to be negatively impacted as a result of these factors over the near term. However, as we continue to scale, optimize, and refine our strategy, we believe we are well positioned to grow our Instacart Ads offerings by offering our brand partners highly targeted ad opportunities and precise measurement capabilities.</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760"/>
          </w:cols>
          <w:pgMar w:left="320" w:top="440" w:right="81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93345</wp:posOffset>
            </wp:positionV>
            <wp:extent cx="4865370" cy="19056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65370" cy="190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 w:right="120" w:firstLine="413"/>
        <w:spacing w:after="0" w:line="254" w:lineRule="auto"/>
        <w:rPr>
          <w:sz w:val="20"/>
          <w:szCs w:val="20"/>
          <w:color w:val="auto"/>
        </w:rPr>
      </w:pPr>
      <w:r>
        <w:rPr>
          <w:rFonts w:ascii="Arial" w:cs="Arial" w:eastAsia="Arial" w:hAnsi="Arial"/>
          <w:sz w:val="17"/>
          <w:szCs w:val="17"/>
          <w:color w:val="auto"/>
        </w:rPr>
        <w:t>Advertising and other investment rate is an indicator of our ability to grow our relationships with brand partners as it demonstrates how much advertising revenue we are able to monetize out of the total sales generated through Instacart. Advertising and other investment rate typically fluctuates with GTV growth on a delayed basis as GTV levels in a given period may not impact advertising budgets until subsequent periods as described above, and can also be asymmetrical based on advertising budget negotiations. We intend to increase our advertising revenue by continuing to execute against the following strategies:</w:t>
      </w:r>
    </w:p>
    <w:p>
      <w:pPr>
        <w:spacing w:after="0" w:line="93" w:lineRule="exact"/>
        <w:rPr>
          <w:sz w:val="20"/>
          <w:szCs w:val="20"/>
          <w:color w:val="auto"/>
        </w:rPr>
      </w:pPr>
    </w:p>
    <w:p>
      <w:pPr>
        <w:ind w:left="1360" w:right="60" w:hanging="498"/>
        <w:spacing w:after="0" w:line="256" w:lineRule="auto"/>
        <w:tabs>
          <w:tab w:leader="none" w:pos="13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Capture More Ad Spend and Add New Brands on Instacart Ads</w:t>
      </w:r>
      <w:r>
        <w:rPr>
          <w:rFonts w:ascii="Arial" w:cs="Arial" w:eastAsia="Arial" w:hAnsi="Arial"/>
          <w:sz w:val="17"/>
          <w:szCs w:val="17"/>
          <w:color w:val="auto"/>
        </w:rPr>
        <w:t>. We intend to earn a greater portion of brands’ spend across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as well as other data and customer insights. Growing the number of active brand partners and their spend will depend on our ability to grow the size and engagement of our customer base to create more clicks and impressions and to innovate on our ads offerings to deliver attractive ROI to our brand partners.</w:t>
      </w:r>
    </w:p>
    <w:p>
      <w:pPr>
        <w:spacing w:after="0" w:line="90" w:lineRule="exact"/>
        <w:rPr>
          <w:rFonts w:ascii="Arial" w:cs="Arial" w:eastAsia="Arial" w:hAnsi="Arial"/>
          <w:sz w:val="17"/>
          <w:szCs w:val="17"/>
          <w:color w:val="auto"/>
        </w:rPr>
      </w:pPr>
    </w:p>
    <w:p>
      <w:pPr>
        <w:ind w:left="1360" w:right="20" w:hanging="498"/>
        <w:spacing w:after="0" w:line="284" w:lineRule="auto"/>
        <w:tabs>
          <w:tab w:leader="none" w:pos="13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Grow Sales for Emerging Brands and Non-Food Categories</w:t>
      </w:r>
      <w:r>
        <w:rPr>
          <w:rFonts w:ascii="Arial" w:cs="Arial" w:eastAsia="Arial" w:hAnsi="Arial"/>
          <w:sz w:val="16"/>
          <w:szCs w:val="16"/>
          <w:color w:val="auto"/>
        </w:rPr>
        <w:t>. We intend to grow sales for emerging brands and non-food categories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have higher advertising budgets, such as household products, pet items, and personal care. As we grow sales for emerging brands and these categories, we expect to experience a mix shift towards GTV with higher advertising and other investment rate.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Drivers of Profitability</w:t>
      </w:r>
    </w:p>
    <w:p>
      <w:pPr>
        <w:spacing w:after="0" w:line="108" w:lineRule="exact"/>
        <w:rPr>
          <w:sz w:val="20"/>
          <w:szCs w:val="20"/>
          <w:color w:val="auto"/>
        </w:rPr>
      </w:pPr>
    </w:p>
    <w:p>
      <w:pPr>
        <w:jc w:val="both"/>
        <w:ind w:left="460" w:right="100" w:firstLine="413"/>
        <w:spacing w:after="0" w:line="256" w:lineRule="auto"/>
        <w:rPr>
          <w:sz w:val="20"/>
          <w:szCs w:val="20"/>
          <w:color w:val="auto"/>
        </w:rPr>
      </w:pPr>
      <w:r>
        <w:rPr>
          <w:rFonts w:ascii="Arial" w:cs="Arial" w:eastAsia="Arial" w:hAnsi="Arial"/>
          <w:sz w:val="17"/>
          <w:szCs w:val="17"/>
          <w:color w:val="auto"/>
        </w:rPr>
        <w:t>At Instacart, we have multiple levers that we use to drive profitability, including: large average order values, diversified revenue streams, revenue cost optimization, scale, multiple use cases and fulfillment options, operating expense efficiencies, and capital efficiency. Over time, we aim to achieve and maintain profitable growth, meaning we intend to drive continued engagement from Instacart customers in a manner that optimizes for margin and profitability, including by focusing on the levers below.</w:t>
      </w:r>
    </w:p>
    <w:p>
      <w:pPr>
        <w:spacing w:after="0" w:line="90" w:lineRule="exact"/>
        <w:rPr>
          <w:sz w:val="20"/>
          <w:szCs w:val="20"/>
          <w:color w:val="auto"/>
        </w:rPr>
      </w:pPr>
    </w:p>
    <w:p>
      <w:pPr>
        <w:ind w:left="1360" w:hanging="498"/>
        <w:spacing w:after="0" w:line="270" w:lineRule="auto"/>
        <w:tabs>
          <w:tab w:leader="none" w:pos="136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Large Average Order Value</w:t>
      </w:r>
      <w:r>
        <w:rPr>
          <w:rFonts w:ascii="Arial" w:cs="Arial" w:eastAsia="Arial" w:hAnsi="Arial"/>
          <w:sz w:val="16"/>
          <w:szCs w:val="16"/>
          <w:color w:val="auto"/>
        </w:rPr>
        <w:t>. Given grocery is one of the largest recurring monthly household expenses, we have a high average order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which was $110 in 2022. Larger order values are structurally more profitable as certain costs, such as shopper earnings and hosting expenses, are allocated across a larger base, and the advertising opportunity increases with more items in an order. While we have a leading share of orders among digital-first platforms both above and below $75, our share is even more pronounced in orders larger than $75, where retailers who partner with Instacart command 74% of the sales of these larger orders, which we believe is where the majority of the profit opportunity exists. See the charts under the section titled “Business—Our Industry—Online Grocery Market Dynamics—Share of Sales among Digital-First Platforms—Share of Sales by Order Value” for more information.</w:t>
      </w:r>
    </w:p>
    <w:p>
      <w:pPr>
        <w:spacing w:after="0" w:line="83" w:lineRule="exact"/>
        <w:rPr>
          <w:rFonts w:ascii="Arial" w:cs="Arial" w:eastAsia="Arial" w:hAnsi="Arial"/>
          <w:sz w:val="16"/>
          <w:szCs w:val="16"/>
          <w:color w:val="auto"/>
        </w:rPr>
      </w:pPr>
    </w:p>
    <w:p>
      <w:pPr>
        <w:ind w:left="1360" w:right="60" w:hanging="498"/>
        <w:spacing w:after="0" w:line="260" w:lineRule="auto"/>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Diversified Revenue Streams</w:t>
      </w:r>
      <w:r>
        <w:rPr>
          <w:rFonts w:ascii="Arial" w:cs="Arial" w:eastAsia="Arial" w:hAnsi="Arial"/>
          <w:sz w:val="17"/>
          <w:szCs w:val="17"/>
          <w:color w:val="auto"/>
        </w:rPr>
        <w:t>. We primarily generate revenue from customer fees, retailer fees, and advertising fees. As we generate more</w:t>
      </w:r>
      <w:r>
        <w:rPr>
          <w:rFonts w:ascii="Arial" w:cs="Arial" w:eastAsia="Arial" w:hAnsi="Arial"/>
          <w:sz w:val="17"/>
          <w:szCs w:val="17"/>
          <w:i w:val="1"/>
          <w:iCs w:val="1"/>
          <w:color w:val="auto"/>
        </w:rPr>
        <w:t xml:space="preserve"> </w:t>
      </w:r>
      <w:r>
        <w:rPr>
          <w:rFonts w:ascii="Arial" w:cs="Arial" w:eastAsia="Arial" w:hAnsi="Arial"/>
          <w:sz w:val="17"/>
          <w:szCs w:val="17"/>
          <w:color w:val="auto"/>
        </w:rPr>
        <w:t>orders for retailers, our revenue from customers and retailers grows. This allows us to deliver greater value to advertisers and increases our advertising and other</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00"/>
          </w:cols>
          <w:pgMar w:left="320" w:top="440" w:right="77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380"/>
        <w:spacing w:after="0" w:line="272" w:lineRule="auto"/>
        <w:rPr>
          <w:sz w:val="20"/>
          <w:szCs w:val="20"/>
          <w:color w:val="auto"/>
        </w:rPr>
      </w:pPr>
      <w:r>
        <w:rPr>
          <w:rFonts w:ascii="Arial" w:cs="Arial" w:eastAsia="Arial" w:hAnsi="Arial"/>
          <w:sz w:val="17"/>
          <w:szCs w:val="17"/>
          <w:color w:val="auto"/>
        </w:rPr>
        <w:t>revenue. As our business has scaled, we have been able to grow each of these diversified revenue streams in a way that is accretive to gross margin.</w:t>
      </w:r>
    </w:p>
    <w:p>
      <w:pPr>
        <w:spacing w:after="0" w:line="76" w:lineRule="exact"/>
        <w:rPr>
          <w:sz w:val="20"/>
          <w:szCs w:val="20"/>
          <w:color w:val="auto"/>
        </w:rPr>
      </w:pPr>
    </w:p>
    <w:p>
      <w:pPr>
        <w:ind w:left="1360" w:hanging="498"/>
        <w:spacing w:after="0" w:line="243"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Revenue Cost Optimization</w:t>
      </w:r>
      <w:r>
        <w:rPr>
          <w:rFonts w:ascii="Arial" w:cs="Arial" w:eastAsia="Arial" w:hAnsi="Arial"/>
          <w:sz w:val="16"/>
          <w:szCs w:val="16"/>
          <w:color w:val="auto"/>
        </w:rPr>
        <w:t>. We continue to identify and improve efficiencies in areas that negatively impact revenue and gross profit,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appeasements and refunds, customer incentives and promotions, shopper earnings, and third-party payment processing fees. We have used our data insights and machine learning to reduce many of these costs. For example, for our customers, we leveraged our data to recommend over 75 million replacements, with an average customer satisfaction rate of 95% with the replacement item.</w:t>
      </w:r>
      <w:r>
        <w:rPr>
          <w:rFonts w:ascii="Arial" w:cs="Arial" w:eastAsia="Arial" w:hAnsi="Arial"/>
          <w:sz w:val="24"/>
          <w:szCs w:val="24"/>
          <w:color w:val="auto"/>
          <w:vertAlign w:val="superscript"/>
        </w:rPr>
        <w:t>76</w:t>
      </w:r>
      <w:r>
        <w:rPr>
          <w:rFonts w:ascii="Arial" w:cs="Arial" w:eastAsia="Arial" w:hAnsi="Arial"/>
          <w:sz w:val="16"/>
          <w:szCs w:val="16"/>
          <w:color w:val="auto"/>
        </w:rPr>
        <w:t xml:space="preserve"> These successful replacements are a key component of lowering appeasement and refund costs.</w:t>
      </w:r>
    </w:p>
    <w:p>
      <w:pPr>
        <w:spacing w:after="0" w:line="102" w:lineRule="exact"/>
        <w:rPr>
          <w:rFonts w:ascii="Arial" w:cs="Arial" w:eastAsia="Arial" w:hAnsi="Arial"/>
          <w:sz w:val="16"/>
          <w:szCs w:val="16"/>
          <w:color w:val="auto"/>
        </w:rPr>
      </w:pPr>
    </w:p>
    <w:p>
      <w:pPr>
        <w:ind w:left="1360" w:right="40" w:hanging="498"/>
        <w:spacing w:after="0" w:line="269"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Economies of Scale</w:t>
      </w:r>
      <w:r>
        <w:rPr>
          <w:rFonts w:ascii="Arial" w:cs="Arial" w:eastAsia="Arial" w:hAnsi="Arial"/>
          <w:sz w:val="16"/>
          <w:szCs w:val="16"/>
          <w:color w:val="auto"/>
        </w:rPr>
        <w:t>. We drive efficiencies through the number of orders powered by technology-backed picking and batching abilities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help shoppers fulfill multiple orders simultaneously. These capabilities allow retailers and shoppers to improve overall efficiencies by reducing costs and increasing the number of batches with multiple orders. Increasing batch rate allows shopper earnings to increase on an hourly basis by reducing the cost and time to fulfill each order while increasing shopper flexibility and earnings transparency. As we have increased our batch rate by 50% from the fourth quarter of 2019 to the second quarter of 2023, we have seen a significant increase in hourly shopper earnings over the same period. Combined with other efficiencies, this has allowed us to decrease fulfillment costs per order from 10.2% of GTV in the fourth quarter of 2019 to 7.1% of GTV in the second quarter of 2023. Thus, these efficiencies translated into both higher profitability for Instacart and greater earnings for shoppers.</w:t>
      </w:r>
    </w:p>
    <w:p>
      <w:pPr>
        <w:spacing w:after="0" w:line="85" w:lineRule="exact"/>
        <w:rPr>
          <w:rFonts w:ascii="Arial" w:cs="Arial" w:eastAsia="Arial" w:hAnsi="Arial"/>
          <w:sz w:val="16"/>
          <w:szCs w:val="16"/>
          <w:color w:val="auto"/>
        </w:rPr>
      </w:pPr>
    </w:p>
    <w:p>
      <w:pPr>
        <w:ind w:left="1360" w:hanging="498"/>
        <w:spacing w:after="0" w:line="273" w:lineRule="auto"/>
        <w:tabs>
          <w:tab w:leader="none" w:pos="1360"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Multiple Use Cases and Fulfillment Options</w:t>
      </w:r>
      <w:r>
        <w:rPr>
          <w:rFonts w:ascii="Arial" w:cs="Arial" w:eastAsia="Arial" w:hAnsi="Arial"/>
          <w:sz w:val="15"/>
          <w:szCs w:val="15"/>
          <w:color w:val="auto"/>
        </w:rPr>
        <w:t>. Our strategy of supporting multiple use cases, such as convenience and the weekly shop, all</w:t>
      </w:r>
      <w:r>
        <w:rPr>
          <w:rFonts w:ascii="Arial" w:cs="Arial" w:eastAsia="Arial" w:hAnsi="Arial"/>
          <w:sz w:val="15"/>
          <w:szCs w:val="15"/>
          <w:i w:val="1"/>
          <w:iCs w:val="1"/>
          <w:color w:val="auto"/>
        </w:rPr>
        <w:t xml:space="preserve"> </w:t>
      </w:r>
      <w:r>
        <w:rPr>
          <w:rFonts w:ascii="Arial" w:cs="Arial" w:eastAsia="Arial" w:hAnsi="Arial"/>
          <w:sz w:val="15"/>
          <w:szCs w:val="15"/>
          <w:color w:val="auto"/>
        </w:rPr>
        <w:t>the way to the monthly bulk stock-up, across a variety of fulfillment options and speeds, from pickup to next day delivery, has increased engagement and order frequency. In a given month, about 30% of monthly active orderers use multiple fulfillment options across priority delivery, same-day delivery, next day delivery, no rush delivery, and pickup, on average.</w:t>
      </w:r>
      <w:r>
        <w:rPr>
          <w:rFonts w:ascii="Arial" w:cs="Arial" w:eastAsia="Arial" w:hAnsi="Arial"/>
          <w:sz w:val="22"/>
          <w:szCs w:val="22"/>
          <w:color w:val="auto"/>
          <w:vertAlign w:val="superscript"/>
        </w:rPr>
        <w:t>77</w:t>
      </w:r>
      <w:r>
        <w:rPr>
          <w:rFonts w:ascii="Arial" w:cs="Arial" w:eastAsia="Arial" w:hAnsi="Arial"/>
          <w:sz w:val="15"/>
          <w:szCs w:val="15"/>
          <w:color w:val="auto"/>
        </w:rPr>
        <w:t xml:space="preserve"> We are also increasing our deployment of flexible, better optimized pricing to cater to different use cases and fulfillment options, charging more for options like priority delivery and less for pickup and next day delivery. Our fulfillment efficiencies result in higher shopper earnings through improvements in batch rate and reduction in time spent per order, which simultaneously translates into lower costs to Instacart. While incremental use cases and fulfillment options could be margin dilutive on their own and may reduce average order value, we believe that the adoption of multiple use cases and fulfillment options deepens our customer engagement and improves retention.</w:t>
      </w:r>
    </w:p>
    <w:p>
      <w:pPr>
        <w:spacing w:after="0" w:line="80" w:lineRule="exact"/>
        <w:rPr>
          <w:rFonts w:ascii="Arial" w:cs="Arial" w:eastAsia="Arial" w:hAnsi="Arial"/>
          <w:sz w:val="15"/>
          <w:szCs w:val="15"/>
          <w:color w:val="auto"/>
        </w:rPr>
      </w:pPr>
    </w:p>
    <w:p>
      <w:pPr>
        <w:ind w:left="1360" w:right="80" w:hanging="498"/>
        <w:spacing w:after="0" w:line="289" w:lineRule="auto"/>
        <w:tabs>
          <w:tab w:leader="none" w:pos="1360"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Operating Expense Efficiencies</w:t>
      </w:r>
      <w:r>
        <w:rPr>
          <w:rFonts w:ascii="Arial" w:cs="Arial" w:eastAsia="Arial" w:hAnsi="Arial"/>
          <w:sz w:val="15"/>
          <w:szCs w:val="15"/>
          <w:color w:val="auto"/>
        </w:rPr>
        <w:t>. We have also demonstrated increased efficiencies in managing our operating expenses, including costs</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associated with customer and shopper support and attracting and onboarding new shoppers, as well as various overhead and occupancy costs. We have historically reduced these costs through economies of scale, automation, business process improvement, and better vendor management. In 2022, we introduced more guardrails around workforce budgeting, including a more rigorous approach to backfilling for attrition. As a result, our overall headcount peaked in the second quarter of 2022 and declined over the next two quarters, reducing our fixed operating cost base. As a result, we improved operations and support expense, general and administrative expense, and research and development expense as a percent of GTV from 3.7%, 2.6%, and 2.5%, respectively, in 2019 to 0.9%, 1.2%, and 1.8%, respectively, in 2022. This strong operating leverage allows us to continue to invest in our research and development and sales and marketing functions to drive overall growth in a disciplined manner to sustain or increase profitability.</w:t>
      </w:r>
    </w:p>
    <w:p>
      <w:pPr>
        <w:spacing w:after="0" w:line="68" w:lineRule="exact"/>
        <w:rPr>
          <w:rFonts w:ascii="Arial" w:cs="Arial" w:eastAsia="Arial" w:hAnsi="Arial"/>
          <w:sz w:val="15"/>
          <w:szCs w:val="15"/>
          <w:color w:val="auto"/>
        </w:rPr>
      </w:pPr>
    </w:p>
    <w:p>
      <w:pPr>
        <w:ind w:left="1360" w:right="40" w:hanging="498"/>
        <w:spacing w:after="0" w:line="238"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Capital Efficiency</w:t>
      </w:r>
      <w:r>
        <w:rPr>
          <w:rFonts w:ascii="Arial" w:cs="Arial" w:eastAsia="Arial" w:hAnsi="Arial"/>
          <w:sz w:val="16"/>
          <w:szCs w:val="16"/>
          <w:color w:val="auto"/>
        </w:rPr>
        <w:t>. We operate an asset-light model that focuses on delivering technology solutions to our retail partners and brand</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We do not carry inventory and do not own a large physical footprint. By enabling and partnering with retailers, we allow millions of customers to shop across a diverse network of retailers and over 80,000 local stores.</w:t>
      </w:r>
      <w:r>
        <w:rPr>
          <w:rFonts w:ascii="Arial" w:cs="Arial" w:eastAsia="Arial" w:hAnsi="Arial"/>
          <w:sz w:val="24"/>
          <w:szCs w:val="24"/>
          <w:color w:val="auto"/>
          <w:vertAlign w:val="superscript"/>
        </w:rPr>
        <w:t>78</w:t>
      </w:r>
      <w:r>
        <w:rPr>
          <w:rFonts w:ascii="Arial" w:cs="Arial" w:eastAsia="Arial" w:hAnsi="Arial"/>
          <w:sz w:val="16"/>
          <w:szCs w:val="16"/>
          <w:color w:val="auto"/>
        </w:rPr>
        <w:t xml:space="preserve"> This capital efficiency is best reflected in our capital expenditures, which remained consistently low as a percent of revenue at 0.7% in 2021 and 0.9%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89535</wp:posOffset>
            </wp:positionV>
            <wp:extent cx="7239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hanging="403"/>
        <w:spacing w:after="0"/>
        <w:tabs>
          <w:tab w:leader="none" w:pos="860" w:val="left"/>
        </w:tabs>
        <w:numPr>
          <w:ilvl w:val="0"/>
          <w:numId w:val="103"/>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03"/>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ind w:left="860" w:hanging="403"/>
        <w:spacing w:after="0"/>
        <w:tabs>
          <w:tab w:leader="none" w:pos="860" w:val="left"/>
        </w:tabs>
        <w:numPr>
          <w:ilvl w:val="0"/>
          <w:numId w:val="103"/>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780"/>
          </w:cols>
          <w:pgMar w:left="320" w:top="440" w:right="79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Our ability to drive profitable growth is also dependent on improving gross profit. Gross profit is an indicator of the growth in our revenue as well as greater efficiencies in costs that impact our revenue and gross profit, such as appeasements and refunds, customer incentives and promotions, shopper earnings, and third-party payment processing fees. The chart below indicates the gross margin improvement from each of these key components from the quarter ended December 31, 2019 to the quarter ended June 30, 2023. We utilized all of these levers to significantly improve our gross profit as a percent of GTV from 0.0% in the quarter ended December 31, 2019 to 7.1% in the quarter ended June 30, 2023. The decrease in cost of revenue between these periods was largely driven by improvements in fulfillment efficiencies, the effects of which are expected to taper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122555</wp:posOffset>
            </wp:positionV>
            <wp:extent cx="4865370" cy="20262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65370" cy="202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The chart below illustrates this expansion on an annual basis. We have grown gross profit (loss) from $(18) million, or (0.3)% of GTV, in 2019 to $1,831 million, or 6.4% of GTV,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128905</wp:posOffset>
            </wp:positionV>
            <wp:extent cx="3128010" cy="27584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28010" cy="275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760"/>
          </w:cols>
          <w:pgMar w:left="320" w:top="440" w:right="81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intend to continue to improve cost efficiencies that impact revenue and gross profit, including by expanding shopper productivity and reducing customer appeasements and refunds. We are continuously calibrating our algorithms to better predict supply and demand dynamics and improve our routing. Our technology efficiently batches orders together to increase shopper earnings while reducing costs per order. As we grow order volume, we believe we can further leverage our technology to reduce the time spent on each order and help shoppers increase accuracy, both of which expand profitability. Greater shopper productivity can result in fewer customer appeasements and refunds, and will lower our rate of cancellations and redeliveries.</w:t>
      </w:r>
    </w:p>
    <w:p>
      <w:pPr>
        <w:spacing w:after="0" w:line="182" w:lineRule="exact"/>
        <w:rPr>
          <w:sz w:val="20"/>
          <w:szCs w:val="20"/>
          <w:color w:val="auto"/>
        </w:rPr>
      </w:pPr>
    </w:p>
    <w:p>
      <w:pPr>
        <w:ind w:left="460" w:right="100" w:firstLine="413"/>
        <w:spacing w:after="0" w:line="270" w:lineRule="auto"/>
        <w:rPr>
          <w:sz w:val="20"/>
          <w:szCs w:val="20"/>
          <w:color w:val="auto"/>
        </w:rPr>
      </w:pPr>
      <w:r>
        <w:rPr>
          <w:rFonts w:ascii="Arial" w:cs="Arial" w:eastAsia="Arial" w:hAnsi="Arial"/>
          <w:sz w:val="16"/>
          <w:szCs w:val="16"/>
          <w:color w:val="auto"/>
        </w:rPr>
        <w:t>We expect these factors will help us continue to increase our margin and profitability. However, we expect the pace of gross profit expansion to taper in the future. Recent trends were driven in large part by the benefits from optimization of customer fees and the realization of fulfillment efficiencies that increased transaction revenue, which benefits are expected to decelerate in the future, as well as the increase in advertising and other revenue from increased advertising volume. While gross margin trends are affected by a variety of factors, including efficiencies in cost of revenue, we expect gross margin expansion to taper in the future as growth in transaction revenue begins to align more closely with growth in GTV. As we continue to expand across fulfillment options and consumer use cases, we also expect to incur additional types of costs, such as certain labor costs, that can impact both our cost of revenue and profitability trends in the future.</w:t>
      </w:r>
    </w:p>
    <w:p>
      <w:pPr>
        <w:spacing w:after="0" w:line="172"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Our customer cohorts also exhibit our ability to scale our unit economics and generate strong gross profit expansion over time. The chart below depicts the average behavior of our 2019, 2020, 2021, and 2022 monthly customer cohorts, weighted by the size of each cohort on the basis of monthly active orderers. Average monthly gross profit per monthly active orderer increased from approximately $9 in the year of a customer’s first order to $25 by year four.</w:t>
      </w:r>
    </w:p>
    <w:p>
      <w:pPr>
        <w:spacing w:after="0" w:line="179" w:lineRule="exact"/>
        <w:rPr>
          <w:sz w:val="20"/>
          <w:szCs w:val="20"/>
          <w:color w:val="auto"/>
        </w:rPr>
      </w:pPr>
    </w:p>
    <w:p>
      <w:pPr>
        <w:ind w:left="460" w:right="100" w:firstLine="413"/>
        <w:spacing w:after="0" w:line="288" w:lineRule="auto"/>
        <w:rPr>
          <w:sz w:val="20"/>
          <w:szCs w:val="20"/>
          <w:color w:val="auto"/>
        </w:rPr>
      </w:pPr>
      <w:r>
        <w:rPr>
          <w:rFonts w:ascii="Arial" w:cs="Arial" w:eastAsia="Arial" w:hAnsi="Arial"/>
          <w:sz w:val="15"/>
          <w:szCs w:val="15"/>
          <w:color w:val="auto"/>
        </w:rPr>
        <w:t>We have demonstrated our ability to grow gross profit at a significantly higher rate than GTV. Gross profit expansion is driven, in part, by customer behavior, with average order value and order frequency increasing over time by cohort. Larger order values tend to be more profitable, as the advertising opportunity increases with more items in an order and costs such as hosting, cancellations, and redeliveries are allocated across a larger average order value. Gross profit expansion is also driven by strategic decisions we have made that have diversified our revenue streams, grown our advertising and other investment rate, optimized customer fees and incentives, improved batching technology, increased shopper productivity, reduced appeasements, decreased the number of in-store shoppers, and reduced third-party payment processing fees as a percent of GTV. We expect the growth trends for our customer cohorts to be tempered in the near term primarily due to the reasons described in the section titled “—Generate More Orders,” which have impacted and could continue to impact the retention and engagement of customers in these cohorts. Additionally, we expect the pace of gross profit expansion to taper in the future, as described above. However, for the reasons set forth above, we believe that we can continue growing our average monthly gross profit per monthly active orderer across all of our cohorts over time.</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780"/>
          </w:cols>
          <w:pgMar w:left="320" w:top="440" w:right="79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4728210" cy="2307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28210" cy="230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0" w:right="20" w:hanging="403"/>
        <w:spacing w:after="0" w:line="228" w:lineRule="auto"/>
        <w:tabs>
          <w:tab w:leader="none" w:pos="860" w:val="left"/>
        </w:tabs>
        <w:numPr>
          <w:ilvl w:val="0"/>
          <w:numId w:val="104"/>
        </w:numPr>
        <w:rPr>
          <w:rFonts w:ascii="Arial" w:cs="Arial" w:eastAsia="Arial" w:hAnsi="Arial"/>
          <w:sz w:val="10"/>
          <w:szCs w:val="10"/>
          <w:color w:val="auto"/>
        </w:rPr>
      </w:pPr>
      <w:r>
        <w:rPr>
          <w:rFonts w:ascii="Arial" w:cs="Arial" w:eastAsia="Arial" w:hAnsi="Arial"/>
          <w:sz w:val="13"/>
          <w:szCs w:val="13"/>
          <w:color w:val="auto"/>
        </w:rPr>
        <w:t>For each year, the dollar value represents average monthly gross profit per monthly active orderer for the 2019, 2020, 2021, and 2022 monthly cohorts, weighted by the size of each cohort on the basis of monthly active orderers. For example, “Year 1” reflects the first year of results for the 2019, 2020, 2021, and 2022 customer cohorts while “Year 3” reflects the results for only the 2019 and 2020 customer cohorts. Average monthly gross profit per monthly active orderer for each cohort in a given year is calculated by determining the gross profit per monthly active orderer for each calendar month and averaging each monthly gross profit per monthly active orderer, weighted on the basis of the monthly active orderers for each month. For purposes of the chart above, a monthly active orderer is a customer who places at least one order on Instacart in any particular month in that customer’s year of activation. Each monthly active orderer belongs in the annual cohort in which that customer made an initial order. Multiple accounts using a single phone number count as a single customer in the annual cohort when the customer placed the first order across the accounts. For each month in which a monthly active orderer places at least one order, that customer is included as a single monthly active orderer for purposes of calculating average gross profit per monthly active orderer for that month. Percent of GTV is calculated as average monthly gross profit per monthly active orderer (2019 - 2022 monthly customer cohorts) divided by the average monthly GTV per monthly active orderer (2019 - 2022 monthly customer cohorts) in the same given year.</w:t>
      </w:r>
    </w:p>
    <w:p>
      <w:pPr>
        <w:spacing w:after="0" w:line="181"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In addition, the chart below demonstrates our ability to improve the gross profit of our customer cohorts year-over-year compared to their first year on Instacart. Gross profit as a percent of GTV for both the 2019 and 2020 cohorts illustrates this improvement, expanding from (1.0)% in Year 1 to 6.5% by Year 4 for the 2019 cohort, and from 4.5% in Year 1 to 6.2% in Year 3 for the 2020 cohort. Since our 2020 cohort, we have been able to achieve positive gross profit in our customer cohorts’ first year with Instacart. Our business has been and may continue to be adversely impacted by market and economic factors as well as the subsiding effects of the COVID-19 pandemic on demand for online grocery, which has adversely impacted the retention and engagement of our customer cohorts acquired during the COVID-19 pandemic and variant outbreaks. These impacts and our focus on profitable growth over time may result in fluctuations in gross profit. Despite this, we believe we have crossed a critical scale threshold that significantly improves our ability to consistently achieve positive gross profit, driven by diversified revenue streams and numerous cost efficiencies. In fact, our 2021 and 2022 cohorts exhibited comparatively high gross profit. Our 2021 cohort has expanded to 6.2% gross profit as a percentage of GTV by Year 2—a level our 2019 and 2020 cohorts did not reach until Year 4 and Year 3, respectively. Our 2022 cohort has exhibited the highest gross profit as a percentage of GTV in Year 1 at 5.3%, demonstrating our ability to drive more profitable cohorts as we have scaled.</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780"/>
          </w:cols>
          <w:pgMar w:left="320" w:top="440" w:right="79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93345</wp:posOffset>
            </wp:positionV>
            <wp:extent cx="4865370" cy="2227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65370" cy="222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460" w:right="280" w:firstLine="413"/>
        <w:spacing w:after="0" w:line="260" w:lineRule="auto"/>
        <w:rPr>
          <w:sz w:val="20"/>
          <w:szCs w:val="20"/>
          <w:color w:val="auto"/>
        </w:rPr>
      </w:pPr>
      <w:r>
        <w:rPr>
          <w:rFonts w:ascii="Arial" w:cs="Arial" w:eastAsia="Arial" w:hAnsi="Arial"/>
          <w:sz w:val="17"/>
          <w:szCs w:val="17"/>
          <w:color w:val="auto"/>
        </w:rPr>
        <w:t>As shown below, this expansion trend continued in the first six months of 2023, where gross profit by cohort increased for every cohort when compared to the prior period, with each cohort achieving the highest gross profit as a percent of GTV in the first six months of 2023. See the section titled “—Our Performance in the Six Months Ended June 30, 2023”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207645</wp:posOffset>
            </wp:positionV>
            <wp:extent cx="4865370" cy="22599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65370" cy="225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In addition to the costs that impact our revenue and gross profit, we incur other costs that impact our operating profit, including costs of customer and shopper support, the cost of attracting and onboarding new shoppers, and various overhead and occupancy costs. We have historically improved these costs through economies of scale, automation, business process improvement, and better vendor management. As a result, we improved operations and support expense and general and administrative expense as a percent of GTV from 3.7% and 2.6%, respectively, in 2019 to 0.9% and 1.2%, respectively, in 2022.</w:t>
      </w:r>
    </w:p>
    <w:p>
      <w:pPr>
        <w:spacing w:after="0" w:line="3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760"/>
          </w:cols>
          <w:pgMar w:left="320" w:top="440" w:right="81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1929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8950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Re-Invest for Growth</w:t>
      </w:r>
    </w:p>
    <w:p>
      <w:pPr>
        <w:spacing w:after="0" w:line="210" w:lineRule="exact"/>
        <w:rPr>
          <w:sz w:val="20"/>
          <w:szCs w:val="20"/>
          <w:color w:val="auto"/>
        </w:rPr>
      </w:pPr>
    </w:p>
    <w:p>
      <w:pPr>
        <w:ind w:left="460" w:right="120" w:firstLine="413"/>
        <w:spacing w:after="0" w:line="284" w:lineRule="auto"/>
        <w:rPr>
          <w:sz w:val="20"/>
          <w:szCs w:val="20"/>
          <w:color w:val="auto"/>
        </w:rPr>
      </w:pPr>
      <w:r>
        <w:rPr>
          <w:rFonts w:ascii="Arial" w:cs="Arial" w:eastAsia="Arial" w:hAnsi="Arial"/>
          <w:sz w:val="16"/>
          <w:szCs w:val="16"/>
          <w:color w:val="auto"/>
        </w:rPr>
        <w:t>The strength of our historical customer cohorts and our proven and scaling unit economics have allowed us to re-invest in supporting our growth, in particular in sales and marketing and research and development. We plan to continue to re-invest in our business to ensure the strengthening of the compelling value proposition we offer to our retail partners, customers, brand partners, and shoppers.</w:t>
      </w:r>
    </w:p>
    <w:p>
      <w:pPr>
        <w:spacing w:after="0" w:line="157"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color w:val="auto"/>
        </w:rPr>
        <w:t>The charts below show the increase in our customer marketing expense and customer incentives and promotions, collectively referred to as our customer acquisition costs, since 2019 and for the first six months of 2022 and 2023. Customer marketing expense includes paid marketing, brand marketing, and headcount costs related to consumer marketing, which are recorded in sales and marketing expense. Customer incentives and promotions include marketing coupons and referral credits to new customers and are recorded as a reduction of revenue. We also at times offer waived first delivery fees, which reduce the total customer fees we collect but are not included in customer acquisition costs.</w:t>
      </w:r>
    </w:p>
    <w:p>
      <w:pPr>
        <w:spacing w:after="0" w:line="165" w:lineRule="exact"/>
        <w:rPr>
          <w:sz w:val="20"/>
          <w:szCs w:val="20"/>
          <w:color w:val="auto"/>
        </w:rPr>
      </w:pPr>
    </w:p>
    <w:p>
      <w:pPr>
        <w:ind w:left="460" w:right="100" w:firstLine="413"/>
        <w:spacing w:after="0" w:line="269" w:lineRule="auto"/>
        <w:rPr>
          <w:sz w:val="20"/>
          <w:szCs w:val="20"/>
          <w:color w:val="auto"/>
        </w:rPr>
      </w:pPr>
      <w:r>
        <w:rPr>
          <w:rFonts w:ascii="Arial" w:cs="Arial" w:eastAsia="Arial" w:hAnsi="Arial"/>
          <w:sz w:val="16"/>
          <w:szCs w:val="16"/>
          <w:color w:val="auto"/>
        </w:rPr>
        <w:t>In order to reach more customers and generate more orders for our retail partners, we have increased our customer acquisition costs by approximately $500 million between in 2022 compared to 2019. In 2019, our gross profit was negative, and our unit economics were not mature. As a result, we did not make significant investments in customer acquisition. In 2020, we saw a dramatic increase in demand due to the COVID-19 pandemic, which brought customers organically to Instacart. Beginning in 2021 and 2022, we gained increasing confidence in our improving unit economics, as evidenced by gross profit increasing to 4.9% and 6.4% of GTV, respectively. These results, along with efficiencies in our marketing channels, have allowed us to confidently increase our customer acquisition budgets to grow our customer base. This trend continued into the first six months of 2023, during which we expanded our gross profit as a percent of GTV to 7.4% from 5.4% in the first six months of 2022. During this period, we also increased customer acquisition spend as a percent of GTV compared to the same period in 2022 to attract new customers to Instacart, reengage customers that have stopped using Instacart, and increase engagement of existing customers.</w:t>
      </w:r>
    </w:p>
    <w:p>
      <w:pPr>
        <w:spacing w:after="0" w:line="170"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While our business has scaled significantly, we continue to believe we are early in our opportunity. We believe the strength of our brand enables us to attract customers to Instacart on an organic basis. Our retailers’ brands also attract customers to their owned and operated online storefronts that are powered by Instacart Enterprise Platform. In addition, we intend to invest in ongoing customer acquisition spend across categories, including customer incentives and promotions, performance marketing, demand generation partnerships, and brand development to attract new customers, reengage customers that have stopped using Instacart, and increase customer engagement. We expect that such expenses will continue to increase on an absolute dollar basis and be one of our largest expenses in the near term.</w:t>
      </w: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800"/>
          </w:cols>
          <w:pgMar w:left="320" w:top="440" w:right="77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As we continue to increase our customer acquisition cost, we are focused on ensuring that each additional dollar of spend yields a positive return on investment. We achieve this by taking a rigorous approach to customer acquisition spend that enables us to invest up to efficiency guardrails that are based on years of historical cohort behavior. As we invest up to these guardrails, we are doing this more efficiently via better marketing strategies and by optimizing spend across a variety of performance channels. At the same time, we continuously make product enhancements to improve the customer experience, which we believe drives stronger customer engagement and retention. Together, this drives greater gross profit as a percentage of GTV and allows us to further optimize our customer marketing efficiencies.</w:t>
      </w:r>
    </w:p>
    <w:p>
      <w:pPr>
        <w:spacing w:after="0" w:line="167"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In addition, while increases in customer acquisition costs that have longer time horizons, such as incentives and promotions as well as brand marketing campaigns, may initially have a negative impact on our profitability, we believe that these investments will drive increased engagement from existing customers and enable us to attract new customers to Instacart.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62865</wp:posOffset>
            </wp:positionV>
            <wp:extent cx="5460365" cy="2211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603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0" w:right="440" w:hanging="403"/>
        <w:spacing w:after="0" w:line="260" w:lineRule="auto"/>
        <w:tabs>
          <w:tab w:leader="none" w:pos="8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Excludes waived first delivery fees as the absence of such fees reduce the revenue otherwise recognized from a transaction and therefore are not recorded as contra revenue nor expense. These fees are viewed and managed by us as part of our overall revenue performance as opposed to costs.</w:t>
      </w:r>
    </w:p>
    <w:p>
      <w:pPr>
        <w:spacing w:after="0" w:line="163" w:lineRule="exact"/>
        <w:rPr>
          <w:sz w:val="20"/>
          <w:szCs w:val="20"/>
          <w:color w:val="auto"/>
        </w:rPr>
      </w:pPr>
    </w:p>
    <w:p>
      <w:pPr>
        <w:ind w:left="460" w:right="80" w:firstLine="413"/>
        <w:spacing w:after="0" w:line="290" w:lineRule="auto"/>
        <w:rPr>
          <w:sz w:val="20"/>
          <w:szCs w:val="20"/>
          <w:color w:val="auto"/>
        </w:rPr>
      </w:pPr>
      <w:r>
        <w:rPr>
          <w:rFonts w:ascii="Arial" w:cs="Arial" w:eastAsia="Arial" w:hAnsi="Arial"/>
          <w:sz w:val="15"/>
          <w:szCs w:val="15"/>
          <w:color w:val="auto"/>
        </w:rPr>
        <w:t>Our main value proposition to retailers is our end-to-end technology solution that is custom-built for online grocery, and our success is dependent on our ability to sustain product and technology innovation to better serve all of our constituents. To support such innovation, we have increased our research and development expense by 308% from $127 million in 2019 to $518 million in 2022. In 2021 and 2022, our research and development expense increased primarily as a result of rapid scaling of headcount. In the second half of 2022, we took a disciplined approach to research and development expense and focused on driving more efficiencies in our research and development function. We expect our research and development expense to continue increasing on an absolute dollar basis for the foreseeable future, including as we continue to build additional products, services, features, and functionalities that improve and broaden our capabilities and enhance our value proposition. We plan to continue taking a disciplined approach to research and development expense and focus on driving more efficiencies in our research and development function.</w:t>
      </w:r>
    </w:p>
    <w:p>
      <w:pPr>
        <w:spacing w:after="0" w:line="32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780"/>
          </w:cols>
          <w:pgMar w:left="320" w:top="440" w:right="79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93345</wp:posOffset>
            </wp:positionV>
            <wp:extent cx="3055620" cy="21151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55620"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Disciplined Equity Compensation and Dilution Management</w:t>
      </w:r>
    </w:p>
    <w:p>
      <w:pPr>
        <w:spacing w:after="0" w:line="108" w:lineRule="exact"/>
        <w:rPr>
          <w:sz w:val="20"/>
          <w:szCs w:val="20"/>
          <w:color w:val="auto"/>
        </w:rPr>
      </w:pPr>
    </w:p>
    <w:p>
      <w:pPr>
        <w:ind w:left="460" w:firstLine="413"/>
        <w:spacing w:after="0" w:line="251" w:lineRule="auto"/>
        <w:rPr>
          <w:sz w:val="20"/>
          <w:szCs w:val="20"/>
          <w:color w:val="auto"/>
        </w:rPr>
      </w:pPr>
      <w:r>
        <w:rPr>
          <w:rFonts w:ascii="Arial" w:cs="Arial" w:eastAsia="Arial" w:hAnsi="Arial"/>
          <w:sz w:val="17"/>
          <w:szCs w:val="17"/>
          <w:color w:val="auto"/>
        </w:rPr>
        <w:t>We have granted equity awards consisting primarily of restricted stock units and stock options to our employees, our board of directors, and certain non-employees. The substantial majority of our equity awards have been made to employees. We believe that it is important to have equity as a component of our overall compensation program, as it fosters an ownership culture within Instacart and helps align the interests of our employees with business outcomes, while exercising discipline to manage the dilutive impact of equity compensation. We have also improved our operating cash flow generation, generating $242 million in the first six months of 2023 compared to $99 million in the same six months of 2022. Our strong and growing cash position enables us to offer cash alternatives to employees while allowing us to optimize our decisions to minimize dilution. For example, in April 2023, we offered employees the option to elect cash in lieu of a portion of certain equity awards. As a result, in the first six months of 2023, we reduced the grant-date fair value of equity issued in the period to $314 million compared to $716 million in the first six months of 2022, as outlined in the table below.</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RSUs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63"/>
              <w:spacing w:after="0"/>
              <w:rPr>
                <w:sz w:val="20"/>
                <w:szCs w:val="20"/>
                <w:color w:val="auto"/>
              </w:rPr>
            </w:pPr>
            <w:r>
              <w:rPr>
                <w:rFonts w:ascii="Arial" w:cs="Arial" w:eastAsia="Arial" w:hAnsi="Arial"/>
                <w:sz w:val="13"/>
                <w:szCs w:val="13"/>
                <w:b w:val="1"/>
                <w:bCs w:val="1"/>
                <w:color w:val="auto"/>
              </w:rPr>
              <w:t>Fair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Total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4"/>
              </w:rPr>
              <w:t>of RSUs</w:t>
            </w:r>
          </w:p>
        </w:tc>
        <w:tc>
          <w:tcPr>
            <w:tcW w:w="0" w:type="dxa"/>
            <w:vAlign w:val="bottom"/>
          </w:tcPr>
          <w:p>
            <w:pPr>
              <w:spacing w:after="0"/>
              <w:rPr>
                <w:sz w:val="1"/>
                <w:szCs w:val="1"/>
                <w:color w:val="auto"/>
              </w:rPr>
            </w:pPr>
          </w:p>
        </w:tc>
      </w:tr>
      <w:tr>
        <w:trPr>
          <w:trHeight w:val="139"/>
        </w:trPr>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Period Covered</w:t>
            </w:r>
          </w:p>
        </w:tc>
        <w:tc>
          <w:tcPr>
            <w:tcW w:w="386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Granted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3"/>
              <w:spacing w:after="0" w:line="139" w:lineRule="exact"/>
              <w:rPr>
                <w:sz w:val="20"/>
                <w:szCs w:val="20"/>
                <w:color w:val="auto"/>
              </w:rPr>
            </w:pPr>
            <w:r>
              <w:rPr>
                <w:rFonts w:ascii="Arial" w:cs="Arial" w:eastAsia="Arial" w:hAnsi="Arial"/>
                <w:sz w:val="13"/>
                <w:szCs w:val="13"/>
                <w:b w:val="1"/>
                <w:bCs w:val="1"/>
                <w:color w:val="auto"/>
              </w:rPr>
              <w:t>Market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6"/>
              </w:rPr>
              <w:t>Granted</w:t>
            </w:r>
          </w:p>
        </w:tc>
        <w:tc>
          <w:tcPr>
            <w:tcW w:w="0" w:type="dxa"/>
            <w:vAlign w:val="bottom"/>
          </w:tcPr>
          <w:p>
            <w:pPr>
              <w:spacing w:after="0"/>
              <w:rPr>
                <w:sz w:val="1"/>
                <w:szCs w:val="1"/>
                <w:color w:val="auto"/>
              </w:rPr>
            </w:pPr>
          </w:p>
        </w:tc>
      </w:tr>
      <w:tr>
        <w:trPr>
          <w:trHeight w:val="167"/>
        </w:trPr>
        <w:tc>
          <w:tcPr>
            <w:tcW w:w="920" w:type="dxa"/>
            <w:vAlign w:val="bottom"/>
            <w:gridSpan w:val="2"/>
            <w:vMerge w:val="continue"/>
          </w:tcPr>
          <w:p>
            <w:pPr>
              <w:spacing w:after="0"/>
              <w:rPr>
                <w:sz w:val="14"/>
                <w:szCs w:val="14"/>
                <w:color w:val="auto"/>
              </w:rPr>
            </w:pPr>
          </w:p>
        </w:tc>
        <w:tc>
          <w:tcPr>
            <w:tcW w:w="4700" w:type="dxa"/>
            <w:vAlign w:val="bottom"/>
            <w:gridSpan w:val="2"/>
          </w:tcPr>
          <w:p>
            <w:pPr>
              <w:jc w:val="center"/>
              <w:ind w:left="3760"/>
              <w:spacing w:after="0" w:line="147" w:lineRule="exact"/>
              <w:rPr>
                <w:sz w:val="20"/>
                <w:szCs w:val="20"/>
                <w:color w:val="auto"/>
              </w:rPr>
            </w:pPr>
            <w:r>
              <w:rPr>
                <w:rFonts w:ascii="Arial" w:cs="Arial" w:eastAsia="Arial" w:hAnsi="Arial"/>
                <w:sz w:val="13"/>
                <w:szCs w:val="13"/>
                <w:b w:val="1"/>
                <w:bCs w:val="1"/>
                <w:color w:val="auto"/>
                <w:w w:val="96"/>
              </w:rPr>
              <w:t>(in millions)</w:t>
            </w:r>
            <w:r>
              <w:rPr>
                <w:rFonts w:ascii="Arial" w:cs="Arial" w:eastAsia="Arial" w:hAnsi="Arial"/>
                <w:sz w:val="10"/>
                <w:szCs w:val="10"/>
                <w:b w:val="1"/>
                <w:bCs w:val="1"/>
                <w:color w:val="auto"/>
                <w:w w:val="96"/>
              </w:rPr>
              <w:t>(1)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3"/>
              <w:spacing w:after="0" w:line="147" w:lineRule="exact"/>
              <w:rPr>
                <w:sz w:val="20"/>
                <w:szCs w:val="20"/>
                <w:color w:val="auto"/>
              </w:rPr>
            </w:pPr>
            <w:r>
              <w:rPr>
                <w:rFonts w:ascii="Arial" w:cs="Arial" w:eastAsia="Arial" w:hAnsi="Arial"/>
                <w:sz w:val="13"/>
                <w:szCs w:val="13"/>
                <w:b w:val="1"/>
                <w:bCs w:val="1"/>
                <w:color w:val="auto"/>
                <w:w w:val="92"/>
              </w:rPr>
              <w:t>Value</w:t>
            </w:r>
          </w:p>
        </w:tc>
        <w:tc>
          <w:tcPr>
            <w:tcW w:w="1580" w:type="dxa"/>
            <w:vAlign w:val="bottom"/>
            <w:gridSpan w:val="4"/>
          </w:tcPr>
          <w:p>
            <w:pPr>
              <w:jc w:val="center"/>
              <w:ind w:left="580"/>
              <w:spacing w:after="0" w:line="147" w:lineRule="exact"/>
              <w:rPr>
                <w:sz w:val="20"/>
                <w:szCs w:val="20"/>
                <w:color w:val="auto"/>
              </w:rPr>
            </w:pPr>
            <w:r>
              <w:rPr>
                <w:rFonts w:ascii="Arial" w:cs="Arial" w:eastAsia="Arial" w:hAnsi="Arial"/>
                <w:sz w:val="13"/>
                <w:szCs w:val="13"/>
                <w:b w:val="1"/>
                <w:bCs w:val="1"/>
                <w:color w:val="auto"/>
                <w:w w:val="93"/>
              </w:rPr>
              <w:t>(in millions)</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2021</w:t>
            </w:r>
          </w:p>
        </w:tc>
        <w:tc>
          <w:tcPr>
            <w:tcW w:w="38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18.3</w:t>
            </w: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120.02</w:t>
            </w: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2,191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2022</w:t>
            </w:r>
          </w:p>
        </w:tc>
        <w:tc>
          <w:tcPr>
            <w:tcW w:w="4700" w:type="dxa"/>
            <w:vAlign w:val="bottom"/>
            <w:gridSpan w:val="2"/>
          </w:tcPr>
          <w:p>
            <w:pPr>
              <w:jc w:val="right"/>
              <w:spacing w:after="0"/>
              <w:rPr>
                <w:sz w:val="20"/>
                <w:szCs w:val="20"/>
                <w:color w:val="auto"/>
              </w:rPr>
            </w:pPr>
            <w:r>
              <w:rPr>
                <w:rFonts w:ascii="Arial" w:cs="Arial" w:eastAsia="Arial" w:hAnsi="Arial"/>
                <w:sz w:val="17"/>
                <w:szCs w:val="17"/>
                <w:color w:val="auto"/>
              </w:rPr>
              <w:t>25.2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46.08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H1’2022</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H1’2023</w:t>
            </w:r>
          </w:p>
        </w:tc>
        <w:tc>
          <w:tcPr>
            <w:tcW w:w="470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35.72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81280</wp:posOffset>
            </wp:positionV>
            <wp:extent cx="7239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0" w:lineRule="exact"/>
        <w:rPr>
          <w:sz w:val="20"/>
          <w:szCs w:val="20"/>
          <w:color w:val="auto"/>
        </w:rPr>
      </w:pPr>
    </w:p>
    <w:p>
      <w:pPr>
        <w:ind w:left="860" w:hanging="403"/>
        <w:spacing w:after="0"/>
        <w:tabs>
          <w:tab w:leader="none" w:pos="8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Figures shows above are not net of forfeitures.</w:t>
      </w:r>
    </w:p>
    <w:p>
      <w:pPr>
        <w:spacing w:after="0" w:line="397"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Key Business and Non-GAAP Metrics</w:t>
      </w:r>
    </w:p>
    <w:p>
      <w:pPr>
        <w:spacing w:after="0" w:line="214"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We use the following key business and non-GAAP metrics to help us evaluate our business, identify trends affecting our performance, formulate business plans, and make strategic decisions.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Key Business Metrics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Orders</w:t>
      </w:r>
    </w:p>
    <w:p>
      <w:pPr>
        <w:spacing w:after="0" w:line="108" w:lineRule="exact"/>
        <w:rPr>
          <w:sz w:val="20"/>
          <w:szCs w:val="20"/>
          <w:color w:val="auto"/>
        </w:rPr>
      </w:pPr>
    </w:p>
    <w:p>
      <w:pPr>
        <w:ind w:left="460" w:right="280" w:firstLine="413"/>
        <w:spacing w:after="0" w:line="256" w:lineRule="auto"/>
        <w:rPr>
          <w:sz w:val="20"/>
          <w:szCs w:val="20"/>
          <w:color w:val="auto"/>
        </w:rPr>
      </w:pPr>
      <w:r>
        <w:rPr>
          <w:rFonts w:ascii="Arial" w:cs="Arial" w:eastAsia="Arial" w:hAnsi="Arial"/>
          <w:sz w:val="17"/>
          <w:szCs w:val="17"/>
          <w:color w:val="auto"/>
        </w:rPr>
        <w:t>We define an order as a completed customer transaction to purchase goods for delivery or pickup from a single retailer on Instacart during the period indicated, including those completed through Instacart Marketplace or retailers’ owned and operated online storefronts that are powered by Instacart Enterprise Platform. We believe that orders are an indicator of the scale and growth of our business as well as the value we bring to our constituents.</w:t>
      </w:r>
    </w:p>
    <w:p>
      <w:pPr>
        <w:spacing w:after="0" w:line="11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720"/>
          </w:cols>
          <w:pgMar w:left="320" w:top="440" w:right="85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Orders increased 245% from 2019 to 2020, 30% from 2020 to 2021, and 18% from 2021 to 2022 as we added new customers and increased engagement from existing customers. The COVID-19 pandemic significantly accelerated new order volume beginning at the end of the first quarter of 2020 through the first quarter of 2021. In the first quarter of 2023, orders decreased 2% compared to the same quarter in 2022, during which we experienced an elevated number of COVID-influenced orders due to the Omicron variant. The decline in COVID-influenced orders in the second quarter of 2022 allowed for a more normalized year-over-year comparison for the same quarter in 2023, during which orders increased by 3%. Order volumes have also been, and continue to be, adversely impacted by the effects of macroeconomic conditions, including heightened inflation and rising interest rates, as well as the cessation of government stimulus programs. While we do not expect our pandemic-accelerated order volume growth rate to recur in future periods, we believe we can generate profitable growth in order volume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123190</wp:posOffset>
            </wp:positionV>
            <wp:extent cx="4889500" cy="19704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89500"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Gross Transaction Value (GTV)</w:t>
      </w:r>
    </w:p>
    <w:p>
      <w:pPr>
        <w:spacing w:after="0" w:line="108"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We define GTV as the value of the products sold based on prices shown on Instacart, applicable taxes, deposits, other local fees, customer tips, which go directly to shoppers, and fees, which include flat subscription fees related to Instacart+ that are charged monthly or annually. GTV consists of orders completed through Instacart Marketplace or services that are part of the Instacart Enterprise Platform. GTV consists of orders completed through Instacart Marketplace or services that are part of the Instacart Enterprise Platform. We believe that GTV indicates the health of our business, including our ability to drive revenue and profits, and the value we provide to our constituents.</w:t>
      </w:r>
    </w:p>
    <w:p>
      <w:pPr>
        <w:spacing w:after="0" w:line="165"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GTV increased 303% from 2019 to 2020, 20% from 2020 to 2021, and 16% from 2021 to 2022 as we added new customers and increased engagement from existing customers. The COVID-19 pandemic significantly accelerated new order volume beginning at the end of the first quarter of 2020 through the first quarter of 2021. In the first quarter of 2023, GTV grew 3% compared to the same period in 2022 as the increase in average order value offset a decline in orders, and this growth increased to 6% for the second quarter of 2023 compared to the same period in 2022. GTV grew more quickly than orders in 2020 due to elevated average order values, more slowly than orders in 2021 and 2022 as average order values normalized, and more quickly than orders in the first and second quarters of 2023 as average order values increased over the same time periods in 2022. GTV has grown more slowly than revenue since 2020 because it does not reflect the growth of advertising and other revenue or efficiency improvements like higher batch rate. GTV and average order values have also been, and continue to be, negatively impacted by the factors described in the section titled “—Our Financial Model—Core Principals of Our Financial Model—Generate More Orders.” While we do not expect our pandemic-accelerated GTV growth rate to recur in future periods, we believe we can generate profitable growth in GTV over time, as further described in “—Core Principals of Our Financial Model—Drivers of Profitability.”</w:t>
      </w:r>
    </w:p>
    <w:p>
      <w:pPr>
        <w:spacing w:after="0" w:line="10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720"/>
          </w:cols>
          <w:pgMar w:left="320" w:top="440" w:right="85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19862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9500"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Gross Profit and Gross Margin</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Gross profit is defined as revenue less cost of revenue, and gross margin is defined as gross profit as a percent of revenue. We believe that gross profit and gross margin are important indicators of the growth and efficiencies of our business. Gross profit and gross margin have experienced significant growth since 2019 due to diversified revenue streams, growth in our advertising and other investment rate, numerous cost efficiencies, and economies of scale. This can be seen in the improvement in gross margin in the first and second quarters of 2023 of 7.8% and 7.1% of GTV or 77% and 74% of revenue, respectively, versus 4.5% and 6.2% or 65% and 71%, respectively, for the same periods in 2022. However, we expect the rate of gross profit growth and gross margin expansion to taper in the future as the benefits of certain cost efficiencies decelerate, and we continue to invest in customer incentives and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133350</wp:posOffset>
            </wp:positionV>
            <wp:extent cx="4865370" cy="2074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6537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08" w:lineRule="exact"/>
        <w:rPr>
          <w:sz w:val="20"/>
          <w:szCs w:val="20"/>
          <w:color w:val="auto"/>
        </w:rPr>
      </w:pPr>
    </w:p>
    <w:p>
      <w:pPr>
        <w:ind w:left="460" w:right="400" w:firstLine="413"/>
        <w:spacing w:after="0" w:line="340" w:lineRule="auto"/>
        <w:rPr>
          <w:sz w:val="20"/>
          <w:szCs w:val="20"/>
          <w:color w:val="auto"/>
        </w:rPr>
      </w:pPr>
      <w:r>
        <w:rPr>
          <w:rFonts w:ascii="Arial" w:cs="Arial" w:eastAsia="Arial" w:hAnsi="Arial"/>
          <w:sz w:val="15"/>
          <w:szCs w:val="15"/>
          <w:color w:val="auto"/>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20"/>
          </w:cols>
          <w:pgMar w:left="320" w:top="440" w:right="85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We use Adjusted EBITDA, Adjusted EBITDA as a percent of GTV, Adjusted EBITDA margin, adjusted cost of revenue, adjusted operations and support expense, adjusted research and development expense, adjusted sales and marketing expense, and adjusted general and administrative expense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financial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financial measures to assist investors in seeing our business and financial performance through the eyes of management, and because we believe that these non-GAAP financial measures provide an additional tool for investors to use in comparing results of operations of our business over multiple periods with other companies in our industry.</w:t>
      </w:r>
    </w:p>
    <w:p>
      <w:pPr>
        <w:spacing w:after="0" w:line="157"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in our consolidated statements of operations. Thus, our Adjusted EBITDA, Adjusted EBITDA as a percent of GTV, Adjusted EBITDA margin, adjusted cost of revenue, adjusted operations and support expense, adjusted research and development expense, adjusted sales and marketing expense, and adjusted general and administrative expense should be considered in addition to, not as substitutes for, or in isolation from, measures prepared in accordance with GAAP.</w:t>
      </w:r>
    </w:p>
    <w:p>
      <w:pPr>
        <w:spacing w:after="0" w:line="182" w:lineRule="exact"/>
        <w:rPr>
          <w:sz w:val="20"/>
          <w:szCs w:val="20"/>
          <w:color w:val="auto"/>
        </w:rPr>
      </w:pPr>
    </w:p>
    <w:p>
      <w:pPr>
        <w:ind w:left="460" w:right="120" w:firstLine="413"/>
        <w:spacing w:after="0" w:line="301" w:lineRule="auto"/>
        <w:rPr>
          <w:sz w:val="20"/>
          <w:szCs w:val="20"/>
          <w:color w:val="auto"/>
        </w:rPr>
      </w:pPr>
      <w:r>
        <w:rPr>
          <w:rFonts w:ascii="Arial" w:cs="Arial" w:eastAsia="Arial" w:hAnsi="Arial"/>
          <w:sz w:val="15"/>
          <w:szCs w:val="15"/>
          <w:color w:val="auto"/>
        </w:rPr>
        <w:t>We encourage investors and others to review our business, results of operations, and financial information in their entirety, not to rely on any single financial measure, and to view Adjusted EBITDA, Adjusted EBITDA as a percent of GTV, Adjusted EBITDA margin, adjusted cost of revenue, adjusted operations and support expense, adjusted research and development expense, adjusted sales and marketing expense, and adjusted general and administrative expense in conjunction with their respective most directly comparable financial measure calculated in accordance with GAAP.</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EBITDA, Adjusted EBITDA as a Percent of GTV, and Adjusted EBITDA Margin</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define Adjusted EBITDA as net income (loss), adjusted to exclude (i) provision for (benefit from) income taxes, (ii) interest income, (iii) other income (expense), net, (iv) depreciation and amortization expense, (v) stock-based compensation expense, (vi) certain legal and regulatory accruals and settlements, net, (vii) reserves for sales and other indirect taxes, (viii) COVID-19 response initiatives, (ix) acquisition-related expenses, and (x) non-capitalizable expenses related to the public listing of our common stock and the settlement of certain patent infringement claims. We define Adjusted EBITDA margin as Adjusted EBITDA as a percent of revenue.</w:t>
      </w:r>
    </w:p>
    <w:p>
      <w:pPr>
        <w:spacing w:after="0" w:line="181"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We include Adjusted EBITDA, Adjusted EBITDA as a percent of GTV, and Adjusted EBITDA margin in this prospectus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revenue growth and operating efficiencies when compared to GTV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ratings agencies, and other parties in evaluating companies in our industry as a measure of operational performance.</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780"/>
          </w:cols>
          <w:pgMar w:left="320" w:top="440" w:right="79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Adjusted EBITDA, Adjusted EBITDA as a percent of GTV, and Adjusted EBITDA margin should not be considered as alternatives to net income (loss), net income (loss) as a percent of GTV, net income (loss) as a percent of revenue, or any other measure of financial performance calculated and presented in accordance with GAAP. There are a number of limitations related to the use of Adjusted EBITDA, Adjusted EBITDA as a percent of GTV, and Adjusted EBITDA margin rather than net income (loss), net income (loss) as a percent of GTV, and net income (loss) as a percent of revenue, which are the most directly comparable GAAP measures. Some of these limitations are that each of Adjusted EBITDA, Adjusted EBITDA as a percent of GTV, and Adjusted EBITDA margin:</w:t>
      </w:r>
    </w:p>
    <w:p>
      <w:pPr>
        <w:spacing w:after="0" w:line="93" w:lineRule="exact"/>
        <w:rPr>
          <w:sz w:val="20"/>
          <w:szCs w:val="20"/>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excludes stock-based compensation expenses;</w:t>
      </w:r>
    </w:p>
    <w:p>
      <w:pPr>
        <w:spacing w:after="0" w:line="121" w:lineRule="exact"/>
        <w:rPr>
          <w:rFonts w:ascii="Arial" w:cs="Arial" w:eastAsia="Arial" w:hAnsi="Arial"/>
          <w:sz w:val="17"/>
          <w:szCs w:val="17"/>
          <w:color w:val="auto"/>
        </w:rPr>
      </w:pPr>
    </w:p>
    <w:p>
      <w:pPr>
        <w:ind w:left="1360" w:right="240" w:hanging="498"/>
        <w:spacing w:after="0" w:line="272"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excludes depreciation and amortization expense, and although these are non-cash expenses, the assets being depreciated may have to be replaced in the future, increasing our cash requirements;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does not reflect the positive or adverse adjustments related to the reserve for sales and other indirect taxes;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does not reflect interest income which increases cash available to 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does not reflect other income that may increase cash available to 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does not reflect other income and expense that includes unrealized and realized gains and losses on foreign currency exchange; and</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does not reflect provision for or benefit from income taxes that reduces cash available to us.</w:t>
      </w:r>
    </w:p>
    <w:p>
      <w:pPr>
        <w:spacing w:after="0" w:line="210"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 A reconciliation of Adjusted EBITDA to net income (loss), the most directly comparable financial measure calculated in accordance with GAAP, is provided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137795</wp:posOffset>
            </wp:positionV>
            <wp:extent cx="4865370" cy="20104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65370"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780"/>
          </w:cols>
          <w:pgMar w:left="320" w:top="440" w:right="79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93345</wp:posOffset>
            </wp:positionV>
            <wp:extent cx="4865370" cy="19780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65370" cy="197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Adjusted EBITDA, Adjusted EBITDA as a percent of GTV, and Adjusted EBITDA margin improved from 2019 to 2020, driven by cost structure improvements and increased operating leverage as a result of scale in our business. Our Adjusted EBITDA, Adjusted EBITDA as a percent of GTV, and Adjusted EBITDA margin can vary significantly as we continue to make substantial investments to fuel our growth and scale Instacart. In 2021, we meaningfully grew our employee headcount and invested in sales and marketing to capture a significant market opportunity as consumer adoption of online grocery continued to grow. As a result, our Adjusted EBITDA, Adjusted EBITDA as a percent of GTV, and Adjusted EBITDA margin declined sequentially in 2021. In addition, in the fourth quarter of 2021, we launched our first national brand campaign, which raised awareness of our brand and lifted the efficiency of our overall acquisition channels. Over time, while we expect sales and marketing expense to increase on an absolute dollar basis, we expect sales and marketing spend to decline as a percent of GTV as we reach higher levels of penetration in our core markets and continue to leverage our internal AI capabilities to drive efficiencies. In 2022, our Adjusted EBITDA, Adjusted EBITDA as a percent of GTV, and Adjusted EBITDA margin increased to $187 million, 0.6%, and 7%, respectively, as we took a more disciplined approach to operating efficiencies and expenses. Our performance in 2022 reflects the benefit of fulfillment efficiencies, in particular, our improvement in batch rate and average shopper time spent per order, and customer fee optimization. We expect the benefits of fulfillment efficiencies to taper in the future. We also focused on driving efficiencies across overhead expenses like hosting and software costs, and limited outside services and other discretionary spend. We introduced more guardrails around workforce budgeting, including a more rigorous approach to backfilling for attrition. As a result, our overall headcount peaked in the second quarter of 2022 and declined over the next two quarters, reducing our fixed operating cost base. This trend continued into the first half of 2023 as our EBITDA margin for the first and second quarters of 2023 increased to 2.3% and 1.5% of GTV or 22% and 15% of revenue, respectively, versus (0.7)% and 0.5% or (10)% and 5%, respectively, for the same periods in 2022.</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740"/>
          </w:cols>
          <w:pgMar w:left="320" w:top="440" w:right="8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The following table presents a reconciliation of Adjusted EBITDA to net income (loss), the most directly comparable financial measure calculated in accordance with GAAP:</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6"/>
              <w:spacing w:after="0" w:line="132" w:lineRule="exact"/>
              <w:rPr>
                <w:sz w:val="20"/>
                <w:szCs w:val="20"/>
                <w:color w:val="auto"/>
              </w:rPr>
            </w:pPr>
            <w:r>
              <w:rPr>
                <w:rFonts w:ascii="Arial" w:cs="Arial" w:eastAsia="Arial" w:hAnsi="Arial"/>
                <w:sz w:val="13"/>
                <w:szCs w:val="13"/>
                <w:b w:val="1"/>
                <w:bCs w:val="1"/>
                <w:color w:val="auto"/>
                <w:w w:val="96"/>
              </w:rPr>
              <w:t>2019</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2"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2" w:lineRule="exact"/>
              <w:rPr>
                <w:sz w:val="20"/>
                <w:szCs w:val="20"/>
                <w:color w:val="auto"/>
              </w:rPr>
            </w:pPr>
            <w:r>
              <w:rPr>
                <w:rFonts w:ascii="Arial" w:cs="Arial" w:eastAsia="Arial" w:hAnsi="Arial"/>
                <w:sz w:val="13"/>
                <w:szCs w:val="13"/>
                <w:b w:val="1"/>
                <w:bCs w:val="1"/>
                <w:color w:val="auto"/>
              </w:rPr>
              <w:t>2021</w:t>
            </w:r>
          </w:p>
        </w:tc>
        <w:tc>
          <w:tcPr>
            <w:tcW w:w="6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2" w:lineRule="exact"/>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7"/>
              <w:spacing w:after="0" w:line="132" w:lineRule="exact"/>
              <w:rPr>
                <w:sz w:val="20"/>
                <w:szCs w:val="20"/>
                <w:color w:val="auto"/>
              </w:rPr>
            </w:pPr>
            <w:r>
              <w:rPr>
                <w:rFonts w:ascii="Arial" w:cs="Arial" w:eastAsia="Arial" w:hAnsi="Arial"/>
                <w:sz w:val="13"/>
                <w:szCs w:val="13"/>
                <w:b w:val="1"/>
                <w:bCs w:val="1"/>
                <w:color w:val="auto"/>
              </w:rPr>
              <w:t>2022</w:t>
            </w:r>
          </w:p>
        </w:tc>
        <w:tc>
          <w:tcPr>
            <w:tcW w:w="6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6"/>
              <w:spacing w:after="0" w:line="132"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5"/>
          </w:tcPr>
          <w:p>
            <w:pPr>
              <w:jc w:val="right"/>
              <w:ind w:right="280"/>
              <w:spacing w:after="0" w:line="132" w:lineRule="exact"/>
              <w:rPr>
                <w:sz w:val="20"/>
                <w:szCs w:val="20"/>
                <w:color w:val="auto"/>
              </w:rPr>
            </w:pPr>
            <w:r>
              <w:rPr>
                <w:rFonts w:ascii="Arial" w:cs="Arial" w:eastAsia="Arial" w:hAnsi="Arial"/>
                <w:sz w:val="13"/>
                <w:szCs w:val="13"/>
                <w:b w:val="1"/>
                <w:bCs w:val="1"/>
                <w:color w:val="auto"/>
                <w:w w:val="95"/>
              </w:rPr>
              <w:t>(in millions, except percentages)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(531)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(73)</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428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320"/>
              <w:spacing w:after="0"/>
              <w:rPr>
                <w:sz w:val="20"/>
                <w:szCs w:val="20"/>
                <w:color w:val="auto"/>
              </w:rPr>
            </w:pPr>
            <w:r>
              <w:rPr>
                <w:rFonts w:ascii="Arial" w:cs="Arial" w:eastAsia="Arial" w:hAnsi="Arial"/>
                <w:sz w:val="17"/>
                <w:szCs w:val="17"/>
                <w:color w:val="auto"/>
              </w:rPr>
              <w:t>Add (deduct):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Provision for (benefit from)</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(income) expense, net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Pr>
          <w:p>
            <w:pPr>
              <w:ind w:left="320"/>
              <w:spacing w:after="0" w:line="190" w:lineRule="exact"/>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480"/>
              <w:spacing w:after="0"/>
              <w:rPr>
                <w:sz w:val="20"/>
                <w:szCs w:val="20"/>
                <w:color w:val="auto"/>
              </w:rPr>
            </w:pPr>
            <w:r>
              <w:rPr>
                <w:rFonts w:ascii="Arial" w:cs="Arial" w:eastAsia="Arial" w:hAnsi="Arial"/>
                <w:sz w:val="17"/>
                <w:szCs w:val="17"/>
                <w:color w:val="auto"/>
              </w:rPr>
              <w:t>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Stock-based compensation</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Pr>
          <w:p>
            <w:pPr>
              <w:ind w:left="320"/>
              <w:spacing w:after="0" w:line="190" w:lineRule="exact"/>
              <w:rPr>
                <w:sz w:val="20"/>
                <w:szCs w:val="20"/>
                <w:color w:val="auto"/>
              </w:rPr>
            </w:pPr>
            <w:r>
              <w:rPr>
                <w:rFonts w:ascii="Arial" w:cs="Arial" w:eastAsia="Arial" w:hAnsi="Arial"/>
                <w:sz w:val="17"/>
                <w:szCs w:val="17"/>
                <w:color w:val="auto"/>
              </w:rPr>
              <w:t>Certain legal and regulatory</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480"/>
              <w:spacing w:after="0"/>
              <w:rPr>
                <w:sz w:val="20"/>
                <w:szCs w:val="20"/>
                <w:color w:val="auto"/>
              </w:rPr>
            </w:pPr>
            <w:r>
              <w:rPr>
                <w:rFonts w:ascii="Arial" w:cs="Arial" w:eastAsia="Arial" w:hAnsi="Arial"/>
                <w:sz w:val="17"/>
                <w:szCs w:val="17"/>
                <w:color w:val="auto"/>
              </w:rPr>
              <w:t>accruals and settlements,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480"/>
              <w:spacing w:after="0" w:line="216" w:lineRule="exact"/>
              <w:rPr>
                <w:sz w:val="20"/>
                <w:szCs w:val="20"/>
                <w:color w:val="auto"/>
              </w:rPr>
            </w:pPr>
            <w:r>
              <w:rPr>
                <w:rFonts w:ascii="Arial" w:cs="Arial" w:eastAsia="Arial" w:hAnsi="Arial"/>
                <w:sz w:val="16"/>
                <w:szCs w:val="16"/>
                <w:color w:val="auto"/>
              </w:rPr>
              <w:t>net</w:t>
            </w:r>
            <w:r>
              <w:rPr>
                <w:rFonts w:ascii="Arial" w:cs="Arial" w:eastAsia="Arial" w:hAnsi="Arial"/>
                <w:sz w:val="24"/>
                <w:szCs w:val="24"/>
                <w:color w:val="auto"/>
                <w:vertAlign w:val="superscript"/>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Reserves for sales and other</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indirect taxes</w:t>
            </w:r>
            <w:r>
              <w:rPr>
                <w:rFonts w:ascii="Arial" w:cs="Arial" w:eastAsia="Arial" w:hAnsi="Arial"/>
                <w:sz w:val="24"/>
                <w:szCs w:val="24"/>
                <w:color w:val="auto"/>
                <w:vertAlign w:val="superscript"/>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Pr>
          <w:p>
            <w:pPr>
              <w:ind w:left="320"/>
              <w:spacing w:after="0" w:line="190" w:lineRule="exact"/>
              <w:rPr>
                <w:sz w:val="20"/>
                <w:szCs w:val="20"/>
                <w:color w:val="auto"/>
              </w:rPr>
            </w:pPr>
            <w:r>
              <w:rPr>
                <w:rFonts w:ascii="Arial" w:cs="Arial" w:eastAsia="Arial" w:hAnsi="Arial"/>
                <w:sz w:val="17"/>
                <w:szCs w:val="17"/>
                <w:color w:val="auto"/>
              </w:rPr>
              <w:t>COVID-19 response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480"/>
              <w:spacing w:after="0" w:line="216" w:lineRule="exact"/>
              <w:rPr>
                <w:sz w:val="20"/>
                <w:szCs w:val="20"/>
                <w:color w:val="auto"/>
              </w:rPr>
            </w:pPr>
            <w:r>
              <w:rPr>
                <w:rFonts w:ascii="Arial" w:cs="Arial" w:eastAsia="Arial" w:hAnsi="Arial"/>
                <w:sz w:val="16"/>
                <w:szCs w:val="16"/>
                <w:color w:val="auto"/>
              </w:rPr>
              <w:t>initiatives</w:t>
            </w:r>
            <w:r>
              <w:rPr>
                <w:rFonts w:ascii="Arial" w:cs="Arial" w:eastAsia="Arial" w:hAnsi="Arial"/>
                <w:sz w:val="24"/>
                <w:szCs w:val="24"/>
                <w:color w:val="auto"/>
                <w:vertAlign w:val="superscript"/>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Acquisition-related expenses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320"/>
              <w:spacing w:after="0" w:line="202" w:lineRule="exact"/>
              <w:rPr>
                <w:sz w:val="20"/>
                <w:szCs w:val="20"/>
                <w:color w:val="auto"/>
              </w:rPr>
            </w:pPr>
            <w:r>
              <w:rPr>
                <w:rFonts w:ascii="Arial" w:cs="Arial" w:eastAsia="Arial" w:hAnsi="Arial"/>
                <w:sz w:val="16"/>
                <w:szCs w:val="16"/>
                <w:color w:val="auto"/>
              </w:rPr>
              <w:t>Other</w:t>
            </w:r>
            <w:r>
              <w:rPr>
                <w:rFonts w:ascii="Arial" w:cs="Arial" w:eastAsia="Arial" w:hAnsi="Arial"/>
                <w:sz w:val="23"/>
                <w:szCs w:val="23"/>
                <w:color w:val="auto"/>
                <w:vertAlign w:val="superscript"/>
              </w:rPr>
              <w:t>(4)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(454)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7"/>
                <w:szCs w:val="17"/>
                <w:color w:val="auto"/>
              </w:rPr>
              <w:t>GTV</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gridSpan w:val="2"/>
            <w:vMerge w:val="continue"/>
          </w:tcPr>
          <w:p>
            <w:pPr>
              <w:spacing w:after="0"/>
              <w:rPr>
                <w:sz w:val="16"/>
                <w:szCs w:val="16"/>
                <w:color w:val="auto"/>
              </w:rPr>
            </w:pPr>
          </w:p>
        </w:tc>
        <w:tc>
          <w:tcPr>
            <w:tcW w:w="3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80"/>
              <w:spacing w:after="0" w:line="193" w:lineRule="exact"/>
              <w:rPr>
                <w:sz w:val="20"/>
                <w:szCs w:val="20"/>
                <w:color w:val="auto"/>
              </w:rPr>
            </w:pPr>
            <w:r>
              <w:rPr>
                <w:rFonts w:ascii="Arial" w:cs="Arial" w:eastAsia="Arial" w:hAnsi="Arial"/>
                <w:sz w:val="17"/>
                <w:szCs w:val="17"/>
                <w:color w:val="auto"/>
                <w:w w:val="98"/>
              </w:rPr>
              <w:t>5,144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80"/>
              <w:spacing w:after="0" w:line="193" w:lineRule="exact"/>
              <w:rPr>
                <w:sz w:val="20"/>
                <w:szCs w:val="20"/>
                <w:color w:val="auto"/>
              </w:rPr>
            </w:pPr>
            <w:r>
              <w:rPr>
                <w:rFonts w:ascii="Arial" w:cs="Arial" w:eastAsia="Arial" w:hAnsi="Arial"/>
                <w:sz w:val="17"/>
                <w:szCs w:val="17"/>
                <w:color w:val="auto"/>
              </w:rPr>
              <w:t>20,736</w:t>
            </w:r>
          </w:p>
        </w:tc>
        <w:tc>
          <w:tcPr>
            <w:tcW w:w="36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0"/>
              <w:spacing w:after="0" w:line="193" w:lineRule="exact"/>
              <w:rPr>
                <w:sz w:val="20"/>
                <w:szCs w:val="20"/>
                <w:color w:val="auto"/>
              </w:rPr>
            </w:pPr>
            <w:r>
              <w:rPr>
                <w:rFonts w:ascii="Arial" w:cs="Arial" w:eastAsia="Arial" w:hAnsi="Arial"/>
                <w:sz w:val="17"/>
                <w:szCs w:val="17"/>
                <w:color w:val="auto"/>
              </w:rPr>
              <w:t>24,909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line="193" w:lineRule="exact"/>
              <w:rPr>
                <w:sz w:val="20"/>
                <w:szCs w:val="20"/>
                <w:color w:val="auto"/>
              </w:rPr>
            </w:pPr>
            <w:r>
              <w:rPr>
                <w:rFonts w:ascii="Arial" w:cs="Arial" w:eastAsia="Arial" w:hAnsi="Arial"/>
                <w:sz w:val="17"/>
                <w:szCs w:val="17"/>
                <w:color w:val="auto"/>
              </w:rPr>
              <w:t>28,826</w:t>
            </w:r>
          </w:p>
        </w:tc>
        <w:tc>
          <w:tcPr>
            <w:tcW w:w="38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600"/>
              <w:spacing w:after="0" w:line="193" w:lineRule="exact"/>
              <w:rPr>
                <w:sz w:val="20"/>
                <w:szCs w:val="20"/>
                <w:color w:val="auto"/>
              </w:rPr>
            </w:pPr>
            <w:r>
              <w:rPr>
                <w:rFonts w:ascii="Arial" w:cs="Arial" w:eastAsia="Arial" w:hAnsi="Arial"/>
                <w:sz w:val="17"/>
                <w:szCs w:val="17"/>
                <w:color w:val="auto"/>
              </w:rPr>
              <w:t>14,356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line="193" w:lineRule="exact"/>
              <w:rPr>
                <w:sz w:val="20"/>
                <w:szCs w:val="20"/>
                <w:color w:val="auto"/>
              </w:rPr>
            </w:pPr>
            <w:r>
              <w:rPr>
                <w:rFonts w:ascii="Arial" w:cs="Arial" w:eastAsia="Arial" w:hAnsi="Arial"/>
                <w:sz w:val="17"/>
                <w:szCs w:val="17"/>
                <w:color w:val="auto"/>
              </w:rPr>
              <w:t>14,937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Net income (loss) as a percent of</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GTV</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7"/>
                <w:szCs w:val="17"/>
                <w:color w:val="auto"/>
              </w:rPr>
              <w:t>Adjusted EBITDA as a percent of</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7"/>
                <w:szCs w:val="17"/>
                <w:color w:val="auto"/>
              </w:rPr>
              <w:t>GTV</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80"/>
              <w:spacing w:after="0" w:line="194" w:lineRule="exact"/>
              <w:rPr>
                <w:sz w:val="20"/>
                <w:szCs w:val="20"/>
                <w:color w:val="auto"/>
              </w:rPr>
            </w:pPr>
            <w:r>
              <w:rPr>
                <w:rFonts w:ascii="Arial" w:cs="Arial" w:eastAsia="Arial" w:hAnsi="Arial"/>
                <w:sz w:val="17"/>
                <w:szCs w:val="17"/>
                <w:color w:val="auto"/>
              </w:rPr>
              <w:t>214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1,477</w:t>
            </w:r>
          </w:p>
        </w:tc>
        <w:tc>
          <w:tcPr>
            <w:tcW w:w="3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1,834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2,551</w:t>
            </w:r>
          </w:p>
        </w:tc>
        <w:tc>
          <w:tcPr>
            <w:tcW w:w="3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1,126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7"/>
                <w:szCs w:val="17"/>
                <w:color w:val="auto"/>
              </w:rPr>
              <w:t>Net income (loss) as a percent of</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7"/>
                <w:szCs w:val="17"/>
                <w:color w:val="auto"/>
              </w:rPr>
              <w:t>revenue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(248)%</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Adjusted EBITDA margin</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(212)%</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60"/>
              <w:spacing w:after="0" w:line="194" w:lineRule="exact"/>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hanging="403"/>
        <w:spacing w:after="0"/>
        <w:tabs>
          <w:tab w:leader="none" w:pos="8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certain legal, regulatory, and policy expenses related to worker classification matters.</w:t>
      </w:r>
    </w:p>
    <w:p>
      <w:pPr>
        <w:spacing w:after="0" w:line="1" w:lineRule="exact"/>
        <w:rPr>
          <w:rFonts w:ascii="Arial" w:cs="Arial" w:eastAsia="Arial" w:hAnsi="Arial"/>
          <w:sz w:val="13"/>
          <w:szCs w:val="13"/>
          <w:color w:val="auto"/>
        </w:rPr>
      </w:pPr>
    </w:p>
    <w:p>
      <w:pPr>
        <w:ind w:left="860" w:right="140" w:hanging="403"/>
        <w:spacing w:after="0" w:line="242" w:lineRule="auto"/>
        <w:tabs>
          <w:tab w:leader="none" w:pos="86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ind w:left="860" w:right="160" w:hanging="403"/>
        <w:spacing w:after="0" w:line="223" w:lineRule="auto"/>
        <w:tabs>
          <w:tab w:leader="none" w:pos="8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the cost of all personal protective equipment distributed to shoppers during the COVID-19 pandemic. We ceased excluding this cost following the first quarter of 2022 as the impact of the COVID-19 pandemic and its variant outbreaks on our business subsided.</w:t>
      </w:r>
    </w:p>
    <w:p>
      <w:pPr>
        <w:ind w:left="860" w:hanging="403"/>
        <w:spacing w:after="0"/>
        <w:tabs>
          <w:tab w:leader="none" w:pos="8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(i) non-capitalizable expenses related to the public listing of our common stock and (ii) expenses related to the settlement of certain patent infringement claims.</w:t>
      </w:r>
    </w:p>
    <w:p>
      <w:pPr>
        <w:spacing w:after="0" w:line="85" w:lineRule="exact"/>
        <w:rPr>
          <w:sz w:val="20"/>
          <w:szCs w:val="20"/>
          <w:color w:val="auto"/>
        </w:rPr>
      </w:pPr>
    </w:p>
    <w:p>
      <w:pPr>
        <w:ind w:left="460" w:right="360" w:firstLine="413"/>
        <w:spacing w:after="0" w:line="256" w:lineRule="auto"/>
        <w:rPr>
          <w:sz w:val="20"/>
          <w:szCs w:val="20"/>
          <w:color w:val="auto"/>
        </w:rPr>
      </w:pPr>
      <w:r>
        <w:rPr>
          <w:rFonts w:ascii="Arial" w:cs="Arial" w:eastAsia="Arial" w:hAnsi="Arial"/>
          <w:sz w:val="17"/>
          <w:szCs w:val="17"/>
          <w:color w:val="auto"/>
        </w:rPr>
        <w:t>Our calculation of Adjusted EBITDA does not adjust net income (loss) for net reductions in revenue related to equity agreements with certain retailers of $9 million, $26 million, $5 million, $3 million, zero, and zero in the years ended December 31, 2019, 2020, 2021, and 2022 and the six months ended June 30, 2022 and 2023, respectively. See Note 3 to our consolidated financial statements included elsewhere in this prospectus for additional details regarding such equity agreements.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00"/>
          </w:cols>
          <w:pgMar w:left="320" w:top="440" w:right="77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Cost of Revenue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define adjusted cost of revenue as cost of revenue, excluding depreciation and amortization, as it is non-cash in nature.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a reconciliation of cost of revenue to adjusted cost of revenue: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9"/>
              </w:rPr>
              <w:t>Six Months Ended June 30,</w:t>
            </w: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40"/>
              <w:spacing w:after="0" w:line="13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62"/>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2"/>
              <w:spacing w:after="0" w:line="132" w:lineRule="exact"/>
              <w:rPr>
                <w:sz w:val="20"/>
                <w:szCs w:val="20"/>
                <w:color w:val="auto"/>
              </w:rPr>
            </w:pPr>
            <w:r>
              <w:rPr>
                <w:rFonts w:ascii="Arial" w:cs="Arial" w:eastAsia="Arial" w:hAnsi="Arial"/>
                <w:sz w:val="13"/>
                <w:szCs w:val="13"/>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0"/>
              <w:spacing w:after="0" w:line="132" w:lineRule="exact"/>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60"/>
              <w:spacing w:after="0" w:line="132" w:lineRule="exact"/>
              <w:rPr>
                <w:sz w:val="20"/>
                <w:szCs w:val="20"/>
                <w:color w:val="auto"/>
              </w:rPr>
            </w:pPr>
            <w:r>
              <w:rPr>
                <w:rFonts w:ascii="Arial" w:cs="Arial" w:eastAsia="Arial" w:hAnsi="Arial"/>
                <w:sz w:val="13"/>
                <w:szCs w:val="13"/>
                <w:b w:val="1"/>
                <w:bCs w:val="1"/>
                <w:color w:val="auto"/>
                <w:w w:val="98"/>
              </w:rPr>
              <w:t>(in millions)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598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608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357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6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Adjusted cost of revenue</w:t>
            </w: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vMerge w:val="continue"/>
          </w:tcPr>
          <w:p>
            <w:pPr>
              <w:spacing w:after="0"/>
              <w:rPr>
                <w:sz w:val="18"/>
                <w:szCs w:val="18"/>
                <w:color w:val="auto"/>
              </w:rPr>
            </w:pPr>
          </w:p>
        </w:tc>
        <w:tc>
          <w:tcPr>
            <w:tcW w:w="640" w:type="dxa"/>
            <w:vAlign w:val="bottom"/>
          </w:tcPr>
          <w:p>
            <w:pPr>
              <w:jc w:val="right"/>
              <w:ind w:right="461"/>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593</w:t>
            </w:r>
          </w:p>
        </w:tc>
        <w:tc>
          <w:tcPr>
            <w:tcW w:w="3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600</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700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348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Operations and Support</w:t>
      </w:r>
    </w:p>
    <w:p>
      <w:pPr>
        <w:spacing w:after="0" w:line="108" w:lineRule="exact"/>
        <w:rPr>
          <w:sz w:val="20"/>
          <w:szCs w:val="20"/>
          <w:color w:val="auto"/>
        </w:rPr>
      </w:pPr>
    </w:p>
    <w:p>
      <w:pPr>
        <w:ind w:left="460" w:right="280" w:firstLine="413"/>
        <w:spacing w:after="0" w:line="256" w:lineRule="auto"/>
        <w:rPr>
          <w:sz w:val="20"/>
          <w:szCs w:val="20"/>
          <w:color w:val="auto"/>
        </w:rPr>
      </w:pPr>
      <w:r>
        <w:rPr>
          <w:rFonts w:ascii="Arial" w:cs="Arial" w:eastAsia="Arial" w:hAnsi="Arial"/>
          <w:sz w:val="17"/>
          <w:szCs w:val="17"/>
          <w:color w:val="auto"/>
        </w:rPr>
        <w:t>We define adjusted operations and support expense as operations and support expense excluding depreciation and amortization expense, stock-based compensation expense, and expenses related to COVID-19 response initiatives. We exclude depreciation and amortization expense and stock-based compensation expense as they are non-cash in nature, and we exclude COVID-19 response initiatives as these costs are not indicative of our operating performance.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a reconciliation of operations and support expense to adjusted operations and support expense: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4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8"/>
              <w:spacing w:after="0" w:line="13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60"/>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00"/>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8"/>
              <w:spacing w:after="0" w:line="132" w:lineRule="exact"/>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60"/>
              <w:spacing w:after="0" w:line="132" w:lineRule="exact"/>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Operations and support</w:t>
            </w: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324</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6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4120" w:type="dxa"/>
            <w:vAlign w:val="bottom"/>
          </w:tcPr>
          <w:p>
            <w:pPr>
              <w:ind w:left="340"/>
              <w:spacing w:after="0"/>
              <w:rPr>
                <w:sz w:val="20"/>
                <w:szCs w:val="20"/>
                <w:color w:val="auto"/>
              </w:rPr>
            </w:pPr>
            <w:r>
              <w:rPr>
                <w:rFonts w:ascii="Arial" w:cs="Arial" w:eastAsia="Arial" w:hAnsi="Arial"/>
                <w:sz w:val="17"/>
                <w:szCs w:val="17"/>
                <w:color w:val="auto"/>
              </w:rPr>
              <w:t>Stock-based compensation expense</w:t>
            </w:r>
          </w:p>
        </w:tc>
        <w:tc>
          <w:tcPr>
            <w:tcW w:w="640" w:type="dxa"/>
            <w:vAlign w:val="bottom"/>
          </w:tcPr>
          <w:p>
            <w:pPr>
              <w:spacing w:after="0"/>
              <w:rPr>
                <w:sz w:val="17"/>
                <w:szCs w:val="17"/>
                <w:color w:val="auto"/>
              </w:rPr>
            </w:pPr>
          </w:p>
        </w:tc>
        <w:tc>
          <w:tcPr>
            <w:tcW w:w="460" w:type="dxa"/>
            <w:vAlign w:val="bottom"/>
            <w:gridSpan w:val="2"/>
          </w:tcPr>
          <w:p>
            <w:pPr>
              <w:jc w:val="right"/>
              <w:ind w:right="53"/>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340"/>
              <w:spacing w:after="0" w:line="202" w:lineRule="exact"/>
              <w:rPr>
                <w:sz w:val="20"/>
                <w:szCs w:val="20"/>
                <w:color w:val="auto"/>
              </w:rPr>
            </w:pPr>
            <w:r>
              <w:rPr>
                <w:rFonts w:ascii="Arial" w:cs="Arial" w:eastAsia="Arial" w:hAnsi="Arial"/>
                <w:sz w:val="16"/>
                <w:szCs w:val="16"/>
                <w:color w:val="auto"/>
              </w:rPr>
              <w:t>COVID-19 response initiatives</w:t>
            </w:r>
            <w:r>
              <w:rPr>
                <w:rFonts w:ascii="Arial" w:cs="Arial" w:eastAsia="Arial" w:hAnsi="Arial"/>
                <w:sz w:val="23"/>
                <w:szCs w:val="23"/>
                <w:color w:val="auto"/>
                <w:vertAlign w:val="superscript"/>
              </w:rPr>
              <w:t>(1)</w:t>
            </w:r>
          </w:p>
        </w:tc>
        <w:tc>
          <w:tcPr>
            <w:tcW w:w="6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7"/>
                <w:szCs w:val="17"/>
                <w:color w:val="auto"/>
              </w:rPr>
              <w:t>Adjusted operations and support</w:t>
            </w: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vMerge w:val="continue"/>
          </w:tcPr>
          <w:p>
            <w:pPr>
              <w:spacing w:after="0"/>
              <w:rPr>
                <w:sz w:val="18"/>
                <w:szCs w:val="18"/>
                <w:color w:val="auto"/>
              </w:rPr>
            </w:pPr>
          </w:p>
        </w:tc>
        <w:tc>
          <w:tcPr>
            <w:tcW w:w="640" w:type="dxa"/>
            <w:vAlign w:val="bottom"/>
          </w:tcPr>
          <w:p>
            <w:pPr>
              <w:jc w:val="right"/>
              <w:ind w:right="461"/>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257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250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129</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right="140" w:hanging="403"/>
        <w:spacing w:after="0" w:line="260" w:lineRule="auto"/>
        <w:tabs>
          <w:tab w:leader="none" w:pos="8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cost of personal protective equipment distributed to shoppers during the COVID-19 pandemic. We ceased excluding this cost following the first quarter of 2022 as the impact of the COVID-19 pandemic and its variant outbreaks on our business subsided.</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Research and Development</w:t>
      </w:r>
    </w:p>
    <w:p>
      <w:pPr>
        <w:spacing w:after="0" w:line="108" w:lineRule="exact"/>
        <w:rPr>
          <w:sz w:val="20"/>
          <w:szCs w:val="20"/>
          <w:color w:val="auto"/>
        </w:rPr>
      </w:pPr>
    </w:p>
    <w:p>
      <w:pPr>
        <w:ind w:left="460" w:right="80" w:firstLine="413"/>
        <w:spacing w:after="0" w:line="341" w:lineRule="auto"/>
        <w:rPr>
          <w:sz w:val="20"/>
          <w:szCs w:val="20"/>
          <w:color w:val="auto"/>
        </w:rPr>
      </w:pPr>
      <w:r>
        <w:rPr>
          <w:rFonts w:ascii="Arial" w:cs="Arial" w:eastAsia="Arial" w:hAnsi="Arial"/>
          <w:sz w:val="14"/>
          <w:szCs w:val="14"/>
          <w:color w:val="auto"/>
        </w:rPr>
        <w:t>We define adjusted research and development expense as research and development expense excluding depreciation and amortization expense, stock-based compensation expense, and acquisition-related expenses. We exclude depreciation and amortization expense and stock-based compensation expense as they are non-cash in nature, and we exclude acquisition-related expenses as these costs are not indicative of our operating performance.</w:t>
      </w:r>
    </w:p>
    <w:p>
      <w:pPr>
        <w:spacing w:after="0" w:line="6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800"/>
          </w:cols>
          <w:pgMar w:left="320" w:top="440" w:right="77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a reconciliation of research and development expense to adjusted research and development expense: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8"/>
              <w:spacing w:after="0" w:line="13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0"/>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0"/>
              <w:spacing w:after="0" w:line="132"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8"/>
              <w:spacing w:after="0" w:line="132"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5"/>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56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4840" w:type="dxa"/>
            <w:vAlign w:val="bottom"/>
          </w:tcPr>
          <w:p>
            <w:pPr>
              <w:ind w:left="340"/>
              <w:spacing w:after="0"/>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expenses</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7"/>
                <w:szCs w:val="17"/>
                <w:color w:val="auto"/>
              </w:rPr>
              <w:t>Adjusted research and development</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vMerge w:val="continue"/>
          </w:tcPr>
          <w:p>
            <w:pPr>
              <w:spacing w:after="0"/>
              <w:rPr>
                <w:sz w:val="18"/>
                <w:szCs w:val="18"/>
                <w:color w:val="auto"/>
              </w:rPr>
            </w:pPr>
          </w:p>
        </w:tc>
        <w:tc>
          <w:tcPr>
            <w:tcW w:w="560" w:type="dxa"/>
            <w:vAlign w:val="bottom"/>
            <w:gridSpan w:val="2"/>
          </w:tcPr>
          <w:p>
            <w:pPr>
              <w:jc w:val="right"/>
              <w:ind w:right="393"/>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172</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495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234</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Sales and Marketing</w:t>
      </w:r>
    </w:p>
    <w:p>
      <w:pPr>
        <w:spacing w:after="0" w:line="108"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We define adjusted sales and marketing expense as sales and marketing expense excluding depreciation and amortization expense, stock-based compensation expense, and acquisition-related expenses. We exclude depreciation and amortization expense and stock-based compensation expense as they are non-cash in nature, and we exclude acquisition-related expenses as these costs are not indicative of our operating performance.</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a reconciliation of sales and marketing expense to adjusted sales and marketing expense: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8"/>
              <w:spacing w:after="0" w:line="13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0"/>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0"/>
              <w:spacing w:after="0" w:line="132"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8"/>
              <w:spacing w:after="0" w:line="132"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5"/>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56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158</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4840" w:type="dxa"/>
            <w:vAlign w:val="bottom"/>
          </w:tcPr>
          <w:p>
            <w:pPr>
              <w:ind w:left="340"/>
              <w:spacing w:after="0"/>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expenses</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7"/>
                <w:szCs w:val="17"/>
                <w:color w:val="auto"/>
              </w:rPr>
              <w:t>Adjusted sales and marketing</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vMerge w:val="continue"/>
          </w:tcPr>
          <w:p>
            <w:pPr>
              <w:spacing w:after="0"/>
              <w:rPr>
                <w:sz w:val="18"/>
                <w:szCs w:val="18"/>
                <w:color w:val="auto"/>
              </w:rPr>
            </w:pPr>
          </w:p>
        </w:tc>
        <w:tc>
          <w:tcPr>
            <w:tcW w:w="560" w:type="dxa"/>
            <w:vAlign w:val="bottom"/>
            <w:gridSpan w:val="2"/>
          </w:tcPr>
          <w:p>
            <w:pPr>
              <w:jc w:val="right"/>
              <w:ind w:right="393"/>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152</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653</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312</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General and Administrative</w:t>
      </w:r>
    </w:p>
    <w:p>
      <w:pPr>
        <w:spacing w:after="0" w:line="108" w:lineRule="exact"/>
        <w:rPr>
          <w:sz w:val="20"/>
          <w:szCs w:val="20"/>
          <w:color w:val="auto"/>
        </w:rPr>
      </w:pPr>
    </w:p>
    <w:p>
      <w:pPr>
        <w:ind w:left="460" w:right="140" w:firstLine="413"/>
        <w:spacing w:after="0" w:line="270" w:lineRule="auto"/>
        <w:rPr>
          <w:sz w:val="20"/>
          <w:szCs w:val="20"/>
          <w:color w:val="auto"/>
        </w:rPr>
      </w:pPr>
      <w:r>
        <w:rPr>
          <w:rFonts w:ascii="Arial" w:cs="Arial" w:eastAsia="Arial" w:hAnsi="Arial"/>
          <w:sz w:val="16"/>
          <w:szCs w:val="16"/>
          <w:color w:val="auto"/>
        </w:rPr>
        <w:t>We define adjusted general and administrative expense as general and administrative expense excluding depreciation and amortization expense, stock-based compensation expense, certain legal and regulatory accruals and settlements, net, reserves for sales and other indirect taxes, acquisition-related expenses, non-capitalizable expenses related to the public listing of our common stock, and expenses related to the settlement of certain patent infringement claims. We exclude depreciation and amortization expense and stock-based compensation expense as these are non-cash in nature. We exclude certain legal and regulatory accruals and settlements, reserves for sales and other indirect taxes, acquisition-related expenses, non-capitalizable expenses related to the public listing of our common stock, and expenses related to the settlement of certain patent infringement claims as these are not indicative of our operating performance.</w:t>
      </w:r>
    </w:p>
    <w:p>
      <w:pPr>
        <w:spacing w:after="0" w:line="10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00"/>
          </w:cols>
          <w:pgMar w:left="320" w:top="440" w:right="77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a reconciliation of general and administrative expense to adjusted general and administrative expense: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w w:val="98"/>
              </w:rPr>
              <w:t>Six Months Ended 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7"/>
              <w:spacing w:after="0" w:line="13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9"/>
              <w:spacing w:after="0" w:line="132" w:lineRule="exact"/>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9"/>
              <w:spacing w:after="0" w:line="132"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7"/>
              <w:spacing w:after="0" w:line="132"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3"/>
                <w:szCs w:val="13"/>
                <w:b w:val="1"/>
                <w:bCs w:val="1"/>
                <w:color w:val="auto"/>
                <w:w w:val="98"/>
              </w:rPr>
              <w:t>(in millions)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40" w:type="dxa"/>
            <w:vAlign w:val="bottom"/>
            <w:gridSpan w:val="2"/>
            <w:shd w:val="clear" w:color="auto" w:fill="CCEEFF"/>
          </w:tcPr>
          <w:p>
            <w:pPr>
              <w:jc w:val="right"/>
              <w:ind w:right="424"/>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278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Adjusted to exclude the following:</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320"/>
              <w:spacing w:after="0"/>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(36)</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w w:val="99"/>
              </w:rPr>
              <w:t>Certain legal and regulatory accruals and settlements, net</w:t>
            </w:r>
            <w:r>
              <w:rPr>
                <w:rFonts w:ascii="Arial" w:cs="Arial" w:eastAsia="Arial" w:hAnsi="Arial"/>
                <w:sz w:val="23"/>
                <w:szCs w:val="23"/>
                <w:color w:val="auto"/>
                <w:w w:val="99"/>
                <w:vertAlign w:val="superscript"/>
              </w:rPr>
              <w:t>(1)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(76)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320"/>
              <w:spacing w:after="0" w:line="202" w:lineRule="exact"/>
              <w:rPr>
                <w:sz w:val="20"/>
                <w:szCs w:val="20"/>
                <w:color w:val="auto"/>
              </w:rPr>
            </w:pPr>
            <w:r>
              <w:rPr>
                <w:rFonts w:ascii="Arial" w:cs="Arial" w:eastAsia="Arial" w:hAnsi="Arial"/>
                <w:sz w:val="16"/>
                <w:szCs w:val="16"/>
                <w:color w:val="auto"/>
              </w:rPr>
              <w:t>Reserves for sales and other indirect taxes</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(44)</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Acquisition-related expenses</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320"/>
              <w:spacing w:after="0" w:line="202" w:lineRule="exact"/>
              <w:rPr>
                <w:sz w:val="20"/>
                <w:szCs w:val="20"/>
                <w:color w:val="auto"/>
              </w:rPr>
            </w:pPr>
            <w:r>
              <w:rPr>
                <w:rFonts w:ascii="Arial" w:cs="Arial" w:eastAsia="Arial" w:hAnsi="Arial"/>
                <w:sz w:val="16"/>
                <w:szCs w:val="16"/>
                <w:color w:val="auto"/>
              </w:rPr>
              <w:t>Other</w:t>
            </w:r>
            <w:r>
              <w:rPr>
                <w:rFonts w:ascii="Arial" w:cs="Arial" w:eastAsia="Arial" w:hAnsi="Arial"/>
                <w:sz w:val="23"/>
                <w:szCs w:val="23"/>
                <w:color w:val="auto"/>
                <w:vertAlign w:val="superscript"/>
              </w:rPr>
              <w:t>(3)</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Adjusted general and administrative</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113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hanging="403"/>
        <w:spacing w:after="0"/>
        <w:tabs>
          <w:tab w:leader="none" w:pos="8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Represents certain legal, regulatory, and policy expenses related to worker classification matters.</w:t>
      </w:r>
    </w:p>
    <w:p>
      <w:pPr>
        <w:spacing w:after="0" w:line="1" w:lineRule="exact"/>
        <w:rPr>
          <w:rFonts w:ascii="Arial" w:cs="Arial" w:eastAsia="Arial" w:hAnsi="Arial"/>
          <w:sz w:val="13"/>
          <w:szCs w:val="13"/>
          <w:color w:val="auto"/>
        </w:rPr>
      </w:pPr>
    </w:p>
    <w:p>
      <w:pPr>
        <w:ind w:left="860" w:right="140" w:hanging="403"/>
        <w:spacing w:after="0" w:line="242" w:lineRule="auto"/>
        <w:tabs>
          <w:tab w:leader="none" w:pos="8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ind w:left="860" w:hanging="403"/>
        <w:spacing w:after="0"/>
        <w:tabs>
          <w:tab w:leader="none" w:pos="8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Represents (i) non-capitalizable expenses related to the public listing of our common stock and (ii) expenses related to the settlement of certain patent infringement claims.</w:t>
      </w:r>
    </w:p>
    <w:p>
      <w:pPr>
        <w:spacing w:after="0" w:line="385"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Additional Factors Affecting Our Performance</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Regulation</w:t>
      </w:r>
    </w:p>
    <w:p>
      <w:pPr>
        <w:spacing w:after="0" w:line="108"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Laws that limit or regulate our ability to enable shoppers to provide service on and benefit from Instacart will have an impact on our financial performance.</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For example, in November 2020, voters in California voted in favor of, and on December 11, 2020, the California Secretary of State certified Proposition 22, which created a framework for compensation and benefits for independent contractors working in California with gig economy companies like Instacart. The applicable provisions under Proposition 22, among other things, require us to provide shoppers with a net earnings floor of at least 120% of the minimum wage for a shopper’s engaged time plus an amount per engaged mile, which was initially $0.30 and is adjusted for inflation annually. We are also required to provide certain levels of healthcare subsidy payments based on shoppers’ engaged time per week. Therefore, we expect our compliance with Proposition 22 to adversely impact our costs in California.</w:t>
      </w:r>
    </w:p>
    <w:p>
      <w:pPr>
        <w:spacing w:after="0" w:line="167"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Several other states in which we operate may also adopt legislation that provides for compensation and benefits for independent contractors similar to Proposition 22 or may challenge the status of independent contractors altogether. Regulations like this will impact our costs, may impair or prevent our ability to continue to operate, and may impact customer pricing and our ability to enable the same customer experience we have historically provided.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Macroeconomic Factors</w:t>
      </w:r>
    </w:p>
    <w:p>
      <w:pPr>
        <w:spacing w:after="0" w:line="108"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Commencing in the first half of 2022, we began seeing macroeconomic trends affecting our markets and industry such as higher inflation, rising interest rates, and associated decreases in consumer discretionary income,</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00"/>
          </w:cols>
          <w:pgMar w:left="320" w:top="440" w:right="77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96" w:lineRule="auto"/>
        <w:rPr>
          <w:sz w:val="20"/>
          <w:szCs w:val="20"/>
          <w:color w:val="auto"/>
        </w:rPr>
      </w:pPr>
      <w:r>
        <w:rPr>
          <w:rFonts w:ascii="Arial" w:cs="Arial" w:eastAsia="Arial" w:hAnsi="Arial"/>
          <w:sz w:val="15"/>
          <w:szCs w:val="15"/>
          <w:color w:val="auto"/>
        </w:rPr>
        <w:t>the effects of supply chain challenges, cessation of government stimulus, and uncertainty regarding an economic recession. For example, decreases in consumer discretionary income due to inflationary or recessionary economic pressures and rising interest rates, as well as cessation of government stimulus, have resulted in decreased customer retention and reduced demand for premium or discretionary grocery purchases. Supply chain disruptions, higher inflation, macroeconomic uncertainty, and cessation of government stimulus have caused advertisers, including our brand partners, to decrease spending and reduce their budgets and have heightened our brand partners’ focus on profitability.</w:t>
      </w:r>
    </w:p>
    <w:p>
      <w:pPr>
        <w:spacing w:after="0" w:line="152" w:lineRule="exact"/>
        <w:rPr>
          <w:sz w:val="20"/>
          <w:szCs w:val="20"/>
          <w:color w:val="auto"/>
        </w:rPr>
      </w:pPr>
    </w:p>
    <w:p>
      <w:pPr>
        <w:ind w:left="460" w:right="80" w:firstLine="413"/>
        <w:spacing w:after="0" w:line="274" w:lineRule="auto"/>
        <w:rPr>
          <w:sz w:val="20"/>
          <w:szCs w:val="20"/>
          <w:color w:val="auto"/>
        </w:rPr>
      </w:pPr>
      <w:r>
        <w:rPr>
          <w:rFonts w:ascii="Arial" w:cs="Arial" w:eastAsia="Arial" w:hAnsi="Arial"/>
          <w:sz w:val="16"/>
          <w:szCs w:val="16"/>
          <w:color w:val="auto"/>
        </w:rPr>
        <w:t>Throughout 2022 and the first six months of 2023, inflationary pressures have resulted in higher GTV and average order values. However, customers have also been purchasing fewer items on average per order and shifting toward lower-price product categories on Instacart, partially offsetting the effects of inflation on average order values. These factors and the magnitude of their effects are expected to cause our average order value to continue fluctuating over the near term. While we and the rest of our industry face near-term uncertainty and challenges stemming from these trends, we are closely monitoring them as well as our customer engagement and spending.</w:t>
      </w:r>
    </w:p>
    <w:p>
      <w:pPr>
        <w:spacing w:after="0" w:line="165" w:lineRule="exact"/>
        <w:rPr>
          <w:sz w:val="20"/>
          <w:szCs w:val="20"/>
          <w:color w:val="auto"/>
        </w:rPr>
      </w:pPr>
    </w:p>
    <w:p>
      <w:pPr>
        <w:ind w:left="460" w:right="160" w:firstLine="413"/>
        <w:spacing w:after="0" w:line="277" w:lineRule="auto"/>
        <w:rPr>
          <w:sz w:val="20"/>
          <w:szCs w:val="20"/>
          <w:color w:val="auto"/>
        </w:rPr>
      </w:pPr>
      <w:r>
        <w:rPr>
          <w:rFonts w:ascii="Arial" w:cs="Arial" w:eastAsia="Arial" w:hAnsi="Arial"/>
          <w:sz w:val="16"/>
          <w:szCs w:val="16"/>
          <w:color w:val="auto"/>
        </w:rPr>
        <w:t>Despite the broader macroeconomic challenges, we believe that our operating model, economies of scale, and strong business fundamentals will enable us to navigate ongoing changes in the broader economic landscape. This scale, combined with the investments that we have made over the past decade in pursuit of our vision of building the technology that powers every grocery transaction, enables us to operate with proven and scaling unit economics and provides us with multiple levers to generate operating leverage.</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Seasonality</w:t>
      </w:r>
    </w:p>
    <w:p>
      <w:pPr>
        <w:spacing w:after="0" w:line="108" w:lineRule="exact"/>
        <w:rPr>
          <w:sz w:val="20"/>
          <w:szCs w:val="20"/>
          <w:color w:val="auto"/>
        </w:rPr>
      </w:pPr>
    </w:p>
    <w:p>
      <w:pPr>
        <w:ind w:left="460" w:right="20" w:firstLine="413"/>
        <w:spacing w:after="0" w:line="270" w:lineRule="auto"/>
        <w:rPr>
          <w:sz w:val="20"/>
          <w:szCs w:val="20"/>
          <w:color w:val="auto"/>
        </w:rPr>
      </w:pPr>
      <w:r>
        <w:rPr>
          <w:rFonts w:ascii="Arial" w:cs="Arial" w:eastAsia="Arial" w:hAnsi="Arial"/>
          <w:sz w:val="16"/>
          <w:szCs w:val="16"/>
          <w:color w:val="auto"/>
        </w:rPr>
        <w:t>We experience seasonality in both the number of orders and GTV and in advertising and other revenue. We typically see lower levels of order volume growth in the second quarter and the third quarter resulting from lower usage during the spring and summer months, followed by higher levels of order volume growth in the second half of the year during the back-to-school period and holiday season. Our rapid growth and the impact of the COVID-19 pandemic have made, and may in the future make, seasonal fluctuations difficult to detect. In addition, our advertising and other revenue has historically been seasonally high in the fourth quarter and seasonally low in the first quarter in a given year as a result of how advertisers deploy their budgets. We expect these seasonal trends to become more pronounced over time if our growth slows or other seasonal trends emerge, which would contribute to fluctuations in our results of operations.</w:t>
      </w:r>
    </w:p>
    <w:p>
      <w:pPr>
        <w:spacing w:after="0" w:line="37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COVID-19 Impact on Our Business</w:t>
      </w:r>
    </w:p>
    <w:p>
      <w:pPr>
        <w:spacing w:after="0" w:line="214"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The COVID-19 pandemic significantly accelerated consumers’ adoption of online grocery beginning in the first quarter of 2020. Prior to the COVID-19 pandemic, our business was characterized by rapid growth and expanding profitability. In 2019, orders grew 97% year-over-year, and GTV grew 87% year-over-year. In 2019, our net loss improved from (10.6)% of GTV in the first quarter to (10.1)% of GTV in the fourth quarter, and our Adjusted EBITDA improved from (10.0)% of GTV in the first quarter to (7.9)% of GTV in the fourth quarter.</w:t>
      </w:r>
    </w:p>
    <w:p>
      <w:pPr>
        <w:spacing w:after="0" w:line="164"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COVID-19 began to significantly impact our business and operations in March 2020. To date, the observed effects of COVID-19 on our business and financial model have been most pronounced in three different periods: (i) March 2020 through July 2020, (ii) October 2020 through January 2021, and (iii) December 2021 through July 2022. We saw the most pronounced impact on our business in the first period, and saw more muted but observable impacts in the second and third periods, despite higher COVID-19 case counts in those periods.</w:t>
      </w:r>
    </w:p>
    <w:p>
      <w:pPr>
        <w:spacing w:after="0" w:line="75" w:lineRule="exact"/>
        <w:rPr>
          <w:sz w:val="20"/>
          <w:szCs w:val="20"/>
          <w:color w:val="auto"/>
        </w:rPr>
      </w:pPr>
    </w:p>
    <w:p>
      <w:pPr>
        <w:ind w:left="1360" w:hanging="498"/>
        <w:spacing w:after="0" w:line="311"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Increase in Orders</w:t>
      </w:r>
      <w:r>
        <w:rPr>
          <w:rFonts w:ascii="Arial" w:cs="Arial" w:eastAsia="Arial" w:hAnsi="Arial"/>
          <w:sz w:val="15"/>
          <w:szCs w:val="15"/>
          <w:color w:val="auto"/>
        </w:rPr>
        <w:t>. We experienced a large increase in orders beginning in March 2020, driven by an increased number of orders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customers, as well as greater repeat order activity from new and existing customers. The chart below breaks down our total orders into two groups: (i) orders we believe occurred due to the impact of the COVID-19 pandemic (referred to as COVID-influenced orders) and</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780"/>
          </w:cols>
          <w:pgMar w:left="320" w:top="440" w:right="79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firstLine="2"/>
        <w:spacing w:after="0" w:line="261" w:lineRule="auto"/>
        <w:tabs>
          <w:tab w:leader="none" w:pos="1628" w:val="left"/>
        </w:tabs>
        <w:numPr>
          <w:ilvl w:val="0"/>
          <w:numId w:val="112"/>
        </w:numPr>
        <w:rPr>
          <w:rFonts w:ascii="Arial" w:cs="Arial" w:eastAsia="Arial" w:hAnsi="Arial"/>
          <w:sz w:val="15"/>
          <w:szCs w:val="15"/>
          <w:color w:val="auto"/>
        </w:rPr>
      </w:pPr>
      <w:r>
        <w:rPr>
          <w:rFonts w:ascii="Arial" w:cs="Arial" w:eastAsia="Arial" w:hAnsi="Arial"/>
          <w:sz w:val="15"/>
          <w:szCs w:val="15"/>
          <w:color w:val="auto"/>
        </w:rPr>
        <w:t>orders we believe would have occurred regardless of the pandemic (referred to as other orders). To estimate these values, we modeled orders in a time series regression based primarily on the following three inputs: (a) mobility data identifying how frequently people visited grocery stores and pharmacies in the United States, as a proxy for in-store shopping trends,</w:t>
      </w:r>
      <w:r>
        <w:rPr>
          <w:rFonts w:ascii="Arial" w:cs="Arial" w:eastAsia="Arial" w:hAnsi="Arial"/>
          <w:sz w:val="22"/>
          <w:szCs w:val="22"/>
          <w:color w:val="auto"/>
          <w:vertAlign w:val="superscript"/>
        </w:rPr>
        <w:t>79</w:t>
      </w:r>
      <w:r>
        <w:rPr>
          <w:rFonts w:ascii="Arial" w:cs="Arial" w:eastAsia="Arial" w:hAnsi="Arial"/>
          <w:sz w:val="15"/>
          <w:szCs w:val="15"/>
          <w:color w:val="auto"/>
        </w:rPr>
        <w:t xml:space="preserve"> (b) weekly reported COVID-19 cases in the United States (which also served as a proxy for Canadian COVID-19 cases given similarity to U.S. trends),</w:t>
      </w:r>
      <w:r>
        <w:rPr>
          <w:rFonts w:ascii="Arial" w:cs="Arial" w:eastAsia="Arial" w:hAnsi="Arial"/>
          <w:sz w:val="22"/>
          <w:szCs w:val="22"/>
          <w:color w:val="auto"/>
          <w:vertAlign w:val="superscript"/>
        </w:rPr>
        <w:t>80</w:t>
      </w:r>
      <w:r>
        <w:rPr>
          <w:rFonts w:ascii="Arial" w:cs="Arial" w:eastAsia="Arial" w:hAnsi="Arial"/>
          <w:sz w:val="15"/>
          <w:szCs w:val="15"/>
          <w:color w:val="auto"/>
        </w:rPr>
        <w:t xml:space="preserve"> and (c) our own historical data on paid orders (that is, orders driven by paid marketing, incentives, and notifications) and total orders. As the chart indicates, based on this modeling, we estimate that COVID-influenced orders accounted for the majority of our total orders in April 2020 and May 2020, a period characterized by widespread shelter-in-place restrictions in the United States. While the impact of COVID-influenced orders subsided in subsequent months, we estimate that COVID-influenced orders accounted for an increased portion of our total orders during times of elevated COVID-19 cases and shelter-in-place restrictions in the United States. We believe that the COVID-19 pandemic and its variant outbreaks had minimal impact on our order volume following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137160</wp:posOffset>
            </wp:positionV>
            <wp:extent cx="4865370" cy="24765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65370"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80"/>
        <w:spacing w:after="0" w:line="268" w:lineRule="auto"/>
        <w:rPr>
          <w:sz w:val="20"/>
          <w:szCs w:val="20"/>
          <w:color w:val="auto"/>
        </w:rPr>
      </w:pPr>
      <w:r>
        <w:rPr>
          <w:rFonts w:ascii="Arial" w:cs="Arial" w:eastAsia="Arial" w:hAnsi="Arial"/>
          <w:sz w:val="16"/>
          <w:szCs w:val="16"/>
          <w:color w:val="auto"/>
        </w:rPr>
        <w:t>This chart represents our estimate of the number of COVID-influenced orders and other orders based primarily on our historical data on paid and total orders, combined with data on COVID-19 cases and consumer mobility trends from third-party sources. The inputs used in the underlying model are based on our assumptions regarding the key drivers for COVID-influenced orders and have not been reviewed or validated by any third party. While we believe these inputs represent the most relevant predictors for COVID-influenced orders, there may be other drivers affecting consumer ordering behavior that we did not account for. The model is limited to order data over a three-year period only, and longer-term order trends may be materially different, including due to uncertainty relating to the future effects of the COVID-19 pandemic and its variants on our business. While we believe the third-party mobility and COVID-19 case data used in this model are reliable, we have not independently verified the accuracy or completeness of this third-party data. See the section titled “Market, Industry, and Other Data.” As a result, readers should not place undue reliance on the model outcomes for these periods as a predictor of future trends in our total orders, business, or results of operations.</w:t>
      </w:r>
    </w:p>
    <w:p>
      <w:pPr>
        <w:spacing w:after="0" w:line="86" w:lineRule="exact"/>
        <w:rPr>
          <w:sz w:val="20"/>
          <w:szCs w:val="20"/>
          <w:color w:val="auto"/>
        </w:rPr>
      </w:pPr>
    </w:p>
    <w:p>
      <w:pPr>
        <w:ind w:left="1360" w:right="300" w:hanging="498"/>
        <w:spacing w:after="0" w:line="272"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Fluctuations in Average Order Value</w:t>
      </w:r>
      <w:r>
        <w:rPr>
          <w:rFonts w:ascii="Arial" w:cs="Arial" w:eastAsia="Arial" w:hAnsi="Arial"/>
          <w:sz w:val="17"/>
          <w:szCs w:val="17"/>
          <w:color w:val="auto"/>
        </w:rPr>
        <w:t>. We experienced a meaningful increase in average order value beginning in March 2020. Higher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order values were most pronounced in months that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72390</wp:posOffset>
            </wp:positionV>
            <wp:extent cx="7239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6" w:lineRule="exact"/>
        <w:rPr>
          <w:sz w:val="20"/>
          <w:szCs w:val="20"/>
          <w:color w:val="auto"/>
        </w:rPr>
      </w:pPr>
    </w:p>
    <w:p>
      <w:pPr>
        <w:ind w:left="860" w:hanging="403"/>
        <w:spacing w:after="0"/>
        <w:tabs>
          <w:tab w:leader="none" w:pos="860" w:val="left"/>
        </w:tabs>
        <w:numPr>
          <w:ilvl w:val="0"/>
          <w:numId w:val="114"/>
        </w:numPr>
        <w:rPr>
          <w:rFonts w:ascii="Arial" w:cs="Arial" w:eastAsia="Arial" w:hAnsi="Arial"/>
          <w:sz w:val="10"/>
          <w:szCs w:val="10"/>
          <w:color w:val="auto"/>
        </w:rPr>
      </w:pPr>
      <w:r>
        <w:rPr>
          <w:rFonts w:ascii="Arial" w:cs="Arial" w:eastAsia="Arial" w:hAnsi="Arial"/>
          <w:sz w:val="13"/>
          <w:szCs w:val="13"/>
          <w:color w:val="auto"/>
        </w:rPr>
        <w:t>Google.</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114"/>
        </w:numPr>
        <w:rPr>
          <w:rFonts w:ascii="Arial" w:cs="Arial" w:eastAsia="Arial" w:hAnsi="Arial"/>
          <w:sz w:val="10"/>
          <w:szCs w:val="10"/>
          <w:color w:val="auto"/>
        </w:rPr>
      </w:pPr>
      <w:r>
        <w:rPr>
          <w:rFonts w:ascii="Arial" w:cs="Arial" w:eastAsia="Arial" w:hAnsi="Arial"/>
          <w:sz w:val="13"/>
          <w:szCs w:val="13"/>
          <w:color w:val="auto"/>
        </w:rPr>
        <w:t>The New York Times.</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780"/>
          </w:cols>
          <w:pgMar w:left="320" w:top="440" w:right="79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80"/>
        <w:spacing w:after="0" w:line="252" w:lineRule="auto"/>
        <w:rPr>
          <w:sz w:val="20"/>
          <w:szCs w:val="20"/>
          <w:color w:val="auto"/>
        </w:rPr>
      </w:pPr>
      <w:r>
        <w:rPr>
          <w:rFonts w:ascii="Arial" w:cs="Arial" w:eastAsia="Arial" w:hAnsi="Arial"/>
          <w:sz w:val="17"/>
          <w:szCs w:val="17"/>
          <w:color w:val="auto"/>
        </w:rPr>
        <w:t>characterized by higher shelter-in-place restrictions, which led to more stock-up orders. For example, our average order value peaked at $133 in the second quarter of 2020 and has since normalized to near pre-pandemic levels beginning with the easing of shelter-in-place restrictions and the availability of the COVID-19 vaccine, which led to increased mobility, though average order values continue to be impacted by the effects of recent macroeconomic conditions as described under the section titled “—Core Principles of Our Financial Model—Generate More Orders.” As COVID-19 trends subside, we have made other strategic decisions that we believe may decrease average order value over time but are beneficial to our business. For example, we introduced new consumer use cases and product categories and have invested in initiatives to increase GTV from Instacart+ members, both of which may decrease average order value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-5080</wp:posOffset>
            </wp:positionV>
            <wp:extent cx="4865370" cy="15678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65370" cy="156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60" w:hanging="498"/>
        <w:spacing w:after="0" w:line="274"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Increase in GTV</w:t>
      </w:r>
      <w:r>
        <w:rPr>
          <w:rFonts w:ascii="Arial" w:cs="Arial" w:eastAsia="Arial" w:hAnsi="Arial"/>
          <w:sz w:val="16"/>
          <w:szCs w:val="16"/>
          <w:color w:val="auto"/>
        </w:rPr>
        <w:t>. From 2012 to 2019, we experienced rapid growth, but the meaningful increase in orders and average order value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experienced during the COVID-19 pandemic accelerated our scale and drove an over 303% increase in GTV. As the impact from the COVID-19 pandemic has subsided, we have continued to scale meaningfully. In 2021 and 2022, GTV grew 20% and 16% year-over-year, respectively. We believe that long-term secular trends, including the adoption of online grocery, enable profitable growth in our business over time even as growth rates subside from pandemic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128905</wp:posOffset>
            </wp:positionV>
            <wp:extent cx="4865370" cy="2315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65370" cy="231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60" w:right="60" w:hanging="498"/>
        <w:spacing w:after="0" w:line="260"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Increase in Organic Customer Additions</w:t>
      </w:r>
      <w:r>
        <w:rPr>
          <w:rFonts w:ascii="Arial" w:cs="Arial" w:eastAsia="Arial" w:hAnsi="Arial"/>
          <w:sz w:val="17"/>
          <w:szCs w:val="17"/>
          <w:color w:val="auto"/>
        </w:rPr>
        <w:t>. We experienced higher than average organic customer additions beginning in March 2020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led to lower sales and marketing expense as a percent of our GTV. However, in 2021, we built a marketing engine to drive efficient and effective customer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00"/>
          </w:cols>
          <w:pgMar w:left="320" w:top="440" w:right="87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20"/>
        <w:spacing w:after="0" w:line="277" w:lineRule="auto"/>
        <w:rPr>
          <w:sz w:val="20"/>
          <w:szCs w:val="20"/>
          <w:color w:val="auto"/>
        </w:rPr>
      </w:pPr>
      <w:r>
        <w:rPr>
          <w:rFonts w:ascii="Arial" w:cs="Arial" w:eastAsia="Arial" w:hAnsi="Arial"/>
          <w:sz w:val="16"/>
          <w:szCs w:val="16"/>
          <w:color w:val="auto"/>
        </w:rPr>
        <w:t>acquisition, and in the fourth quarter of 2021, we launched our first national brand campaign. While the volume of new customers we add to Instacart each year has declined since 2020, new customers continue to join Instacart at levels significantly greater than during pre-COVID periods, demonstrating both our strong value proposition and the runway in online grocery. In the first half of 2023, our GTV from new customers was 1.6 times higher than our GTV from new customers in the first half of 2019.</w:t>
      </w:r>
    </w:p>
    <w:p>
      <w:pPr>
        <w:spacing w:after="0" w:line="75" w:lineRule="exact"/>
        <w:rPr>
          <w:sz w:val="20"/>
          <w:szCs w:val="20"/>
          <w:color w:val="auto"/>
        </w:rPr>
      </w:pPr>
    </w:p>
    <w:p>
      <w:pPr>
        <w:ind w:left="1360" w:right="160" w:hanging="498"/>
        <w:spacing w:after="0" w:line="290" w:lineRule="auto"/>
        <w:tabs>
          <w:tab w:leader="none" w:pos="1360" w:val="left"/>
        </w:tabs>
        <w:numPr>
          <w:ilvl w:val="0"/>
          <w:numId w:val="117"/>
        </w:numPr>
        <w:rPr>
          <w:rFonts w:ascii="Arial" w:cs="Arial" w:eastAsia="Arial" w:hAnsi="Arial"/>
          <w:sz w:val="15"/>
          <w:szCs w:val="15"/>
          <w:color w:val="auto"/>
        </w:rPr>
      </w:pPr>
      <w:r>
        <w:rPr>
          <w:rFonts w:ascii="Arial" w:cs="Arial" w:eastAsia="Arial" w:hAnsi="Arial"/>
          <w:sz w:val="15"/>
          <w:szCs w:val="15"/>
          <w:b w:val="1"/>
          <w:bCs w:val="1"/>
          <w:i w:val="1"/>
          <w:iCs w:val="1"/>
          <w:color w:val="auto"/>
        </w:rPr>
        <w:t>Increase in Shopper Incentives and Customer Appeasements</w:t>
      </w:r>
      <w:r>
        <w:rPr>
          <w:rFonts w:ascii="Arial" w:cs="Arial" w:eastAsia="Arial" w:hAnsi="Arial"/>
          <w:sz w:val="15"/>
          <w:szCs w:val="15"/>
          <w:color w:val="auto"/>
        </w:rPr>
        <w:t>. Large and sudden increases in the number of orders lead to a number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increased costs that impacted our gross profit and overall profitability. For example, we increased shopper incentives to encourage shoppers to pick and deliver during periods of elevated customer demand. During this period and others that were characterized by large and sudden increases in orders or supply chain disruptions experienced by retailers (which became more frequent in recent periods and may continue in the future), customers experienced higher rates of out-of-stock items, which resulted in a greater number of refunded items. In response and to mitigate any negative effects on customer satisfaction, we generally increase customer appeasements, refunds, and incentives, which directly reduce our revenue and adversely impact our profitability. Further, we cannot assure you that the decreases to our revenue and margin resulting from our mitigation efforts will be offset by future growth in GTV, orders, and profitability.</w:t>
      </w:r>
    </w:p>
    <w:p>
      <w:pPr>
        <w:spacing w:after="0" w:line="67" w:lineRule="exact"/>
        <w:rPr>
          <w:rFonts w:ascii="Arial" w:cs="Arial" w:eastAsia="Arial" w:hAnsi="Arial"/>
          <w:sz w:val="15"/>
          <w:szCs w:val="15"/>
          <w:color w:val="auto"/>
        </w:rPr>
      </w:pPr>
    </w:p>
    <w:p>
      <w:pPr>
        <w:ind w:left="1360" w:hanging="498"/>
        <w:spacing w:after="0" w:line="277" w:lineRule="auto"/>
        <w:tabs>
          <w:tab w:leader="none" w:pos="136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Significant Increase in Revenue</w:t>
      </w:r>
      <w:r>
        <w:rPr>
          <w:rFonts w:ascii="Arial" w:cs="Arial" w:eastAsia="Arial" w:hAnsi="Arial"/>
          <w:sz w:val="16"/>
          <w:szCs w:val="16"/>
          <w:color w:val="auto"/>
        </w:rPr>
        <w:t>. We experienced a significant increase in revenue due to increased customer demand for grocery delivery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2020, growing 590% year-over-year. This rapid revenue increase outpaced increases in operating expenses, such as research and development expense, resulting in an accelerated margin expansion that is not indicative of normalized performance. In 2021, we expanded headcount and invested in our business to appropriately support our future growth.</w:t>
      </w:r>
    </w:p>
    <w:p>
      <w:pPr>
        <w:spacing w:after="0" w:line="164" w:lineRule="exact"/>
        <w:rPr>
          <w:sz w:val="20"/>
          <w:szCs w:val="20"/>
          <w:color w:val="auto"/>
        </w:rPr>
      </w:pPr>
    </w:p>
    <w:p>
      <w:pPr>
        <w:ind w:left="460" w:right="100" w:firstLine="413"/>
        <w:spacing w:after="0" w:line="311" w:lineRule="auto"/>
        <w:rPr>
          <w:sz w:val="20"/>
          <w:szCs w:val="20"/>
          <w:color w:val="auto"/>
        </w:rPr>
      </w:pPr>
      <w:r>
        <w:rPr>
          <w:rFonts w:ascii="Arial" w:cs="Arial" w:eastAsia="Arial" w:hAnsi="Arial"/>
          <w:sz w:val="15"/>
          <w:szCs w:val="15"/>
          <w:color w:val="auto"/>
        </w:rPr>
        <w:t>While COVID-19 impacts have subsided and may continue to subside from peak levels, year-over year-comparisons of future periods will be influenced by prior periods that were impacted by COVID-19. The full extent to which the COVID-19 pandemic will directly or indirectly impact our business, results of operations, and financial condition will depend on future developments that are highly uncertain and cannot be accurately predicted.</w:t>
      </w:r>
    </w:p>
    <w:p>
      <w:pPr>
        <w:spacing w:after="0" w:line="140" w:lineRule="exact"/>
        <w:rPr>
          <w:sz w:val="20"/>
          <w:szCs w:val="20"/>
          <w:color w:val="auto"/>
        </w:rPr>
      </w:pPr>
    </w:p>
    <w:p>
      <w:pPr>
        <w:ind w:left="460" w:right="140" w:firstLine="413"/>
        <w:spacing w:after="0" w:line="274" w:lineRule="auto"/>
        <w:rPr>
          <w:sz w:val="20"/>
          <w:szCs w:val="20"/>
          <w:color w:val="auto"/>
        </w:rPr>
      </w:pPr>
      <w:r>
        <w:rPr>
          <w:rFonts w:ascii="Arial" w:cs="Arial" w:eastAsia="Arial" w:hAnsi="Arial"/>
          <w:sz w:val="16"/>
          <w:szCs w:val="16"/>
          <w:color w:val="auto"/>
        </w:rPr>
        <w:t>We believe that the strong secular trends driving higher online penetration in grocery will be a more important long term business driver than the impact of the COVID-19 pandemic. However, we cannot predict the extent to which the lingering effects of the COVID-19 pandemic, in particular the associated macroeconomic effects, will impact our business, including volatility in future engagement or retention of customer cohorts acquired during the COVID-19 pandemic or variant outbreaks, and therefore cannot estimate the financial impact of the pandemic on our future results of operations, cash flows, or financial condition. For additional details, refer to the section titled “Risk Factors.”</w:t>
      </w:r>
    </w:p>
    <w:p>
      <w:pPr>
        <w:spacing w:after="0" w:line="36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Performance in the Six Months Ended June 30, 2023</w:t>
      </w:r>
    </w:p>
    <w:p>
      <w:pPr>
        <w:spacing w:after="0" w:line="214"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following summarizes the key trends in our performance in the six months ended June 30, 2023. From the onset of the COVID-19 pandemic in the United States in 2020 through the first half of 2022, the COVID-19 pandemic significantly impacted the performance of our business. We believe that 2023 is our first fiscal year since 2019 without a pronounced impact from any COVID-19 variant outbreaks, and we have seen this in the first six months of 2023, during which the impact of the COVID-19 pandemic on our business performance has subsided. We believe that customers have clearly returned to pre-COVID behaviors and are spending more time away from home. Over this period, GTV grew 3% year-over-year in the first quarter of 2023 and 6% in the second quarter of 2023. Our significant historical and ongoing improvements in our unit economics and operating leverage have helped drive $242 million of net income and $279 million of Adjusted EBITDA in the first six months of 2023, compared to $74 million of net loss and $(20) million of Adjusted EBITDA in the prior year period.</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00"/>
          </w:cols>
          <w:pgMar w:left="320" w:top="440" w:right="77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31" w:lineRule="auto"/>
        <w:rPr>
          <w:sz w:val="20"/>
          <w:szCs w:val="20"/>
          <w:color w:val="auto"/>
        </w:rPr>
      </w:pPr>
      <w:r>
        <w:rPr>
          <w:rFonts w:ascii="Arial" w:cs="Arial" w:eastAsia="Arial" w:hAnsi="Arial"/>
          <w:sz w:val="16"/>
          <w:szCs w:val="16"/>
          <w:color w:val="auto"/>
        </w:rPr>
        <w:t>As the leading grocery technology company in North America, we believe that we are well positioned to benefit from the long-term opportunity in online grocery and to grow our business. Our market opportunity remains significant at $1.1 trillion, and we see a clear runway to support our growth as only 12% of that spend was online as of 2022.</w:t>
      </w:r>
      <w:r>
        <w:rPr>
          <w:rFonts w:ascii="Arial" w:cs="Arial" w:eastAsia="Arial" w:hAnsi="Arial"/>
          <w:sz w:val="24"/>
          <w:szCs w:val="24"/>
          <w:color w:val="auto"/>
          <w:vertAlign w:val="superscript"/>
        </w:rPr>
        <w:t>81</w:t>
      </w:r>
      <w:r>
        <w:rPr>
          <w:rFonts w:ascii="Arial" w:cs="Arial" w:eastAsia="Arial" w:hAnsi="Arial"/>
          <w:sz w:val="16"/>
          <w:szCs w:val="16"/>
          <w:color w:val="auto"/>
        </w:rPr>
        <w:t xml:space="preserve"> We partner with over 1,400 retail banners that collectively represent more than 85% of the U.S. grocery market,</w:t>
      </w:r>
      <w:r>
        <w:rPr>
          <w:rFonts w:ascii="Arial" w:cs="Arial" w:eastAsia="Arial" w:hAnsi="Arial"/>
          <w:sz w:val="24"/>
          <w:szCs w:val="24"/>
          <w:color w:val="auto"/>
          <w:vertAlign w:val="superscript"/>
        </w:rPr>
        <w:t>82</w:t>
      </w:r>
      <w:r>
        <w:rPr>
          <w:rFonts w:ascii="Arial" w:cs="Arial" w:eastAsia="Arial" w:hAnsi="Arial"/>
          <w:sz w:val="16"/>
          <w:szCs w:val="16"/>
          <w:color w:val="auto"/>
        </w:rPr>
        <w:t xml:space="preserve"> with a clear opportunity to deepen these relationships as online penetration grows. See the section titled “—Our Financial Model—Core Principles of Our Financial Model—Deepen Relationships with Retail Partners” for more information. As grocery spend becomes increasingly omni-channel, we believe that more of the approximately $200 billion that CPG brands spend to advertise their products will follow, representing another compelling growth vector as nearly 25% of that spend is through online channels as of 2022.</w:t>
      </w:r>
      <w:r>
        <w:rPr>
          <w:rFonts w:ascii="Arial" w:cs="Arial" w:eastAsia="Arial" w:hAnsi="Arial"/>
          <w:sz w:val="24"/>
          <w:szCs w:val="24"/>
          <w:color w:val="auto"/>
          <w:vertAlign w:val="superscript"/>
        </w:rPr>
        <w:t>83</w:t>
      </w:r>
      <w:r>
        <w:rPr>
          <w:rFonts w:ascii="Arial" w:cs="Arial" w:eastAsia="Arial" w:hAnsi="Arial"/>
          <w:sz w:val="16"/>
          <w:szCs w:val="16"/>
          <w:color w:val="auto"/>
        </w:rPr>
        <w:t xml:space="preserve"> We believe our market leadership and over a decade of investment in technology custom-built for online grocery put us in a position to capture this long-term opportunity while still navigating near-term macroeconomic headwinds and ensuring the best experience for our retailers, customers, brands, and shoppers. See the sections titled “Business—Our Market Opportunity” and “Business—Our Growth Strategies” for more information.</w:t>
      </w:r>
    </w:p>
    <w:p>
      <w:pPr>
        <w:spacing w:after="0" w:line="104" w:lineRule="exact"/>
        <w:rPr>
          <w:sz w:val="20"/>
          <w:szCs w:val="20"/>
          <w:color w:val="auto"/>
        </w:rPr>
      </w:pPr>
    </w:p>
    <w:p>
      <w:pPr>
        <w:ind w:left="1360" w:right="100" w:hanging="498"/>
        <w:spacing w:after="0" w:line="274" w:lineRule="auto"/>
        <w:tabs>
          <w:tab w:leader="none" w:pos="1360"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Order Growth</w:t>
      </w:r>
      <w:r>
        <w:rPr>
          <w:rFonts w:ascii="Arial" w:cs="Arial" w:eastAsia="Arial" w:hAnsi="Arial"/>
          <w:sz w:val="16"/>
          <w:szCs w:val="16"/>
          <w:color w:val="auto"/>
        </w:rPr>
        <w:t>. In the first quarter of 2023, orders decreased 2% compared to the same quarter in 2022, during which we experienced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elevated number of COVID-influenced orders due to another variant outbreak. The decline in COVID-influenced orders in the second quarter of 2022 allowed for a more normalized year-over-year comparison for the same quarter in 2023, during which orders increased by 3% year-over-year. Growth in both quarters was also impacted by the cessation of government stimulus associated with COVID-19, in particular the emergency SNAP benefits that began in March 2020 and ended in March 2023.</w:t>
      </w:r>
    </w:p>
    <w:p>
      <w:pPr>
        <w:spacing w:after="0" w:line="76" w:lineRule="exact"/>
        <w:rPr>
          <w:rFonts w:ascii="Arial" w:cs="Arial" w:eastAsia="Arial" w:hAnsi="Arial"/>
          <w:sz w:val="16"/>
          <w:szCs w:val="16"/>
          <w:color w:val="auto"/>
        </w:rPr>
      </w:pPr>
    </w:p>
    <w:p>
      <w:pPr>
        <w:ind w:left="1360" w:hanging="498"/>
        <w:spacing w:after="0" w:line="291" w:lineRule="auto"/>
        <w:tabs>
          <w:tab w:leader="none" w:pos="13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GTV Growth</w:t>
      </w:r>
      <w:r>
        <w:rPr>
          <w:rFonts w:ascii="Arial" w:cs="Arial" w:eastAsia="Arial" w:hAnsi="Arial"/>
          <w:sz w:val="15"/>
          <w:szCs w:val="15"/>
          <w:color w:val="auto"/>
        </w:rPr>
        <w:t>. In the first six months of 2023, GTV growth was impacted by the same trends that impacted our order growth as well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average order value trends. Average order values continued to increase year-over-year in both quarterly periods due to heightened inflation, resulting in higher growth for GTV than orders. GTV grew 3% year-over-year in the first quarter of 2023 and 6% year-over-year in the second quarter of 2023. As another indication of the subsiding impact of COVID-19 on our performance, 2023 is the first year since 2020 in which GTV did not decline sequentially between the first and second quarters. GTV decreased 12% and 3% quarter-over-quarter in the quarters ended June 30, 2021 and 2022, respectively, partly caused by COVID-19 variant outbreaks in the first quarter of those years. See the section titled “—Key Business and Non-GAAP Metrics—Key Business Metrics” for more information</w:t>
      </w:r>
      <w:r>
        <w:rPr>
          <w:rFonts w:ascii="Arial" w:cs="Arial" w:eastAsia="Arial" w:hAnsi="Arial"/>
          <w:sz w:val="15"/>
          <w:szCs w:val="15"/>
          <w:i w:val="1"/>
          <w:iCs w:val="1"/>
          <w:color w:val="auto"/>
        </w:rPr>
        <w:t>.</w:t>
      </w:r>
    </w:p>
    <w:p>
      <w:pPr>
        <w:spacing w:after="0" w:line="68" w:lineRule="exact"/>
        <w:rPr>
          <w:rFonts w:ascii="Arial" w:cs="Arial" w:eastAsia="Arial" w:hAnsi="Arial"/>
          <w:sz w:val="15"/>
          <w:szCs w:val="15"/>
          <w:color w:val="auto"/>
        </w:rPr>
      </w:pPr>
    </w:p>
    <w:p>
      <w:pPr>
        <w:ind w:left="1360" w:right="80" w:hanging="498"/>
        <w:spacing w:after="0" w:line="252" w:lineRule="auto"/>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GTV by Cohort Trends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first six months of 2023, GTV from our 2017, 2018, and 2019 customer cohorts remained in line with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GTV from the same period in 2022, whereas GTV from our 2020 and 2021 customer cohorts declined relative to the first half of 2022, during which COVID-19 outbreaks resulted in moderate increases in demand for online grocery, particularly in the first three months of 2022. Because the impact of the COVID-19 pandemic on demand for online grocery subsided from the first quarter to the second quarter of 2022, we believe that the year-over-year comparison for the second quarter of 2023 is more normalized. In particular, for our 2020 and 2021 customer cohorts, we saw a smaller year-over-year decline in GTV in the second quarter of 2023 compared to the first quarter of 2023. See the section titled “—Our Financial Model—Core Principles of Our Financial Model—Generate More Orders”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83185</wp:posOffset>
            </wp:positionV>
            <wp:extent cx="7239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3" w:lineRule="exact"/>
        <w:rPr>
          <w:sz w:val="20"/>
          <w:szCs w:val="20"/>
          <w:color w:val="auto"/>
        </w:rPr>
      </w:pPr>
    </w:p>
    <w:p>
      <w:pPr>
        <w:ind w:left="860" w:hanging="403"/>
        <w:spacing w:after="0"/>
        <w:tabs>
          <w:tab w:leader="none" w:pos="860" w:val="left"/>
        </w:tabs>
        <w:numPr>
          <w:ilvl w:val="0"/>
          <w:numId w:val="119"/>
        </w:numPr>
        <w:rPr>
          <w:rFonts w:ascii="Arial" w:cs="Arial" w:eastAsia="Arial" w:hAnsi="Arial"/>
          <w:sz w:val="10"/>
          <w:szCs w:val="10"/>
          <w:color w:val="auto"/>
        </w:rPr>
      </w:pPr>
      <w:r>
        <w:rPr>
          <w:rFonts w:ascii="Arial" w:cs="Arial" w:eastAsia="Arial" w:hAnsi="Arial"/>
          <w:sz w:val="13"/>
          <w:szCs w:val="13"/>
          <w:color w:val="auto"/>
        </w:rPr>
        <w:t>Incisiv.</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19"/>
        </w:numPr>
        <w:rPr>
          <w:rFonts w:ascii="Arial" w:cs="Arial" w:eastAsia="Arial" w:hAnsi="Arial"/>
          <w:sz w:val="10"/>
          <w:szCs w:val="10"/>
          <w:color w:val="auto"/>
        </w:rPr>
      </w:pPr>
      <w:r>
        <w:rPr>
          <w:rFonts w:ascii="Arial" w:cs="Arial" w:eastAsia="Arial" w:hAnsi="Arial"/>
          <w:sz w:val="13"/>
          <w:szCs w:val="13"/>
          <w:color w:val="auto"/>
        </w:rPr>
        <w:t>Number of retail banners as of June 30, 2023. Percent of U.S. grocery market based on total grocery sales in 2022, excluding alcohol sales. CSG.</w:t>
      </w:r>
    </w:p>
    <w:p>
      <w:pPr>
        <w:ind w:left="860" w:hanging="403"/>
        <w:spacing w:after="0"/>
        <w:tabs>
          <w:tab w:leader="none" w:pos="860" w:val="left"/>
        </w:tabs>
        <w:numPr>
          <w:ilvl w:val="0"/>
          <w:numId w:val="119"/>
        </w:numPr>
        <w:rPr>
          <w:rFonts w:ascii="Arial" w:cs="Arial" w:eastAsia="Arial" w:hAnsi="Arial"/>
          <w:sz w:val="10"/>
          <w:szCs w:val="10"/>
          <w:color w:val="auto"/>
        </w:rPr>
      </w:pPr>
      <w:r>
        <w:rPr>
          <w:rFonts w:ascii="Arial" w:cs="Arial" w:eastAsia="Arial" w:hAnsi="Arial"/>
          <w:sz w:val="13"/>
          <w:szCs w:val="13"/>
          <w:color w:val="auto"/>
        </w:rPr>
        <w:t>Cadent.</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780"/>
          </w:cols>
          <w:pgMar w:left="320" w:top="440" w:right="79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5717540" cy="26777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7540" cy="267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“NM” - not meaningful</w:t>
      </w:r>
    </w:p>
    <w:p>
      <w:pPr>
        <w:spacing w:after="0" w:line="235" w:lineRule="exact"/>
        <w:rPr>
          <w:sz w:val="20"/>
          <w:szCs w:val="20"/>
          <w:color w:val="auto"/>
        </w:rPr>
      </w:pPr>
    </w:p>
    <w:p>
      <w:pPr>
        <w:ind w:left="1360" w:hanging="498"/>
        <w:spacing w:after="0" w:line="293" w:lineRule="auto"/>
        <w:tabs>
          <w:tab w:leader="none" w:pos="1360" w:val="left"/>
        </w:tabs>
        <w:numPr>
          <w:ilvl w:val="0"/>
          <w:numId w:val="120"/>
        </w:numPr>
        <w:rPr>
          <w:rFonts w:ascii="Arial" w:cs="Arial" w:eastAsia="Arial" w:hAnsi="Arial"/>
          <w:sz w:val="15"/>
          <w:szCs w:val="15"/>
          <w:color w:val="auto"/>
        </w:rPr>
      </w:pPr>
      <w:r>
        <w:rPr>
          <w:rFonts w:ascii="Arial" w:cs="Arial" w:eastAsia="Arial" w:hAnsi="Arial"/>
          <w:sz w:val="15"/>
          <w:szCs w:val="15"/>
          <w:b w:val="1"/>
          <w:bCs w:val="1"/>
          <w:i w:val="1"/>
          <w:iCs w:val="1"/>
          <w:color w:val="auto"/>
        </w:rPr>
        <w:t>New Customer GTV</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While total GTV from each customer cohort in its first year on Instacart has declined since 2020, our 2023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cohort still generated more GTV in its six months on Instacart than those from pre-COVID periods. In the first six months of 2023, our GTV from new customers was 1.6 times higher than our GTV from new customers in the first six months of 2019. This is driven in part by the continued scaling of our business and customer acquisition spend compared to pre-COVID periods. We believe this demonstrates our ability to continue to attract new customers supported by our strong value proposition and the growth runway in online grocery. See the section titled “—Our Financial Model—Core Principles of Our Financial Model—Re-Invest for Growth” for more information.</w:t>
      </w:r>
    </w:p>
    <w:p>
      <w:pPr>
        <w:spacing w:after="0" w:line="66" w:lineRule="exact"/>
        <w:rPr>
          <w:rFonts w:ascii="Arial" w:cs="Arial" w:eastAsia="Arial" w:hAnsi="Arial"/>
          <w:sz w:val="15"/>
          <w:szCs w:val="15"/>
          <w:color w:val="auto"/>
        </w:rPr>
      </w:pPr>
    </w:p>
    <w:p>
      <w:pPr>
        <w:ind w:left="1360" w:right="20" w:hanging="498"/>
        <w:spacing w:after="0" w:line="212" w:lineRule="auto"/>
        <w:tabs>
          <w:tab w:leader="none" w:pos="1360" w:val="left"/>
        </w:tabs>
        <w:numPr>
          <w:ilvl w:val="0"/>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Market Dynamics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continued to maintain our strong share of sales among select digital-first platforms, as described further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section titled “Business—Our Industry—Online Grocery Market Dynamics.” The sales volume of our retail partners generated through Instacart Marketplace and Storefront represents the leading share of sales based on total online grocery sales in the United States of certain digital-first platforms in both larger and smaller order sizes, representing 74% of orders greater than $75 and 56% of orders less than $75 for the six months ended June 30, 2023.</w:t>
      </w:r>
      <w:r>
        <w:rPr>
          <w:rFonts w:ascii="Arial" w:cs="Arial" w:eastAsia="Arial" w:hAnsi="Arial"/>
          <w:sz w:val="24"/>
          <w:szCs w:val="24"/>
          <w:color w:val="auto"/>
          <w:vertAlign w:val="superscript"/>
        </w:rPr>
        <w:t>84</w:t>
      </w:r>
      <w:r>
        <w:rPr>
          <w:rFonts w:ascii="Arial" w:cs="Arial" w:eastAsia="Arial" w:hAnsi="Arial"/>
          <w:sz w:val="16"/>
          <w:szCs w:val="16"/>
          <w:color w:val="auto"/>
        </w:rPr>
        <w:t xml:space="preserve"> Compared to the six months ended June 30, 2022, we have maintained share for orders greater than $75 and increased share from 54% of orders less than $75, despite new entrants in online grocery with order volumes more concentrated in smaller basket sizes.</w:t>
      </w:r>
      <w:r>
        <w:rPr>
          <w:rFonts w:ascii="Arial" w:cs="Arial" w:eastAsia="Arial" w:hAnsi="Arial"/>
          <w:sz w:val="24"/>
          <w:szCs w:val="24"/>
          <w:color w:val="auto"/>
          <w:vertAlign w:val="superscript"/>
        </w:rPr>
        <w:t>85</w:t>
      </w:r>
      <w:r>
        <w:rPr>
          <w:rFonts w:ascii="Arial" w:cs="Arial" w:eastAsia="Arial" w:hAnsi="Arial"/>
          <w:sz w:val="16"/>
          <w:szCs w:val="16"/>
          <w:color w:val="auto"/>
        </w:rPr>
        <w:t xml:space="preserve"> Our market opportunity remains significant at $1.1 trillion today, and we see a clear runway to support our growth as only 12% of that spend was online as of 2022.</w:t>
      </w:r>
      <w:r>
        <w:rPr>
          <w:rFonts w:ascii="Arial" w:cs="Arial" w:eastAsia="Arial" w:hAnsi="Arial"/>
          <w:sz w:val="24"/>
          <w:szCs w:val="24"/>
          <w:color w:val="auto"/>
          <w:vertAlign w:val="superscript"/>
        </w:rPr>
        <w:t>86</w:t>
      </w:r>
      <w:r>
        <w:rPr>
          <w:rFonts w:ascii="Arial" w:cs="Arial" w:eastAsia="Arial" w:hAnsi="Arial"/>
          <w:sz w:val="16"/>
          <w:szCs w:val="16"/>
          <w:color w:val="auto"/>
        </w:rPr>
        <w:t xml:space="preserve"> Online grocery penetration could double or more, reaching as high as 35% over time.</w:t>
      </w:r>
      <w:r>
        <w:rPr>
          <w:rFonts w:ascii="Arial" w:cs="Arial" w:eastAsia="Arial" w:hAnsi="Arial"/>
          <w:sz w:val="24"/>
          <w:szCs w:val="24"/>
          <w:color w:val="auto"/>
          <w:vertAlign w:val="superscript"/>
        </w:rPr>
        <w:t>87</w:t>
      </w:r>
      <w:r>
        <w:rPr>
          <w:rFonts w:ascii="Arial" w:cs="Arial" w:eastAsia="Arial" w:hAnsi="Arial"/>
          <w:sz w:val="16"/>
          <w:szCs w:val="16"/>
          <w:color w:val="auto"/>
        </w:rPr>
        <w:t xml:space="preserve"> As the leading grocery technology company in North America,</w:t>
      </w:r>
      <w:r>
        <w:rPr>
          <w:rFonts w:ascii="Arial" w:cs="Arial" w:eastAsia="Arial" w:hAnsi="Arial"/>
          <w:sz w:val="24"/>
          <w:szCs w:val="24"/>
          <w:color w:val="auto"/>
          <w:vertAlign w:val="superscript"/>
        </w:rPr>
        <w:t>88</w:t>
      </w:r>
      <w:r>
        <w:rPr>
          <w:rFonts w:ascii="Arial" w:cs="Arial" w:eastAsia="Arial" w:hAnsi="Arial"/>
          <w:sz w:val="16"/>
          <w:szCs w:val="16"/>
          <w:color w:val="auto"/>
        </w:rPr>
        <w:t xml:space="preserve"> we believe we are best positioned to benefit from this long-term online adoption and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85090</wp:posOffset>
            </wp:positionV>
            <wp:extent cx="7239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6" w:lineRule="exact"/>
        <w:rPr>
          <w:sz w:val="20"/>
          <w:szCs w:val="20"/>
          <w:color w:val="auto"/>
        </w:rPr>
      </w:pPr>
    </w:p>
    <w:p>
      <w:pPr>
        <w:ind w:left="660" w:hanging="203"/>
        <w:spacing w:after="0"/>
        <w:tabs>
          <w:tab w:leader="none" w:pos="660" w:val="left"/>
        </w:tabs>
        <w:numPr>
          <w:ilvl w:val="0"/>
          <w:numId w:val="121"/>
        </w:numPr>
        <w:rPr>
          <w:rFonts w:ascii="Arial" w:cs="Arial" w:eastAsia="Arial" w:hAnsi="Arial"/>
          <w:sz w:val="10"/>
          <w:szCs w:val="10"/>
          <w:color w:val="auto"/>
        </w:rPr>
      </w:pPr>
      <w:r>
        <w:rPr>
          <w:rFonts w:ascii="Arial" w:cs="Arial" w:eastAsia="Arial" w:hAnsi="Arial"/>
          <w:sz w:val="13"/>
          <w:szCs w:val="13"/>
          <w:color w:val="auto"/>
        </w:rPr>
        <w:t>YipitData. See footnote 126 for additional information.</w:t>
      </w:r>
    </w:p>
    <w:p>
      <w:pPr>
        <w:spacing w:after="0" w:line="1" w:lineRule="exact"/>
        <w:rPr>
          <w:rFonts w:ascii="Arial" w:cs="Arial" w:eastAsia="Arial" w:hAnsi="Arial"/>
          <w:sz w:val="10"/>
          <w:szCs w:val="10"/>
          <w:color w:val="auto"/>
        </w:rPr>
      </w:pPr>
    </w:p>
    <w:p>
      <w:pPr>
        <w:ind w:left="660" w:hanging="203"/>
        <w:spacing w:after="0" w:line="223" w:lineRule="auto"/>
        <w:tabs>
          <w:tab w:leader="none" w:pos="660" w:val="left"/>
        </w:tabs>
        <w:numPr>
          <w:ilvl w:val="0"/>
          <w:numId w:val="121"/>
        </w:numPr>
        <w:rPr>
          <w:rFonts w:ascii="Arial" w:cs="Arial" w:eastAsia="Arial" w:hAnsi="Arial"/>
          <w:sz w:val="10"/>
          <w:szCs w:val="10"/>
          <w:color w:val="auto"/>
        </w:rPr>
      </w:pPr>
      <w:r>
        <w:rPr>
          <w:rFonts w:ascii="Arial" w:cs="Arial" w:eastAsia="Arial" w:hAnsi="Arial"/>
          <w:sz w:val="13"/>
          <w:szCs w:val="13"/>
          <w:color w:val="auto"/>
        </w:rPr>
        <w:t>YipitData. See footnote 126 for additional information.</w:t>
      </w:r>
    </w:p>
    <w:p>
      <w:pPr>
        <w:ind w:left="660" w:hanging="203"/>
        <w:spacing w:after="0" w:line="223" w:lineRule="auto"/>
        <w:tabs>
          <w:tab w:leader="none" w:pos="660" w:val="left"/>
        </w:tabs>
        <w:numPr>
          <w:ilvl w:val="0"/>
          <w:numId w:val="121"/>
        </w:numPr>
        <w:rPr>
          <w:rFonts w:ascii="Arial" w:cs="Arial" w:eastAsia="Arial" w:hAnsi="Arial"/>
          <w:sz w:val="10"/>
          <w:szCs w:val="10"/>
          <w:color w:val="auto"/>
        </w:rPr>
      </w:pPr>
      <w:r>
        <w:rPr>
          <w:rFonts w:ascii="Arial" w:cs="Arial" w:eastAsia="Arial" w:hAnsi="Arial"/>
          <w:sz w:val="13"/>
          <w:szCs w:val="13"/>
          <w:color w:val="auto"/>
        </w:rPr>
        <w:t>Incisiv.</w:t>
      </w:r>
    </w:p>
    <w:p>
      <w:pPr>
        <w:ind w:left="660" w:hanging="203"/>
        <w:spacing w:after="0" w:line="223" w:lineRule="auto"/>
        <w:tabs>
          <w:tab w:leader="none" w:pos="660" w:val="left"/>
        </w:tabs>
        <w:numPr>
          <w:ilvl w:val="0"/>
          <w:numId w:val="121"/>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ind w:left="660" w:hanging="203"/>
        <w:spacing w:after="0"/>
        <w:tabs>
          <w:tab w:leader="none" w:pos="660" w:val="left"/>
        </w:tabs>
        <w:numPr>
          <w:ilvl w:val="0"/>
          <w:numId w:val="121"/>
        </w:numPr>
        <w:rPr>
          <w:rFonts w:ascii="Arial" w:cs="Arial" w:eastAsia="Arial" w:hAnsi="Arial"/>
          <w:sz w:val="10"/>
          <w:szCs w:val="10"/>
          <w:color w:val="auto"/>
        </w:rPr>
      </w:pPr>
      <w:r>
        <w:rPr>
          <w:rFonts w:ascii="Arial" w:cs="Arial" w:eastAsia="Arial" w:hAnsi="Arial"/>
          <w:sz w:val="13"/>
          <w:szCs w:val="13"/>
          <w:color w:val="auto"/>
        </w:rPr>
        <w:t>Based on total online grocery sales in 2022.</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760"/>
          </w:cols>
          <w:pgMar w:left="320" w:top="440" w:right="81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5717540" cy="24364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7540" cy="243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60" w:right="20" w:hanging="403"/>
        <w:spacing w:after="0" w:line="228" w:lineRule="auto"/>
        <w:tabs>
          <w:tab w:leader="none" w:pos="8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Based on data provided by YipitData. For the period from January 1, 2020 to June 30, 2023. Order value data are based on email receipts for online transactions from select online grocery platforms, including Instacart. YipitData’s affiliate collects the email receipts from a panel of consumers who have opted to provide YipitData’s affiliate with access to such receipts. YipitData’s affiliate does not apply any other selection criteria or parameters for which consumers can opt in and provide data. While the number of consumers providing data to YipitData’s affiliate fluctuates over time depending on various factors, including which consumers have opted in, over the time period for which data were collected, the total number was greater than 1,000,000 consumers. Order values for each platform include total amounts paid as derived from the email receipts, including item subtotals, fees, taxes, and tips as well as discounts, as determined by YipitData. Data include transactions for online grocery and convenience, including both delivery and pickup orders. For Instacart, the data exclude transactions on retailers’ owned and operated online storefronts powered by Storefront Pro and Instacart APIs as described in the following footnote, and include transactions on retailers’ owned and operated online storefronts powered by Storefront. The data also reflect certain additional adjustments for non-representative transactions (such as duplicate orders) and overrepresented geographies. Because the order values are based only on email purchase receipts from consumers who have opted to provide data to YipitData’s affiliate, the data represent only a sample of consumers on each online platform and may not be representative of order values for all consumers on each platform or at each retailer for the measurement period.</w:t>
      </w:r>
    </w:p>
    <w:p>
      <w:pPr>
        <w:spacing w:after="0" w:line="84" w:lineRule="exact"/>
        <w:rPr>
          <w:rFonts w:ascii="Arial" w:cs="Arial" w:eastAsia="Arial" w:hAnsi="Arial"/>
          <w:sz w:val="13"/>
          <w:szCs w:val="13"/>
          <w:color w:val="auto"/>
        </w:rPr>
      </w:pPr>
    </w:p>
    <w:p>
      <w:pPr>
        <w:ind w:left="860" w:right="160" w:hanging="403"/>
        <w:spacing w:after="0" w:line="262" w:lineRule="auto"/>
        <w:tabs>
          <w:tab w:leader="none" w:pos="86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YipitData identifies order values based on email receipts from consumers who have opted to provide YipitData’s affiliate with access to such receipts. Consumer transactions on our retailers’ owned and operated online storefronts powered by Storefront Pro (our more customizable eCommerce storefront offering) and Instacart APIs (our fulfillment APIs that are embedded in retailers’ own eCommerce storefronts), two of our Instacart Enterprise Platform offerings, cannot be identified as Instacart-related transactions on email receipts. As a result, such transactions are not counted as Instacart orders for purposes of the charts above and are attributed to GTV of our retail partners instead.</w:t>
      </w:r>
    </w:p>
    <w:p>
      <w:pPr>
        <w:spacing w:after="0" w:line="74" w:lineRule="exact"/>
        <w:rPr>
          <w:rFonts w:ascii="Arial" w:cs="Arial" w:eastAsia="Arial" w:hAnsi="Arial"/>
          <w:sz w:val="12"/>
          <w:szCs w:val="12"/>
          <w:color w:val="auto"/>
        </w:rPr>
      </w:pPr>
    </w:p>
    <w:p>
      <w:pPr>
        <w:ind w:left="1360" w:hanging="498"/>
        <w:spacing w:after="0" w:line="252" w:lineRule="auto"/>
        <w:tabs>
          <w:tab w:leader="none" w:pos="1360" w:val="left"/>
        </w:tabs>
        <w:numPr>
          <w:ilvl w:val="1"/>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Profitable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prioritize profitable growth in our business, as described further under the section titled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Model—Core Principles of Our Financial Model—Drivers of Profitability,” and have driven significant efficiencies in 2023. In the first six months of 2023, we generated net income of $242 million and Adjusted EBITDA of $279 million, representing 1.6% and 1.9% of GTV, respectively, and 16% and 19% of revenue, respectively, compared to a net loss of $74 million and Adjusted EBITDA of $(20) million, representing (0.5)% and (0.1)% of GTV, respectively, and (7)% and (2)% of revenue, respectively, in the same period of 2022. The first and second quarters of 2023 represent our fourth and fifth consecutive quarters of net income and positive Adjusted EBITDA. We plan to continue to reinvest in our business to strengthen the compelling value proposition we offer to our retail partners, customers, brand partners, and shoppers.</w:t>
      </w:r>
    </w:p>
    <w:p>
      <w:pPr>
        <w:spacing w:after="0" w:line="92" w:lineRule="exact"/>
        <w:rPr>
          <w:rFonts w:ascii="Arial" w:cs="Arial" w:eastAsia="Arial" w:hAnsi="Arial"/>
          <w:sz w:val="17"/>
          <w:szCs w:val="17"/>
          <w:color w:val="auto"/>
        </w:rPr>
      </w:pPr>
    </w:p>
    <w:p>
      <w:pPr>
        <w:ind w:left="2400" w:right="220" w:hanging="499"/>
        <w:spacing w:after="0" w:line="277" w:lineRule="auto"/>
        <w:tabs>
          <w:tab w:leader="none" w:pos="2400" w:val="left"/>
        </w:tabs>
        <w:numPr>
          <w:ilvl w:val="2"/>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Revenue Cost Optimization. </w:t>
      </w:r>
      <w:r>
        <w:rPr>
          <w:rFonts w:ascii="Arial" w:cs="Arial" w:eastAsia="Arial" w:hAnsi="Arial"/>
          <w:sz w:val="16"/>
          <w:szCs w:val="16"/>
          <w:color w:val="auto"/>
        </w:rPr>
        <w:t>In the first six months of 2023, we continued to improve efficiencies in areas that negatively</w:t>
      </w:r>
      <w:r>
        <w:rPr>
          <w:rFonts w:ascii="Arial" w:cs="Arial" w:eastAsia="Arial" w:hAnsi="Arial"/>
          <w:sz w:val="16"/>
          <w:szCs w:val="16"/>
          <w:i w:val="1"/>
          <w:iCs w:val="1"/>
          <w:color w:val="auto"/>
        </w:rPr>
        <w:t xml:space="preserve"> </w:t>
      </w:r>
      <w:r>
        <w:rPr>
          <w:rFonts w:ascii="Arial" w:cs="Arial" w:eastAsia="Arial" w:hAnsi="Arial"/>
          <w:sz w:val="16"/>
          <w:szCs w:val="16"/>
          <w:color w:val="auto"/>
        </w:rPr>
        <w:t>impact revenue and gross profit and benefitted from previous customer fee optimizations. We improved fulfillment efficiencies as we increased our batch rate, reduced shopper incentives that were required during the first six months of 2022 due to the Omicron-driven demand surge, and reduced customer appeasements and</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780"/>
          </w:cols>
          <w:pgMar w:left="320" w:top="440" w:right="79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300" w:right="100"/>
        <w:spacing w:after="0" w:line="291" w:lineRule="auto"/>
        <w:rPr>
          <w:sz w:val="20"/>
          <w:szCs w:val="20"/>
          <w:color w:val="auto"/>
        </w:rPr>
      </w:pPr>
      <w:r>
        <w:rPr>
          <w:rFonts w:ascii="Arial" w:cs="Arial" w:eastAsia="Arial" w:hAnsi="Arial"/>
          <w:sz w:val="15"/>
          <w:szCs w:val="15"/>
          <w:color w:val="auto"/>
        </w:rPr>
        <w:t>refunds, in each case as compared to the first six months of 2022. Together, these efficiencies more than offset elevated concessions to retailers in the second quarter of 2023 that decreased revenue and helped drive transaction revenue as a percent of GTV of 7.2% in the first six months of 2023, compared to 5.6% in the same period of 2022. These improvements also led to higher gross margin of 7.4% of GTV and 75% of revenue in the first six months of 2023, compared to 5.4% of GTV and 68% of revenue in the same period of 2022. As shown below, our gross profit by cohort for the six months ended June 30 in 2019, 2020, 2021, 2022, and 2023 illustrates the steady improvements we have driven over time, with all cohorts achieving their highest gross profit as a percent of GTV in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51435</wp:posOffset>
            </wp:positionV>
            <wp:extent cx="4865370" cy="22599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65370" cy="225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0" w:hanging="499"/>
        <w:spacing w:after="0" w:line="286" w:lineRule="auto"/>
        <w:tabs>
          <w:tab w:leader="none" w:pos="2400" w:val="left"/>
        </w:tabs>
        <w:numPr>
          <w:ilvl w:val="1"/>
          <w:numId w:val="123"/>
        </w:numPr>
        <w:rPr>
          <w:rFonts w:ascii="Arial" w:cs="Arial" w:eastAsia="Arial" w:hAnsi="Arial"/>
          <w:sz w:val="15"/>
          <w:szCs w:val="15"/>
          <w:color w:val="auto"/>
        </w:rPr>
      </w:pPr>
      <w:r>
        <w:rPr>
          <w:rFonts w:ascii="Arial" w:cs="Arial" w:eastAsia="Arial" w:hAnsi="Arial"/>
          <w:sz w:val="15"/>
          <w:szCs w:val="15"/>
          <w:i w:val="1"/>
          <w:iCs w:val="1"/>
          <w:color w:val="auto"/>
        </w:rPr>
        <w:t>Operating Expense Efficiencies</w:t>
      </w:r>
      <w:r>
        <w:rPr>
          <w:rFonts w:ascii="Arial" w:cs="Arial" w:eastAsia="Arial" w:hAnsi="Arial"/>
          <w:sz w:val="15"/>
          <w:szCs w:val="15"/>
          <w:color w:val="auto"/>
        </w:rPr>
        <w:t>. In the first six months of 2023, we continued to benefit from growing economies of scale,</w:t>
      </w:r>
      <w:r>
        <w:rPr>
          <w:rFonts w:ascii="Arial" w:cs="Arial" w:eastAsia="Arial" w:hAnsi="Arial"/>
          <w:sz w:val="15"/>
          <w:szCs w:val="15"/>
          <w:i w:val="1"/>
          <w:iCs w:val="1"/>
          <w:color w:val="auto"/>
        </w:rPr>
        <w:t xml:space="preserve"> </w:t>
      </w:r>
      <w:r>
        <w:rPr>
          <w:rFonts w:ascii="Arial" w:cs="Arial" w:eastAsia="Arial" w:hAnsi="Arial"/>
          <w:sz w:val="15"/>
          <w:szCs w:val="15"/>
          <w:color w:val="auto"/>
        </w:rPr>
        <w:t>automation, business process improvements, and better spend management. As a result, we experienced operating leverage across all operating expenses compared to the same period of 2022 and increased our net income (loss) as a percent of revenue and Adjusted EBITDA margin to 16% and 19%, respectively, in the first six months of 2023 compared to (7)% and</w:t>
      </w:r>
    </w:p>
    <w:p>
      <w:pPr>
        <w:ind w:left="2400" w:right="20"/>
        <w:spacing w:after="0" w:line="250" w:lineRule="auto"/>
        <w:rPr>
          <w:rFonts w:ascii="Arial" w:cs="Arial" w:eastAsia="Arial" w:hAnsi="Arial"/>
          <w:sz w:val="15"/>
          <w:szCs w:val="15"/>
          <w:color w:val="auto"/>
        </w:rPr>
      </w:pPr>
      <w:r>
        <w:rPr>
          <w:rFonts w:ascii="Arial" w:cs="Arial" w:eastAsia="Arial" w:hAnsi="Arial"/>
          <w:sz w:val="17"/>
          <w:szCs w:val="17"/>
          <w:color w:val="auto"/>
        </w:rPr>
        <w:t>(2)%, respectively, in the same period of 2022. We significantly increased both net income and Adjusted EBITDA despite certain events in the second quarter of 2023 that lowered both figures. We had an impact from increased cash compensation associated with cash bonuses and in April 2023, certain employees opting to elect cash in lieu of a portion of their equity awards. Offering these cash alternatives enabled us to provide our employees with liquidity while minimizing equity dilution.</w:t>
      </w:r>
    </w:p>
    <w:p>
      <w:pPr>
        <w:spacing w:after="0" w:line="97" w:lineRule="exact"/>
        <w:rPr>
          <w:rFonts w:ascii="Arial" w:cs="Arial" w:eastAsia="Arial" w:hAnsi="Arial"/>
          <w:sz w:val="15"/>
          <w:szCs w:val="15"/>
          <w:color w:val="auto"/>
        </w:rPr>
      </w:pPr>
    </w:p>
    <w:p>
      <w:pPr>
        <w:ind w:left="1360" w:right="20" w:hanging="498"/>
        <w:spacing w:after="0" w:line="270" w:lineRule="auto"/>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Disciplined Equity Compensation and Dilution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it is important to have equity as a component of our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 as it fosters an ownership culture within Instacart and helps align the interests of our employees with business outcomes, while exercising discipline to manage the dilutive impact of equity compensation. We have also improved our operating cash flow generation, generating $242 million in the first six months of 2023, compared to $99 million in the same period of 2022. Our strong and growing cash position enables us to offer cash alternatives to employees while allowing us to optimize our decisions to minimize dilution. As a result, in the first six months of 2023, we reduced the grant-date fair value of equity issued in such period to $314 million, compared to $716 million in the first six months of 2022, as outlined in the table below.</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780"/>
          </w:cols>
          <w:pgMar w:left="320" w:top="440" w:right="79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17"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RSUs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center"/>
              <w:ind w:right="63"/>
              <w:spacing w:after="0"/>
              <w:rPr>
                <w:sz w:val="20"/>
                <w:szCs w:val="20"/>
                <w:color w:val="auto"/>
              </w:rPr>
            </w:pPr>
            <w:r>
              <w:rPr>
                <w:rFonts w:ascii="Arial" w:cs="Arial" w:eastAsia="Arial" w:hAnsi="Arial"/>
                <w:sz w:val="13"/>
                <w:szCs w:val="13"/>
                <w:b w:val="1"/>
                <w:bCs w:val="1"/>
                <w:color w:val="auto"/>
              </w:rPr>
              <w:t>Fair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Total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4"/>
              </w:rPr>
              <w:t>of RSUs</w:t>
            </w:r>
          </w:p>
        </w:tc>
        <w:tc>
          <w:tcPr>
            <w:tcW w:w="0" w:type="dxa"/>
            <w:vAlign w:val="bottom"/>
          </w:tcPr>
          <w:p>
            <w:pPr>
              <w:spacing w:after="0"/>
              <w:rPr>
                <w:sz w:val="1"/>
                <w:szCs w:val="1"/>
                <w:color w:val="auto"/>
              </w:rPr>
            </w:pPr>
          </w:p>
        </w:tc>
      </w:tr>
      <w:tr>
        <w:trPr>
          <w:trHeight w:val="139"/>
        </w:trPr>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Period Covered</w:t>
            </w:r>
          </w:p>
        </w:tc>
        <w:tc>
          <w:tcPr>
            <w:tcW w:w="386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Granted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3"/>
              <w:spacing w:after="0" w:line="139" w:lineRule="exact"/>
              <w:rPr>
                <w:sz w:val="20"/>
                <w:szCs w:val="20"/>
                <w:color w:val="auto"/>
              </w:rPr>
            </w:pPr>
            <w:r>
              <w:rPr>
                <w:rFonts w:ascii="Arial" w:cs="Arial" w:eastAsia="Arial" w:hAnsi="Arial"/>
                <w:sz w:val="13"/>
                <w:szCs w:val="13"/>
                <w:b w:val="1"/>
                <w:bCs w:val="1"/>
                <w:color w:val="auto"/>
              </w:rPr>
              <w:t>Market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6"/>
              </w:rPr>
              <w:t>Granted</w:t>
            </w:r>
          </w:p>
        </w:tc>
        <w:tc>
          <w:tcPr>
            <w:tcW w:w="0" w:type="dxa"/>
            <w:vAlign w:val="bottom"/>
          </w:tcPr>
          <w:p>
            <w:pPr>
              <w:spacing w:after="0"/>
              <w:rPr>
                <w:sz w:val="1"/>
                <w:szCs w:val="1"/>
                <w:color w:val="auto"/>
              </w:rPr>
            </w:pPr>
          </w:p>
        </w:tc>
      </w:tr>
      <w:tr>
        <w:trPr>
          <w:trHeight w:val="167"/>
        </w:trPr>
        <w:tc>
          <w:tcPr>
            <w:tcW w:w="920" w:type="dxa"/>
            <w:vAlign w:val="bottom"/>
            <w:gridSpan w:val="2"/>
            <w:vMerge w:val="continue"/>
          </w:tcPr>
          <w:p>
            <w:pPr>
              <w:spacing w:after="0"/>
              <w:rPr>
                <w:sz w:val="14"/>
                <w:szCs w:val="14"/>
                <w:color w:val="auto"/>
              </w:rPr>
            </w:pPr>
          </w:p>
        </w:tc>
        <w:tc>
          <w:tcPr>
            <w:tcW w:w="4700" w:type="dxa"/>
            <w:vAlign w:val="bottom"/>
            <w:gridSpan w:val="2"/>
          </w:tcPr>
          <w:p>
            <w:pPr>
              <w:jc w:val="center"/>
              <w:ind w:left="3760"/>
              <w:spacing w:after="0" w:line="147" w:lineRule="exact"/>
              <w:rPr>
                <w:sz w:val="20"/>
                <w:szCs w:val="20"/>
                <w:color w:val="auto"/>
              </w:rPr>
            </w:pPr>
            <w:r>
              <w:rPr>
                <w:rFonts w:ascii="Arial" w:cs="Arial" w:eastAsia="Arial" w:hAnsi="Arial"/>
                <w:sz w:val="13"/>
                <w:szCs w:val="13"/>
                <w:b w:val="1"/>
                <w:bCs w:val="1"/>
                <w:color w:val="auto"/>
                <w:w w:val="96"/>
              </w:rPr>
              <w:t>(in millions)</w:t>
            </w:r>
            <w:r>
              <w:rPr>
                <w:rFonts w:ascii="Arial" w:cs="Arial" w:eastAsia="Arial" w:hAnsi="Arial"/>
                <w:sz w:val="10"/>
                <w:szCs w:val="10"/>
                <w:b w:val="1"/>
                <w:bCs w:val="1"/>
                <w:color w:val="auto"/>
                <w:w w:val="96"/>
              </w:rPr>
              <w:t>(1)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3"/>
              <w:spacing w:after="0" w:line="147" w:lineRule="exact"/>
              <w:rPr>
                <w:sz w:val="20"/>
                <w:szCs w:val="20"/>
                <w:color w:val="auto"/>
              </w:rPr>
            </w:pPr>
            <w:r>
              <w:rPr>
                <w:rFonts w:ascii="Arial" w:cs="Arial" w:eastAsia="Arial" w:hAnsi="Arial"/>
                <w:sz w:val="13"/>
                <w:szCs w:val="13"/>
                <w:b w:val="1"/>
                <w:bCs w:val="1"/>
                <w:color w:val="auto"/>
                <w:w w:val="92"/>
              </w:rPr>
              <w:t>Value</w:t>
            </w:r>
          </w:p>
        </w:tc>
        <w:tc>
          <w:tcPr>
            <w:tcW w:w="1580" w:type="dxa"/>
            <w:vAlign w:val="bottom"/>
            <w:gridSpan w:val="4"/>
          </w:tcPr>
          <w:p>
            <w:pPr>
              <w:jc w:val="center"/>
              <w:ind w:left="580"/>
              <w:spacing w:after="0" w:line="147" w:lineRule="exact"/>
              <w:rPr>
                <w:sz w:val="20"/>
                <w:szCs w:val="20"/>
                <w:color w:val="auto"/>
              </w:rPr>
            </w:pPr>
            <w:r>
              <w:rPr>
                <w:rFonts w:ascii="Arial" w:cs="Arial" w:eastAsia="Arial" w:hAnsi="Arial"/>
                <w:sz w:val="13"/>
                <w:szCs w:val="13"/>
                <w:b w:val="1"/>
                <w:bCs w:val="1"/>
                <w:color w:val="auto"/>
                <w:w w:val="93"/>
              </w:rPr>
              <w:t>(in millions)</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2021</w:t>
            </w:r>
          </w:p>
        </w:tc>
        <w:tc>
          <w:tcPr>
            <w:tcW w:w="38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18.3</w:t>
            </w: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120.02</w:t>
            </w: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2,191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2022</w:t>
            </w:r>
          </w:p>
        </w:tc>
        <w:tc>
          <w:tcPr>
            <w:tcW w:w="4700" w:type="dxa"/>
            <w:vAlign w:val="bottom"/>
            <w:gridSpan w:val="2"/>
          </w:tcPr>
          <w:p>
            <w:pPr>
              <w:jc w:val="right"/>
              <w:spacing w:after="0"/>
              <w:rPr>
                <w:sz w:val="20"/>
                <w:szCs w:val="20"/>
                <w:color w:val="auto"/>
              </w:rPr>
            </w:pPr>
            <w:r>
              <w:rPr>
                <w:rFonts w:ascii="Arial" w:cs="Arial" w:eastAsia="Arial" w:hAnsi="Arial"/>
                <w:sz w:val="17"/>
                <w:szCs w:val="17"/>
                <w:color w:val="auto"/>
              </w:rPr>
              <w:t>25.2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46.08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H1’2022</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H1’2023</w:t>
            </w:r>
          </w:p>
        </w:tc>
        <w:tc>
          <w:tcPr>
            <w:tcW w:w="470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35.72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81280</wp:posOffset>
            </wp:positionV>
            <wp:extent cx="7239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0" w:lineRule="exact"/>
        <w:rPr>
          <w:sz w:val="20"/>
          <w:szCs w:val="20"/>
          <w:color w:val="auto"/>
        </w:rPr>
      </w:pPr>
    </w:p>
    <w:p>
      <w:pPr>
        <w:ind w:left="860" w:hanging="403"/>
        <w:spacing w:after="0"/>
        <w:tabs>
          <w:tab w:leader="none" w:pos="8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Figures shown above are not net of forfeitures.</w:t>
      </w:r>
    </w:p>
    <w:p>
      <w:pPr>
        <w:spacing w:after="0" w:line="39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Components of Results of Operations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revenue consists of transaction revenue and advertising and other revenue.</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Transaction Revenue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generate transaction revenue primarily from:</w:t>
      </w:r>
    </w:p>
    <w:p>
      <w:pPr>
        <w:spacing w:after="0" w:line="121" w:lineRule="exact"/>
        <w:rPr>
          <w:sz w:val="20"/>
          <w:szCs w:val="20"/>
          <w:color w:val="auto"/>
        </w:rPr>
      </w:pPr>
    </w:p>
    <w:p>
      <w:pPr>
        <w:ind w:left="1360" w:hanging="498"/>
        <w:spacing w:after="0"/>
        <w:tabs>
          <w:tab w:leader="none" w:pos="13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end users, whom we refer to as customers, (i) through service and delivery fees paid for arranging fulfillment services from shoppers and</w:t>
      </w:r>
    </w:p>
    <w:p>
      <w:pPr>
        <w:spacing w:after="0" w:line="41" w:lineRule="exact"/>
        <w:rPr>
          <w:rFonts w:ascii="Arial" w:cs="Arial" w:eastAsia="Arial" w:hAnsi="Arial"/>
          <w:sz w:val="15"/>
          <w:szCs w:val="15"/>
          <w:color w:val="auto"/>
        </w:rPr>
      </w:pPr>
    </w:p>
    <w:p>
      <w:pPr>
        <w:ind w:left="1360" w:right="60" w:firstLine="9"/>
        <w:spacing w:after="0" w:line="257" w:lineRule="auto"/>
        <w:tabs>
          <w:tab w:leader="none" w:pos="160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for monthly or annual Instacart+ memberships, our membership program, which offers unlimited free delivery on orders over a certain size, a reduced service fee, credit back on eligible pickup orders, and exclusive benefits;</w:t>
      </w:r>
    </w:p>
    <w:p>
      <w:pPr>
        <w:spacing w:after="0" w:line="88" w:lineRule="exact"/>
        <w:rPr>
          <w:rFonts w:ascii="Arial" w:cs="Arial" w:eastAsia="Arial" w:hAnsi="Arial"/>
          <w:sz w:val="17"/>
          <w:szCs w:val="17"/>
          <w:color w:val="auto"/>
        </w:rPr>
      </w:pPr>
    </w:p>
    <w:p>
      <w:pPr>
        <w:ind w:left="1360" w:hanging="498"/>
        <w:spacing w:after="0"/>
        <w:tabs>
          <w:tab w:leader="none" w:pos="13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retailers (i) through service fees in exchange for connecting retailers with customers to facilitate transactions on Instacart Marketplace and</w:t>
      </w:r>
    </w:p>
    <w:p>
      <w:pPr>
        <w:spacing w:after="0" w:line="41" w:lineRule="exact"/>
        <w:rPr>
          <w:rFonts w:ascii="Arial" w:cs="Arial" w:eastAsia="Arial" w:hAnsi="Arial"/>
          <w:sz w:val="15"/>
          <w:szCs w:val="15"/>
          <w:color w:val="auto"/>
        </w:rPr>
      </w:pPr>
    </w:p>
    <w:p>
      <w:pPr>
        <w:ind w:left="1620" w:hanging="251"/>
        <w:spacing w:after="0"/>
        <w:tabs>
          <w:tab w:leader="none" w:pos="16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for orders placed through retailers’ owned and operated online storefronts powered by Instacart Enterprise Platform; and</w:t>
      </w:r>
    </w:p>
    <w:p>
      <w:pPr>
        <w:spacing w:after="0" w:line="109" w:lineRule="exact"/>
        <w:rPr>
          <w:rFonts w:ascii="Arial" w:cs="Arial" w:eastAsia="Arial" w:hAnsi="Arial"/>
          <w:sz w:val="17"/>
          <w:szCs w:val="17"/>
          <w:color w:val="auto"/>
        </w:rPr>
      </w:pPr>
    </w:p>
    <w:p>
      <w:pPr>
        <w:ind w:left="1360" w:hanging="498"/>
        <w:spacing w:after="0"/>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revenue share agreement with a third party that supplies payment cards to Instacart shoppers for in-store use.</w:t>
      </w:r>
    </w:p>
    <w:p>
      <w:pPr>
        <w:spacing w:after="0" w:line="210" w:lineRule="exact"/>
        <w:rPr>
          <w:sz w:val="20"/>
          <w:szCs w:val="20"/>
          <w:color w:val="auto"/>
        </w:rPr>
      </w:pPr>
    </w:p>
    <w:p>
      <w:pPr>
        <w:ind w:left="460" w:firstLine="413"/>
        <w:spacing w:after="0" w:line="266" w:lineRule="auto"/>
        <w:rPr>
          <w:sz w:val="20"/>
          <w:szCs w:val="20"/>
          <w:color w:val="auto"/>
        </w:rPr>
      </w:pPr>
      <w:r>
        <w:rPr>
          <w:rFonts w:ascii="Arial" w:cs="Arial" w:eastAsia="Arial" w:hAnsi="Arial"/>
          <w:sz w:val="16"/>
          <w:szCs w:val="16"/>
          <w:color w:val="auto"/>
        </w:rPr>
        <w:t>Transaction revenue is recognized upon transfer of control of services, net of the purchase value of the goods remitted to retailers and payments to shoppers for their services (including any shopper incentives), coupons, customer incentives, and refunds. We expect the amounts of payments to shoppers, coupons, customer and shopper incentives, and refunds to fluctuate over time depending on a number of factors. For example, implementation of additional fulfillment options or shifts in our ability to use full-service shoppers could result in fluctuations in our transaction revenue. In addition, periods of elevated customer demand have resulted in and can in the future result in increased shopper incentives and degradation of order quality due to higher rates of out-of-stock items and other delays, which in turn generally lead to more appeasement credits and refunds. Furthermore, our overall marketing strategy will impact the spend mix between promotions and</w:t>
      </w:r>
    </w:p>
    <w:p>
      <w:pPr>
        <w:spacing w:after="0" w:line="3" w:lineRule="exact"/>
        <w:rPr>
          <w:sz w:val="20"/>
          <w:szCs w:val="20"/>
          <w:color w:val="auto"/>
        </w:rPr>
      </w:pPr>
    </w:p>
    <w:p>
      <w:pPr>
        <w:ind w:left="460" w:right="260"/>
        <w:spacing w:after="0" w:line="257" w:lineRule="auto"/>
        <w:rPr>
          <w:sz w:val="20"/>
          <w:szCs w:val="20"/>
          <w:color w:val="auto"/>
        </w:rPr>
      </w:pPr>
      <w:r>
        <w:rPr>
          <w:rFonts w:ascii="Arial" w:cs="Arial" w:eastAsia="Arial" w:hAnsi="Arial"/>
          <w:sz w:val="17"/>
          <w:szCs w:val="17"/>
          <w:color w:val="auto"/>
        </w:rPr>
        <w:t>customer incentives, which are recorded as reductions of revenue and sales and marketing expense, respectively. In certain cases, these reductions of revenue can be more than fees received from customers and retailers.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Advertising and Other Revenue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generate advertising and other revenue primarily from:</w:t>
      </w:r>
    </w:p>
    <w:p>
      <w:pPr>
        <w:spacing w:after="0" w:line="121" w:lineRule="exact"/>
        <w:rPr>
          <w:sz w:val="20"/>
          <w:szCs w:val="20"/>
          <w:color w:val="auto"/>
        </w:rPr>
      </w:pPr>
    </w:p>
    <w:p>
      <w:pPr>
        <w:ind w:left="1360" w:hanging="498"/>
        <w:spacing w:after="0"/>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sale of advertising services to brands that are interested in reaching customers on Instacart; and</w:t>
      </w:r>
    </w:p>
    <w:p>
      <w:pPr>
        <w:spacing w:after="0" w:line="121" w:lineRule="exact"/>
        <w:rPr>
          <w:rFonts w:ascii="Arial" w:cs="Arial" w:eastAsia="Arial" w:hAnsi="Arial"/>
          <w:sz w:val="17"/>
          <w:szCs w:val="17"/>
          <w:color w:val="auto"/>
        </w:rPr>
      </w:pPr>
    </w:p>
    <w:p>
      <w:pPr>
        <w:ind w:left="1360" w:right="420" w:hanging="498"/>
        <w:spacing w:after="0" w:line="272"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certain retailers for use of our software-as-a-service solution through Instacart Enterprise Platform that enhances the online shopping experience, with revenue recognized ratably over the subscription period.</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760"/>
          </w:cols>
          <w:pgMar w:left="320" w:top="440" w:right="81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40" w:firstLine="413"/>
        <w:spacing w:after="0" w:line="311" w:lineRule="auto"/>
        <w:rPr>
          <w:sz w:val="20"/>
          <w:szCs w:val="20"/>
          <w:color w:val="auto"/>
        </w:rPr>
      </w:pPr>
      <w:r>
        <w:rPr>
          <w:rFonts w:ascii="Arial" w:cs="Arial" w:eastAsia="Arial" w:hAnsi="Arial"/>
          <w:sz w:val="15"/>
          <w:szCs w:val="15"/>
          <w:color w:val="auto"/>
        </w:rPr>
        <w:t>Advertising revenue is recognized upon delivery of clicks for Sponsored Product ads, upon delivery of impressions or over the contract term on a fixed fee basis for display ads, or upon redemptions of coupons. Advertising and other revenue has historically been, and is expected to continue to be, seasonally high in the fourth quarter and seasonally low in the first quarter in a given year as a result of how advertisers deploy their budgets.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8" w:lineRule="exact"/>
        <w:rPr>
          <w:sz w:val="20"/>
          <w:szCs w:val="20"/>
          <w:color w:val="auto"/>
        </w:rPr>
      </w:pPr>
    </w:p>
    <w:p>
      <w:pPr>
        <w:jc w:val="both"/>
        <w:ind w:left="460" w:right="180" w:firstLine="413"/>
        <w:spacing w:after="0" w:line="311" w:lineRule="auto"/>
        <w:rPr>
          <w:sz w:val="20"/>
          <w:szCs w:val="20"/>
          <w:color w:val="auto"/>
        </w:rPr>
      </w:pPr>
      <w:r>
        <w:rPr>
          <w:rFonts w:ascii="Arial" w:cs="Arial" w:eastAsia="Arial" w:hAnsi="Arial"/>
          <w:sz w:val="15"/>
          <w:szCs w:val="15"/>
          <w:color w:val="auto"/>
        </w:rPr>
        <w:t>Cost of revenue primarily consists of third-party payment processing fees, expenses related to payment chargebacks, compensation costs of our employees primarily involved in fulfillment, hosting fees, insurance costs attributed to fulfillment, depreciation expense, and amortization expense of technology-related intangible assets and capitalized internal-use software. Compensation costs include salaries, taxes, benefits, and bonuses.</w:t>
      </w:r>
    </w:p>
    <w:p>
      <w:pPr>
        <w:spacing w:after="0" w:line="140"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We expect that cost of revenue will increase on an absolute dollar basis for the foreseeable future as we continue to grow and vary from period to period as a percent of revenue.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108" w:lineRule="exact"/>
        <w:rPr>
          <w:sz w:val="20"/>
          <w:szCs w:val="20"/>
          <w:color w:val="auto"/>
        </w:rPr>
      </w:pPr>
    </w:p>
    <w:p>
      <w:pPr>
        <w:ind w:left="460" w:right="100" w:firstLine="413"/>
        <w:spacing w:after="0" w:line="269" w:lineRule="auto"/>
        <w:rPr>
          <w:sz w:val="20"/>
          <w:szCs w:val="20"/>
          <w:color w:val="auto"/>
        </w:rPr>
      </w:pPr>
      <w:r>
        <w:rPr>
          <w:rFonts w:ascii="Arial" w:cs="Arial" w:eastAsia="Arial" w:hAnsi="Arial"/>
          <w:sz w:val="16"/>
          <w:szCs w:val="16"/>
          <w:color w:val="auto"/>
        </w:rPr>
        <w:t>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(including from external drivers such as public health concerns), average order values, customer fee optimization, and levels of customer incentives, (2) operational efficiencies, (3) negotiations with our retail partners, third-party payment processors, and hosting providers, and (4) macroeconomic factors, such as supply chain issues, rising interest rates, and inflation, which may negatively impact GTV and orders and also reduce spending by our brand partners. Our expectation is that our strategic and growth initiatives and disciplined approach to costs and expenses will result in both revenue expansion and increased operating leverage and scale, leading to a strong long-term gross margin profile.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Operations and Support Expense</w:t>
      </w:r>
    </w:p>
    <w:p>
      <w:pPr>
        <w:spacing w:after="0" w:line="108" w:lineRule="exact"/>
        <w:rPr>
          <w:sz w:val="20"/>
          <w:szCs w:val="20"/>
          <w:color w:val="auto"/>
        </w:rPr>
      </w:pPr>
    </w:p>
    <w:p>
      <w:pPr>
        <w:ind w:left="460" w:right="20" w:firstLine="413"/>
        <w:spacing w:after="0" w:line="289" w:lineRule="auto"/>
        <w:rPr>
          <w:sz w:val="20"/>
          <w:szCs w:val="20"/>
          <w:color w:val="auto"/>
        </w:rPr>
      </w:pPr>
      <w:r>
        <w:rPr>
          <w:rFonts w:ascii="Arial" w:cs="Arial" w:eastAsia="Arial" w:hAnsi="Arial"/>
          <w:sz w:val="15"/>
          <w:szCs w:val="15"/>
          <w:color w:val="auto"/>
        </w:rPr>
        <w:t>Operations and support expense primarily consists of compensation costs for employees who support our operations, costs of customer and shopper support, costs to attract and onboard new shoppers, allocations of various overhead and occupancy costs, and depreciation and amortization expense. Compensation costs include salaries, taxes, benefits, bonuses, and stock-based compensation expense. We anticipate additional operations and support expense during the period in which the registration statement of which this prospectus forms a part becomes effective as a result of the stock-based compensation expense associated with our RSUs for which the liquidity event-based vesting condition will be satisfied upon such effectiveness. See the section titled “—Critical Accounting Policies and Estimates—Stock-Based Compensation—Restricted Stock Units and Restricted Stock.” We also expect to incur additional stock-based compensation expense in future periods as additional RSUs meet their service-based vesting conditions, calculated using the accelerated attribution method for RSUs with a liquidity event-based vesting condition and using the straight-line method for RSUs granted following the closing of this offering and without a liquidity event-based vesting condition.</w:t>
      </w:r>
    </w:p>
    <w:p>
      <w:pPr>
        <w:spacing w:after="0" w:line="157"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While we intend to invest in our operations and hire additional employees, third-party consultants, and contractors to support our operations, our investments in operations and support headcount may fluctuate from time to time as we focus on driving more efficiencies across our teams. As a result, we anticipate that our operations and support expense will generally increase on an absolute dollar basis for the foreseeable future and vary from period to period as a percent of revenue and as a percent of GTV.</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740"/>
          </w:cols>
          <w:pgMar w:left="320" w:top="440" w:right="8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08"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Research and development expense primarily consists of compensation costs for our engineering employees, third-party consulting fees, allocations of various overhead and occupancy costs, and depreciation and amortization expense. Compensation costs include salaries, taxes, benefits, bonuses, and stock-based compensation expense. We anticipate additional research and development expense during the period in which the registration statement of which this prospectus forms a part becomes effective as a result of the stock-based compensation expense associated with our RSUs for which the liquidity event-based vesting condition will be satisfied upon such effectiveness. See the section titled “—Critical Accounting Policies and Estimates—Stock-Based Compensation—Restricted Stock Units and Restricted Stock.” We also expect to incur additional stock-based compensation expense in future periods as additional RSUs meet their service-based vesting conditions, calculated using the accelerated attribution method for RSUs with a liquidity event-based vesting condition and using the straight-line method for RSUs granted following the closing of this offering and without a liquidity event-based vesting condition.</w:t>
      </w:r>
    </w:p>
    <w:p>
      <w:pPr>
        <w:spacing w:after="0" w:line="170"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We expect that research and development expense will increase on an absolute dollar basis and vary from period to period as a percent of revenue and as a percent of GTV for the foreseeable future as we continue to invest in research and development activities relating to ongoing improvements to, and maintenance of, our offerings, including the hiring of engineering, product development, and design employees to support these efforts. While we intend to hire additional employees, our investments in research and development headcount may fluctuate from time to time as we focus on driving more efficiencies across our teams.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Sales and Marketing Expense</w:t>
      </w:r>
    </w:p>
    <w:p>
      <w:pPr>
        <w:spacing w:after="0" w:line="108"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Sales and marketing expense primarily consists of advertising expenses, compensation costs for sales and marketing employees, third-party consulting fees, allocations of various overhead and occupancy costs, depreciation expense, and amortization expense of customer relationship intangible assets. Compensation costs include salaries, taxes, benefits, bonuses, and stock-based compensation expense. We anticipate additional sales and marketing expense during the period in which the registration statement of which this prospectus forms a part becomes effective as a result of the stock-based compensation expense associated with our RSUs for which the liquidity event-based vesting condition will be satisfied upon such effectiveness. See the section titled “—Critical Accounting Policies and Estimates—Stock-Based Compensation—Restricted Stock Units and Restricted Stock.” We also expect to incur additional stock-based compensation expense in future periods as additional RSUs meet their service-based vesting conditions, calculated using the accelerated attribution method for RSUs with a liquidity event-based vesting condition and using the straight-line method for RSUs granted following the closing of this offering and without a liquidity event-based vesting condition.</w:t>
      </w:r>
    </w:p>
    <w:p>
      <w:pPr>
        <w:spacing w:after="0" w:line="157" w:lineRule="exact"/>
        <w:rPr>
          <w:sz w:val="20"/>
          <w:szCs w:val="20"/>
          <w:color w:val="auto"/>
        </w:rPr>
      </w:pPr>
    </w:p>
    <w:p>
      <w:pPr>
        <w:ind w:left="460" w:right="80" w:firstLine="413"/>
        <w:spacing w:after="0" w:line="252" w:lineRule="auto"/>
        <w:rPr>
          <w:sz w:val="20"/>
          <w:szCs w:val="20"/>
          <w:color w:val="auto"/>
        </w:rPr>
      </w:pPr>
      <w:r>
        <w:rPr>
          <w:rFonts w:ascii="Arial" w:cs="Arial" w:eastAsia="Arial" w:hAnsi="Arial"/>
          <w:sz w:val="17"/>
          <w:szCs w:val="17"/>
          <w:color w:val="auto"/>
        </w:rPr>
        <w:t>We plan to continue to invest in sales and marketing to attract and increase the engagement of constituents on Instacart and increase our brand awareness. We expect that sales and marketing expense will increase on an absolute dollar basis and vary from period to period as a percent of revenue and as a percent of GTV for the foreseeable future. While we expect sales and marketing expense to be one of our largest operating expenses for the foreseeable future, the trend and timing of our sales and marketing expense will depend in large part on the timing and magnitude of our marketing campaigns. While we intend to increase our headcount from time to time, particularly over the near term as we pursue attractive marketing opportunities, our investments in sales and marketing headcount may also fluctuate from time to time as we focus on driving more efficiencies across our teams.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08"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General and administrative expense primarily consists of compensation costs for administrative employees, including finance and accounting, human resources, policy, and legal; third-party consulting fees; allocations of various overhead and occupancy costs; depreciation expense; and amortization expense of patents and trademarks. Compensation costs include salaries, taxes, benefits, bonuses, and stock-based compensation expense. We anticipate</w:t>
      </w:r>
    </w:p>
    <w:p>
      <w:pPr>
        <w:spacing w:after="0" w:line="11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740"/>
          </w:cols>
          <w:pgMar w:left="320" w:top="440" w:right="8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spacing w:after="0" w:line="252" w:lineRule="auto"/>
        <w:rPr>
          <w:sz w:val="20"/>
          <w:szCs w:val="20"/>
          <w:color w:val="auto"/>
        </w:rPr>
      </w:pPr>
      <w:r>
        <w:rPr>
          <w:rFonts w:ascii="Arial" w:cs="Arial" w:eastAsia="Arial" w:hAnsi="Arial"/>
          <w:sz w:val="17"/>
          <w:szCs w:val="17"/>
          <w:color w:val="auto"/>
        </w:rPr>
        <w:t>additional general and administrative expense during the period in which the registration statement of which this prospectus forms a part becomes effective as a result of the stock-based compensation expense associated with our RSUs for which the liquidity event-based vesting condition will be satisfied upon such effectiveness. See the section titled “—Critical Accounting Policies and Estimates—Stock-Based Compensation—Restricted Stock Units and Restricted Stock.” We also expect to incur additional stock-based compensation expense in future periods as additional RSUs meet their service-based and market-based vesting conditions, as applicable, calculated using the accelerated attribution method for RSUs with a liquidity event-based vesting condition and using the straight-line method for RSUs granted following the closing of this offering and without a liquidity event-based vesting condition.</w:t>
      </w:r>
    </w:p>
    <w:p>
      <w:pPr>
        <w:spacing w:after="0" w:line="18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We expect that general and administrative expense will increase on an absolute dollar basis and vary from period to period as a percent of revenue and as a percent of GTV for the foreseeable future as we continue to invest in processes, systems, and controls to enable our internal support functions to scale with the growth of our business. While we intend to increase our headcount from time to time, our investments in general and administrative headcount may fluctuate from time to time as we focus on driving more efficiencies across our teams. We also expect to incur additional expenses to support increased compliance and reporting requirements as we operate as a public company.</w:t>
      </w:r>
    </w:p>
    <w:p>
      <w:pPr>
        <w:spacing w:after="0" w:line="165"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In addition, in April 2023, certain employees elected to receive cash in lieu of a portion of certain future equity awards to be granted by our board of directors. As a result, for employee elections to receive cash, we will recognize additional cash compensation primarily within operating expenses associated with such cash elections through the second quarter of 2024 in lieu of stock-based compensation expense, which would have been recognized over the vesting period of the applicable award under the accelerated attribution method upon and after this offering.</w:t>
      </w:r>
    </w:p>
    <w:p>
      <w:pPr>
        <w:spacing w:after="0" w:line="164" w:lineRule="exact"/>
        <w:rPr>
          <w:sz w:val="20"/>
          <w:szCs w:val="20"/>
          <w:color w:val="auto"/>
        </w:rPr>
      </w:pPr>
    </w:p>
    <w:p>
      <w:pPr>
        <w:ind w:left="460" w:right="380" w:firstLine="413"/>
        <w:spacing w:after="0" w:line="256" w:lineRule="auto"/>
        <w:rPr>
          <w:sz w:val="20"/>
          <w:szCs w:val="20"/>
          <w:color w:val="auto"/>
        </w:rPr>
      </w:pPr>
      <w:r>
        <w:rPr>
          <w:rFonts w:ascii="Arial" w:cs="Arial" w:eastAsia="Arial" w:hAnsi="Arial"/>
          <w:sz w:val="17"/>
          <w:szCs w:val="17"/>
          <w:color w:val="auto"/>
        </w:rPr>
        <w:t>In connection with this offering, we will recognize approximately $ of stock-based compensation expense associated with the satisfaction of the liquidity event-based vesting condition for outstanding RSUs and shares of outstanding restricted stock in the quarter and year in which this offering is completed. As such, we expect to incur a net loss for such periods, primarily as a result of recognition of this stock-based compensation amount.</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08"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Other income (expense), net primarily consists of income related to legal settlements and gains and losses from transactions denominated in a currency other than the functional currency.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8" w:lineRule="exact"/>
        <w:rPr>
          <w:sz w:val="20"/>
          <w:szCs w:val="20"/>
          <w:color w:val="auto"/>
        </w:rPr>
      </w:pPr>
    </w:p>
    <w:p>
      <w:pPr>
        <w:ind w:left="460" w:right="540" w:firstLine="413"/>
        <w:spacing w:after="0" w:line="272" w:lineRule="auto"/>
        <w:rPr>
          <w:sz w:val="20"/>
          <w:szCs w:val="20"/>
          <w:color w:val="auto"/>
        </w:rPr>
      </w:pPr>
      <w:r>
        <w:rPr>
          <w:rFonts w:ascii="Arial" w:cs="Arial" w:eastAsia="Arial" w:hAnsi="Arial"/>
          <w:sz w:val="17"/>
          <w:szCs w:val="17"/>
          <w:color w:val="auto"/>
        </w:rPr>
        <w:t>Interest income consists primarily of interest earned on our cash and cash equivalents, restricted cash and cash equivalents, and marketable securities.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08"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color w:val="auto"/>
        </w:rPr>
        <w:t>The provision for (benefit from) income taxes consists primarily of income taxes in certain federal, state, local, and foreign jurisdictions in which we conduct business, with the exception of the fourth quarter of 2022 when we released our valuation allowance on our deferred tax assets in the United States. Foreign jurisdictions have different statutory tax rates from those in the United States. Additionally, certain of our foreign earnings may also be taxable in the United States. Accordingly, our effective tax rate will vary depending on the relative proportion of foreign to domestic income, use of tax credits, changes in the valuation of our deferred tax assets and liabilities, and changes in tax laws.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780"/>
          </w:cols>
          <w:pgMar w:left="320" w:top="440" w:right="79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Results of Operations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7"/>
            <w:vMerge w:val="restart"/>
          </w:tcPr>
          <w:p>
            <w:pPr>
              <w:jc w:val="center"/>
              <w:ind w:left="478"/>
              <w:spacing w:after="0"/>
              <w:rPr>
                <w:sz w:val="20"/>
                <w:szCs w:val="20"/>
                <w:color w:val="auto"/>
              </w:rPr>
            </w:pPr>
            <w:r>
              <w:rPr>
                <w:rFonts w:ascii="Arial" w:cs="Arial" w:eastAsia="Arial" w:hAnsi="Arial"/>
                <w:sz w:val="13"/>
                <w:szCs w:val="13"/>
                <w:b w:val="1"/>
                <w:bCs w:val="1"/>
                <w:color w:val="auto"/>
                <w:w w:val="93"/>
              </w:rPr>
              <w:t>Year Ended December 31,</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8"/>
              <w:spacing w:after="0" w:line="132"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7"/>
              <w:spacing w:after="0" w:line="13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8"/>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9"/>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7"/>
              <w:spacing w:after="0" w:line="132"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2" w:lineRule="exact"/>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 Data:</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Revenue</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1,477</w:t>
            </w:r>
          </w:p>
        </w:tc>
        <w:tc>
          <w:tcPr>
            <w:tcW w:w="300" w:type="dxa"/>
            <w:vAlign w:val="bottom"/>
          </w:tcPr>
          <w:p>
            <w:pPr>
              <w:spacing w:after="0"/>
              <w:rPr>
                <w:sz w:val="17"/>
                <w:szCs w:val="17"/>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1,834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2,551</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1,126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Cost of revenue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598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879</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320"/>
              <w:spacing w:after="0" w:line="202" w:lineRule="exact"/>
              <w:rPr>
                <w:sz w:val="20"/>
                <w:szCs w:val="20"/>
                <w:color w:val="auto"/>
              </w:rPr>
            </w:pPr>
            <w:r>
              <w:rPr>
                <w:rFonts w:ascii="Arial" w:cs="Arial" w:eastAsia="Arial" w:hAnsi="Arial"/>
                <w:sz w:val="16"/>
                <w:szCs w:val="16"/>
                <w:color w:val="auto"/>
              </w:rPr>
              <w:t>Operations and support</w:t>
            </w:r>
            <w:r>
              <w:rPr>
                <w:rFonts w:ascii="Arial" w:cs="Arial" w:eastAsia="Arial" w:hAnsi="Arial"/>
                <w:sz w:val="23"/>
                <w:szCs w:val="23"/>
                <w:color w:val="auto"/>
                <w:vertAlign w:val="superscript"/>
              </w:rPr>
              <w:t>(1)(2)</w:t>
            </w:r>
          </w:p>
        </w:tc>
        <w:tc>
          <w:tcPr>
            <w:tcW w:w="2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324</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3"/>
                <w:szCs w:val="23"/>
                <w:color w:val="auto"/>
                <w:vertAlign w:val="superscript"/>
              </w:rPr>
              <w:t>(1)(2)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194</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320"/>
              <w:spacing w:after="0" w:line="202"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3"/>
                <w:szCs w:val="23"/>
                <w:color w:val="auto"/>
                <w:vertAlign w:val="superscript"/>
              </w:rPr>
              <w:t>(1)(2)</w:t>
            </w:r>
          </w:p>
        </w:tc>
        <w:tc>
          <w:tcPr>
            <w:tcW w:w="2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158</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3"/>
                <w:szCs w:val="23"/>
                <w:color w:val="auto"/>
                <w:vertAlign w:val="superscript"/>
              </w:rPr>
              <w:t>(1)(2)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278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954</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842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2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color w:val="auto"/>
              </w:rPr>
              <w:t>Income (loss) before provision for (benefit from) income taxes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gridSpan w:val="2"/>
            <w:vMerge w:val="continue"/>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(70)</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428</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hanging="403"/>
        <w:spacing w:after="0"/>
        <w:tabs>
          <w:tab w:leader="none" w:pos="8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Amounts include depreciation and amortization expense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46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w w:val="94"/>
              </w:rPr>
              <w:t>Year Ended December 31,</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640" w:type="dxa"/>
            <w:vAlign w:val="bottom"/>
          </w:tcPr>
          <w:p>
            <w:pPr>
              <w:spacing w:after="0"/>
              <w:rPr>
                <w:sz w:val="10"/>
                <w:szCs w:val="10"/>
                <w:color w:val="auto"/>
              </w:rPr>
            </w:pPr>
          </w:p>
        </w:tc>
        <w:tc>
          <w:tcPr>
            <w:tcW w:w="640" w:type="dxa"/>
            <w:vAlign w:val="bottom"/>
            <w:tcBorders>
              <w:bottom w:val="single" w:sz="8" w:color="auto"/>
            </w:tcBorders>
          </w:tcPr>
          <w:p>
            <w:pPr>
              <w:jc w:val="right"/>
              <w:ind w:right="47"/>
              <w:spacing w:after="0" w:line="120"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54"/>
              <w:spacing w:after="0" w:line="120" w:lineRule="exact"/>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75"/>
              <w:spacing w:after="0" w:line="120" w:lineRule="exact"/>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5"/>
              <w:spacing w:after="0" w:line="120" w:lineRule="exact"/>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34"/>
              <w:spacing w:after="0" w:line="120" w:lineRule="exact"/>
              <w:rPr>
                <w:sz w:val="20"/>
                <w:szCs w:val="20"/>
                <w:color w:val="auto"/>
              </w:rPr>
            </w:pPr>
            <w:r>
              <w:rPr>
                <w:rFonts w:ascii="Arial" w:cs="Arial" w:eastAsia="Arial" w:hAnsi="Arial"/>
                <w:sz w:val="12"/>
                <w:szCs w:val="12"/>
                <w:b w:val="1"/>
                <w:bCs w:val="1"/>
                <w:color w:val="auto"/>
                <w:w w:val="74"/>
              </w:rPr>
              <w:t>2023</w:t>
            </w:r>
          </w:p>
        </w:tc>
        <w:tc>
          <w:tcPr>
            <w:tcW w:w="60" w:type="dxa"/>
            <w:vAlign w:val="bottom"/>
          </w:tcPr>
          <w:p>
            <w:pPr>
              <w:spacing w:after="0"/>
              <w:rPr>
                <w:sz w:val="10"/>
                <w:szCs w:val="10"/>
                <w:color w:val="auto"/>
              </w:rPr>
            </w:pPr>
          </w:p>
        </w:tc>
      </w:tr>
      <w:tr>
        <w:trPr>
          <w:trHeight w:val="119"/>
        </w:trPr>
        <w:tc>
          <w:tcPr>
            <w:tcW w:w="4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9"/>
        </w:trPr>
        <w:tc>
          <w:tcPr>
            <w:tcW w:w="46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Cost of revenue</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5</w:t>
            </w:r>
          </w:p>
        </w:tc>
        <w:tc>
          <w:tcPr>
            <w:tcW w:w="520" w:type="dxa"/>
            <w:vAlign w:val="bottom"/>
            <w:gridSpan w:val="2"/>
            <w:shd w:val="clear" w:color="auto" w:fill="CCEEFF"/>
          </w:tcPr>
          <w:p>
            <w:pPr>
              <w:jc w:val="right"/>
              <w:ind w:right="53"/>
              <w:spacing w:after="0" w:line="13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9</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12</w:t>
            </w:r>
          </w:p>
        </w:tc>
      </w:tr>
      <w:tr>
        <w:trPr>
          <w:trHeight w:val="139"/>
        </w:trPr>
        <w:tc>
          <w:tcPr>
            <w:tcW w:w="4640" w:type="dxa"/>
            <w:vAlign w:val="bottom"/>
          </w:tcPr>
          <w:p>
            <w:pPr>
              <w:spacing w:after="0" w:line="139" w:lineRule="exact"/>
              <w:rPr>
                <w:sz w:val="20"/>
                <w:szCs w:val="20"/>
                <w:color w:val="auto"/>
              </w:rPr>
            </w:pPr>
            <w:r>
              <w:rPr>
                <w:rFonts w:ascii="Arial" w:cs="Arial" w:eastAsia="Arial" w:hAnsi="Arial"/>
                <w:sz w:val="13"/>
                <w:szCs w:val="13"/>
                <w:color w:val="auto"/>
              </w:rPr>
              <w:t>Operations and support</w:t>
            </w:r>
          </w:p>
        </w:tc>
        <w:tc>
          <w:tcPr>
            <w:tcW w:w="640" w:type="dxa"/>
            <w:vAlign w:val="bottom"/>
          </w:tcPr>
          <w:p>
            <w:pPr>
              <w:spacing w:after="0"/>
              <w:rPr>
                <w:sz w:val="12"/>
                <w:szCs w:val="12"/>
                <w:color w:val="auto"/>
              </w:rPr>
            </w:pPr>
          </w:p>
        </w:tc>
        <w:tc>
          <w:tcPr>
            <w:tcW w:w="2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auto"/>
              </w:rPr>
              <w:t>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1</w:t>
            </w:r>
          </w:p>
        </w:tc>
        <w:tc>
          <w:tcPr>
            <w:tcW w:w="300" w:type="dxa"/>
            <w:vAlign w:val="bottom"/>
          </w:tcPr>
          <w:p>
            <w:pPr>
              <w:spacing w:after="0"/>
              <w:rPr>
                <w:sz w:val="12"/>
                <w:szCs w:val="12"/>
                <w:color w:val="auto"/>
              </w:rPr>
            </w:pPr>
          </w:p>
        </w:tc>
        <w:tc>
          <w:tcPr>
            <w:tcW w:w="5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r>
      <w:tr>
        <w:trPr>
          <w:trHeight w:val="139"/>
        </w:trPr>
        <w:tc>
          <w:tcPr>
            <w:tcW w:w="46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Research and development</w:t>
            </w: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2</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w:t>
            </w:r>
          </w:p>
        </w:tc>
      </w:tr>
      <w:tr>
        <w:trPr>
          <w:trHeight w:val="139"/>
        </w:trPr>
        <w:tc>
          <w:tcPr>
            <w:tcW w:w="4640" w:type="dxa"/>
            <w:vAlign w:val="bottom"/>
          </w:tcPr>
          <w:p>
            <w:pPr>
              <w:spacing w:after="0" w:line="139" w:lineRule="exact"/>
              <w:rPr>
                <w:sz w:val="20"/>
                <w:szCs w:val="20"/>
                <w:color w:val="auto"/>
              </w:rPr>
            </w:pPr>
            <w:r>
              <w:rPr>
                <w:rFonts w:ascii="Arial" w:cs="Arial" w:eastAsia="Arial" w:hAnsi="Arial"/>
                <w:sz w:val="13"/>
                <w:szCs w:val="13"/>
                <w:color w:val="auto"/>
              </w:rPr>
              <w:t>Sales and marketing</w:t>
            </w:r>
          </w:p>
        </w:tc>
        <w:tc>
          <w:tcPr>
            <w:tcW w:w="640" w:type="dxa"/>
            <w:vAlign w:val="bottom"/>
          </w:tcPr>
          <w:p>
            <w:pPr>
              <w:spacing w:after="0"/>
              <w:rPr>
                <w:sz w:val="12"/>
                <w:szCs w:val="12"/>
                <w:color w:val="auto"/>
              </w:rPr>
            </w:pPr>
          </w:p>
        </w:tc>
        <w:tc>
          <w:tcPr>
            <w:tcW w:w="2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auto"/>
              </w:rPr>
              <w:t>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2</w:t>
            </w:r>
          </w:p>
        </w:tc>
        <w:tc>
          <w:tcPr>
            <w:tcW w:w="300" w:type="dxa"/>
            <w:vAlign w:val="bottom"/>
          </w:tcPr>
          <w:p>
            <w:pPr>
              <w:spacing w:after="0"/>
              <w:rPr>
                <w:sz w:val="12"/>
                <w:szCs w:val="12"/>
                <w:color w:val="auto"/>
              </w:rPr>
            </w:pPr>
          </w:p>
        </w:tc>
        <w:tc>
          <w:tcPr>
            <w:tcW w:w="5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4</w:t>
            </w:r>
          </w:p>
        </w:tc>
      </w:tr>
      <w:tr>
        <w:trPr>
          <w:trHeight w:val="139"/>
        </w:trPr>
        <w:tc>
          <w:tcPr>
            <w:tcW w:w="46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General and administrative</w:t>
            </w: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w:t>
            </w:r>
          </w:p>
        </w:tc>
      </w:tr>
      <w:tr>
        <w:trPr>
          <w:trHeight w:val="145"/>
        </w:trPr>
        <w:tc>
          <w:tcPr>
            <w:tcW w:w="4640" w:type="dxa"/>
            <w:vAlign w:val="bottom"/>
          </w:tcPr>
          <w:p>
            <w:pPr>
              <w:ind w:left="260"/>
              <w:spacing w:after="0" w:line="145" w:lineRule="exact"/>
              <w:rPr>
                <w:sz w:val="20"/>
                <w:szCs w:val="20"/>
                <w:color w:val="auto"/>
              </w:rPr>
            </w:pPr>
            <w:r>
              <w:rPr>
                <w:rFonts w:ascii="Arial" w:cs="Arial" w:eastAsia="Arial" w:hAnsi="Arial"/>
                <w:sz w:val="13"/>
                <w:szCs w:val="13"/>
                <w:color w:val="auto"/>
              </w:rPr>
              <w:t>Total depreciation and amortization expense</w:t>
            </w:r>
          </w:p>
        </w:tc>
        <w:tc>
          <w:tcPr>
            <w:tcW w:w="64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10</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16</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34</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15</w:t>
            </w:r>
          </w:p>
        </w:tc>
        <w:tc>
          <w:tcPr>
            <w:tcW w:w="3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22</w:t>
            </w:r>
          </w:p>
        </w:tc>
        <w:tc>
          <w:tcPr>
            <w:tcW w:w="60" w:type="dxa"/>
            <w:vAlign w:val="bottom"/>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860" w:hanging="403"/>
        <w:spacing w:after="0"/>
        <w:tabs>
          <w:tab w:leader="none" w:pos="8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Amounts include stock-based compensation expense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Six Months Ended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40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9"/>
              </w:rPr>
              <w:t>Year Ended December 31,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w w:val="91"/>
              </w:rPr>
              <w:t>June 30,</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408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4"/>
              <w:spacing w:after="0" w:line="120" w:lineRule="exact"/>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5"/>
              <w:spacing w:after="0" w:line="120" w:lineRule="exact"/>
              <w:rPr>
                <w:sz w:val="20"/>
                <w:szCs w:val="20"/>
                <w:color w:val="auto"/>
              </w:rPr>
            </w:pPr>
            <w:r>
              <w:rPr>
                <w:rFonts w:ascii="Arial" w:cs="Arial" w:eastAsia="Arial" w:hAnsi="Arial"/>
                <w:sz w:val="12"/>
                <w:szCs w:val="12"/>
                <w:b w:val="1"/>
                <w:bCs w:val="1"/>
                <w:color w:val="auto"/>
              </w:rPr>
              <w:t>2022</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5"/>
              <w:spacing w:after="0" w:line="120" w:lineRule="exact"/>
              <w:rPr>
                <w:sz w:val="20"/>
                <w:szCs w:val="20"/>
                <w:color w:val="auto"/>
              </w:rPr>
            </w:pPr>
            <w:r>
              <w:rPr>
                <w:rFonts w:ascii="Arial" w:cs="Arial" w:eastAsia="Arial" w:hAnsi="Arial"/>
                <w:sz w:val="12"/>
                <w:szCs w:val="12"/>
                <w:b w:val="1"/>
                <w:bCs w:val="1"/>
                <w:color w:val="auto"/>
              </w:rPr>
              <w:t>2022</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14"/>
              <w:spacing w:after="0" w:line="120" w:lineRule="exact"/>
              <w:rPr>
                <w:sz w:val="20"/>
                <w:szCs w:val="20"/>
                <w:color w:val="auto"/>
              </w:rPr>
            </w:pPr>
            <w:r>
              <w:rPr>
                <w:rFonts w:ascii="Arial" w:cs="Arial" w:eastAsia="Arial" w:hAnsi="Arial"/>
                <w:sz w:val="12"/>
                <w:szCs w:val="12"/>
                <w:b w:val="1"/>
                <w:bCs w:val="1"/>
                <w:color w:val="auto"/>
                <w:w w:val="97"/>
              </w:rPr>
              <w:t>2023</w:t>
            </w:r>
          </w:p>
        </w:tc>
        <w:tc>
          <w:tcPr>
            <w:tcW w:w="40" w:type="dxa"/>
            <w:vAlign w:val="bottom"/>
          </w:tcPr>
          <w:p>
            <w:pPr>
              <w:spacing w:after="0"/>
              <w:rPr>
                <w:sz w:val="10"/>
                <w:szCs w:val="10"/>
                <w:color w:val="auto"/>
              </w:rPr>
            </w:pPr>
          </w:p>
        </w:tc>
      </w:tr>
      <w:tr>
        <w:trPr>
          <w:trHeight w:val="119"/>
        </w:trPr>
        <w:tc>
          <w:tcPr>
            <w:tcW w:w="4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360"/>
              <w:spacing w:after="0" w:line="120" w:lineRule="exact"/>
              <w:rPr>
                <w:sz w:val="20"/>
                <w:szCs w:val="20"/>
                <w:color w:val="auto"/>
              </w:rPr>
            </w:pPr>
            <w:r>
              <w:rPr>
                <w:rFonts w:ascii="Arial" w:cs="Arial" w:eastAsia="Arial" w:hAnsi="Arial"/>
                <w:sz w:val="12"/>
                <w:szCs w:val="12"/>
                <w:b w:val="1"/>
                <w:bCs w:val="1"/>
                <w:color w:val="auto"/>
                <w:w w:val="91"/>
              </w:rPr>
              <w:t>(in millions)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9"/>
        </w:trPr>
        <w:tc>
          <w:tcPr>
            <w:tcW w:w="4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Operations and support</w:t>
            </w:r>
          </w:p>
        </w:tc>
        <w:tc>
          <w:tcPr>
            <w:tcW w:w="580" w:type="dxa"/>
            <w:vAlign w:val="bottom"/>
            <w:shd w:val="clear" w:color="auto" w:fill="CCEEFF"/>
          </w:tcPr>
          <w:p>
            <w:pPr>
              <w:jc w:val="right"/>
              <w:ind w:right="435"/>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3</w:t>
            </w:r>
          </w:p>
        </w:tc>
        <w:tc>
          <w:tcPr>
            <w:tcW w:w="600" w:type="dxa"/>
            <w:vAlign w:val="bottom"/>
            <w:gridSpan w:val="2"/>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w:t>
            </w:r>
          </w:p>
        </w:tc>
        <w:tc>
          <w:tcPr>
            <w:tcW w:w="24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r>
      <w:tr>
        <w:trPr>
          <w:trHeight w:val="139"/>
        </w:trPr>
        <w:tc>
          <w:tcPr>
            <w:tcW w:w="4080" w:type="dxa"/>
            <w:vAlign w:val="bottom"/>
          </w:tcPr>
          <w:p>
            <w:pPr>
              <w:spacing w:after="0" w:line="139" w:lineRule="exact"/>
              <w:rPr>
                <w:sz w:val="20"/>
                <w:szCs w:val="20"/>
                <w:color w:val="auto"/>
              </w:rPr>
            </w:pPr>
            <w:r>
              <w:rPr>
                <w:rFonts w:ascii="Arial" w:cs="Arial" w:eastAsia="Arial" w:hAnsi="Arial"/>
                <w:sz w:val="13"/>
                <w:szCs w:val="13"/>
                <w:color w:val="auto"/>
              </w:rPr>
              <w:t>Research and development</w:t>
            </w:r>
          </w:p>
        </w:tc>
        <w:tc>
          <w:tcPr>
            <w:tcW w:w="580" w:type="dxa"/>
            <w:vAlign w:val="bottom"/>
          </w:tcPr>
          <w:p>
            <w:pPr>
              <w:spacing w:after="0"/>
              <w:rPr>
                <w:sz w:val="12"/>
                <w:szCs w:val="12"/>
                <w:color w:val="auto"/>
              </w:rPr>
            </w:pPr>
          </w:p>
        </w:tc>
        <w:tc>
          <w:tcPr>
            <w:tcW w:w="36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20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18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7</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r>
      <w:tr>
        <w:trPr>
          <w:trHeight w:val="139"/>
        </w:trPr>
        <w:tc>
          <w:tcPr>
            <w:tcW w:w="4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Sales and marketing</w:t>
            </w: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5</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r>
      <w:tr>
        <w:trPr>
          <w:trHeight w:val="139"/>
        </w:trPr>
        <w:tc>
          <w:tcPr>
            <w:tcW w:w="4080" w:type="dxa"/>
            <w:vAlign w:val="bottom"/>
          </w:tcPr>
          <w:p>
            <w:pPr>
              <w:spacing w:after="0" w:line="139" w:lineRule="exact"/>
              <w:rPr>
                <w:sz w:val="20"/>
                <w:szCs w:val="20"/>
                <w:color w:val="auto"/>
              </w:rPr>
            </w:pPr>
            <w:r>
              <w:rPr>
                <w:rFonts w:ascii="Arial" w:cs="Arial" w:eastAsia="Arial" w:hAnsi="Arial"/>
                <w:sz w:val="13"/>
                <w:szCs w:val="13"/>
                <w:color w:val="auto"/>
              </w:rPr>
              <w:t>General and administrative</w:t>
            </w:r>
          </w:p>
        </w:tc>
        <w:tc>
          <w:tcPr>
            <w:tcW w:w="58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11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4</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2"/>
                <w:szCs w:val="12"/>
                <w:color w:val="auto"/>
              </w:rPr>
            </w:pPr>
          </w:p>
        </w:tc>
      </w:tr>
      <w:tr>
        <w:trPr>
          <w:trHeight w:val="25"/>
        </w:trPr>
        <w:tc>
          <w:tcPr>
            <w:tcW w:w="4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39"/>
        </w:trPr>
        <w:tc>
          <w:tcPr>
            <w:tcW w:w="40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Total stock-based compensation expense</w:t>
            </w:r>
          </w:p>
        </w:tc>
        <w:tc>
          <w:tcPr>
            <w:tcW w:w="580" w:type="dxa"/>
            <w:vAlign w:val="bottom"/>
            <w:shd w:val="clear" w:color="auto" w:fill="CCEEFF"/>
          </w:tcPr>
          <w:p>
            <w:pPr>
              <w:jc w:val="right"/>
              <w:ind w:right="435"/>
              <w:spacing w:after="0" w:line="139" w:lineRule="exact"/>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22</w:t>
            </w:r>
          </w:p>
        </w:tc>
        <w:tc>
          <w:tcPr>
            <w:tcW w:w="24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33</w:t>
            </w:r>
          </w:p>
        </w:tc>
        <w:tc>
          <w:tcPr>
            <w:tcW w:w="4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13</w:t>
            </w:r>
          </w:p>
        </w:tc>
        <w:tc>
          <w:tcPr>
            <w:tcW w:w="76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800"/>
          </w:cols>
          <w:pgMar w:left="320" w:top="440" w:right="77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The following table sets forth the components of our consolidated statements of operations data, for each of the periods presented, as a percent of revenue.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40" w:type="dxa"/>
            <w:vAlign w:val="bottom"/>
            <w:tcBorders>
              <w:bottom w:val="single" w:sz="8" w:color="auto"/>
            </w:tcBorders>
          </w:tcPr>
          <w:p>
            <w:pPr>
              <w:jc w:val="right"/>
              <w:ind w:right="37"/>
              <w:spacing w:after="0" w:line="132"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8"/>
              <w:spacing w:after="0" w:line="132" w:lineRule="exact"/>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3"/>
          </w:tcPr>
          <w:p>
            <w:pPr>
              <w:jc w:val="right"/>
              <w:ind w:right="120"/>
              <w:spacing w:after="0" w:line="132" w:lineRule="exact"/>
              <w:rPr>
                <w:sz w:val="20"/>
                <w:szCs w:val="20"/>
                <w:color w:val="auto"/>
              </w:rPr>
            </w:pPr>
            <w:r>
              <w:rPr>
                <w:rFonts w:ascii="Arial" w:cs="Arial" w:eastAsia="Arial" w:hAnsi="Arial"/>
                <w:sz w:val="13"/>
                <w:szCs w:val="13"/>
                <w:b w:val="1"/>
                <w:bCs w:val="1"/>
                <w:color w:val="auto"/>
                <w:w w:val="98"/>
              </w:rPr>
              <w:t>(as a percent of revenue)</w:t>
            </w:r>
            <w:r>
              <w:rPr>
                <w:rFonts w:ascii="Arial" w:cs="Arial" w:eastAsia="Arial" w:hAnsi="Arial"/>
                <w:sz w:val="10"/>
                <w:szCs w:val="10"/>
                <w:b w:val="1"/>
                <w:bCs w:val="1"/>
                <w:color w:val="auto"/>
                <w:w w:val="98"/>
              </w:rPr>
              <w:t>(1)</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100%</w:t>
            </w:r>
          </w:p>
        </w:tc>
        <w:tc>
          <w:tcPr>
            <w:tcW w:w="118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100%</w:t>
            </w:r>
          </w:p>
        </w:tc>
        <w:tc>
          <w:tcPr>
            <w:tcW w:w="120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100%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Cost of revenue</w:t>
            </w:r>
          </w:p>
        </w:tc>
        <w:tc>
          <w:tcPr>
            <w:tcW w:w="1200" w:type="dxa"/>
            <w:vAlign w:val="bottom"/>
            <w:gridSpan w:val="2"/>
          </w:tcPr>
          <w:p>
            <w:pPr>
              <w:jc w:val="right"/>
              <w:ind w:right="573"/>
              <w:spacing w:after="0"/>
              <w:rPr>
                <w:sz w:val="20"/>
                <w:szCs w:val="20"/>
                <w:color w:val="auto"/>
              </w:rPr>
            </w:pPr>
            <w:r>
              <w:rPr>
                <w:rFonts w:ascii="Arial" w:cs="Arial" w:eastAsia="Arial" w:hAnsi="Arial"/>
                <w:sz w:val="17"/>
                <w:szCs w:val="17"/>
                <w:color w:val="auto"/>
              </w:rPr>
              <w:t>40</w:t>
            </w:r>
          </w:p>
        </w:tc>
        <w:tc>
          <w:tcPr>
            <w:tcW w:w="1180" w:type="dxa"/>
            <w:vAlign w:val="bottom"/>
            <w:gridSpan w:val="2"/>
          </w:tcPr>
          <w:p>
            <w:pPr>
              <w:jc w:val="right"/>
              <w:ind w:right="573"/>
              <w:spacing w:after="0"/>
              <w:rPr>
                <w:sz w:val="20"/>
                <w:szCs w:val="20"/>
                <w:color w:val="auto"/>
              </w:rPr>
            </w:pPr>
            <w:r>
              <w:rPr>
                <w:rFonts w:ascii="Arial" w:cs="Arial" w:eastAsia="Arial" w:hAnsi="Arial"/>
                <w:sz w:val="17"/>
                <w:szCs w:val="17"/>
                <w:color w:val="auto"/>
              </w:rPr>
              <w:t>33</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28</w:t>
            </w:r>
          </w:p>
        </w:tc>
        <w:tc>
          <w:tcPr>
            <w:tcW w:w="560" w:type="dxa"/>
            <w:vAlign w:val="bottom"/>
          </w:tcPr>
          <w:p>
            <w:pPr>
              <w:jc w:val="right"/>
              <w:spacing w:after="0"/>
              <w:rPr>
                <w:sz w:val="20"/>
                <w:szCs w:val="20"/>
                <w:color w:val="auto"/>
              </w:rPr>
            </w:pPr>
            <w:r>
              <w:rPr>
                <w:rFonts w:ascii="Arial" w:cs="Arial" w:eastAsia="Arial" w:hAnsi="Arial"/>
                <w:sz w:val="17"/>
                <w:szCs w:val="17"/>
                <w:color w:val="auto"/>
              </w:rPr>
              <w:t>32</w:t>
            </w:r>
          </w:p>
        </w:tc>
        <w:tc>
          <w:tcPr>
            <w:tcW w:w="6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20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60</w:t>
            </w:r>
          </w:p>
        </w:tc>
        <w:tc>
          <w:tcPr>
            <w:tcW w:w="118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67</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72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Operating expenses:</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Operations and support</w:t>
            </w:r>
          </w:p>
        </w:tc>
        <w:tc>
          <w:tcPr>
            <w:tcW w:w="120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22</w:t>
            </w:r>
          </w:p>
        </w:tc>
        <w:tc>
          <w:tcPr>
            <w:tcW w:w="118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14</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200" w:type="dxa"/>
            <w:vAlign w:val="bottom"/>
            <w:gridSpan w:val="2"/>
          </w:tcPr>
          <w:p>
            <w:pPr>
              <w:jc w:val="right"/>
              <w:ind w:right="573"/>
              <w:spacing w:after="0"/>
              <w:rPr>
                <w:sz w:val="20"/>
                <w:szCs w:val="20"/>
                <w:color w:val="auto"/>
              </w:rPr>
            </w:pPr>
            <w:r>
              <w:rPr>
                <w:rFonts w:ascii="Arial" w:cs="Arial" w:eastAsia="Arial" w:hAnsi="Arial"/>
                <w:sz w:val="17"/>
                <w:szCs w:val="17"/>
                <w:color w:val="auto"/>
              </w:rPr>
              <w:t>13</w:t>
            </w:r>
          </w:p>
        </w:tc>
        <w:tc>
          <w:tcPr>
            <w:tcW w:w="1180" w:type="dxa"/>
            <w:vAlign w:val="bottom"/>
            <w:gridSpan w:val="2"/>
          </w:tcPr>
          <w:p>
            <w:pPr>
              <w:jc w:val="right"/>
              <w:ind w:right="573"/>
              <w:spacing w:after="0"/>
              <w:rPr>
                <w:sz w:val="20"/>
                <w:szCs w:val="20"/>
                <w:color w:val="auto"/>
              </w:rPr>
            </w:pPr>
            <w:r>
              <w:rPr>
                <w:rFonts w:ascii="Arial" w:cs="Arial" w:eastAsia="Arial" w:hAnsi="Arial"/>
                <w:sz w:val="17"/>
                <w:szCs w:val="17"/>
                <w:color w:val="auto"/>
              </w:rPr>
              <w:t>20</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20</w:t>
            </w:r>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c>
          <w:tcPr>
            <w:tcW w:w="6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20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11</w:t>
            </w:r>
          </w:p>
        </w:tc>
        <w:tc>
          <w:tcPr>
            <w:tcW w:w="118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21</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200" w:type="dxa"/>
            <w:vAlign w:val="bottom"/>
            <w:gridSpan w:val="2"/>
          </w:tcPr>
          <w:p>
            <w:pPr>
              <w:jc w:val="right"/>
              <w:ind w:right="573"/>
              <w:spacing w:after="0"/>
              <w:rPr>
                <w:sz w:val="20"/>
                <w:szCs w:val="20"/>
                <w:color w:val="auto"/>
              </w:rPr>
            </w:pPr>
            <w:r>
              <w:rPr>
                <w:rFonts w:ascii="Arial" w:cs="Arial" w:eastAsia="Arial" w:hAnsi="Arial"/>
                <w:sz w:val="17"/>
                <w:szCs w:val="17"/>
                <w:color w:val="auto"/>
              </w:rPr>
              <w:t>19</w:t>
            </w:r>
          </w:p>
        </w:tc>
        <w:tc>
          <w:tcPr>
            <w:tcW w:w="1180" w:type="dxa"/>
            <w:vAlign w:val="bottom"/>
            <w:gridSpan w:val="2"/>
          </w:tcPr>
          <w:p>
            <w:pPr>
              <w:jc w:val="right"/>
              <w:ind w:right="573"/>
              <w:spacing w:after="0"/>
              <w:rPr>
                <w:sz w:val="20"/>
                <w:szCs w:val="20"/>
                <w:color w:val="auto"/>
              </w:rPr>
            </w:pPr>
            <w:r>
              <w:rPr>
                <w:rFonts w:ascii="Arial" w:cs="Arial" w:eastAsia="Arial" w:hAnsi="Arial"/>
                <w:sz w:val="17"/>
                <w:szCs w:val="17"/>
                <w:color w:val="auto"/>
              </w:rPr>
              <w:t>16</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13</w:t>
            </w:r>
          </w:p>
        </w:tc>
        <w:tc>
          <w:tcPr>
            <w:tcW w:w="560" w:type="dxa"/>
            <w:vAlign w:val="bottom"/>
          </w:tcPr>
          <w:p>
            <w:pPr>
              <w:jc w:val="right"/>
              <w:spacing w:after="0"/>
              <w:rPr>
                <w:sz w:val="20"/>
                <w:szCs w:val="20"/>
                <w:color w:val="auto"/>
              </w:rPr>
            </w:pPr>
            <w:r>
              <w:rPr>
                <w:rFonts w:ascii="Arial" w:cs="Arial" w:eastAsia="Arial" w:hAnsi="Arial"/>
                <w:sz w:val="17"/>
                <w:szCs w:val="17"/>
                <w:color w:val="auto"/>
              </w:rPr>
              <w:t>14</w:t>
            </w:r>
          </w:p>
        </w:tc>
        <w:tc>
          <w:tcPr>
            <w:tcW w:w="6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operating expenses</w:t>
            </w:r>
          </w:p>
        </w:tc>
        <w:tc>
          <w:tcPr>
            <w:tcW w:w="120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65</w:t>
            </w:r>
          </w:p>
        </w:tc>
        <w:tc>
          <w:tcPr>
            <w:tcW w:w="118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72</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200" w:type="dxa"/>
            <w:vAlign w:val="bottom"/>
            <w:gridSpan w:val="2"/>
          </w:tcPr>
          <w:p>
            <w:pPr>
              <w:jc w:val="right"/>
              <w:ind w:right="533"/>
              <w:spacing w:after="0"/>
              <w:rPr>
                <w:sz w:val="20"/>
                <w:szCs w:val="20"/>
                <w:color w:val="auto"/>
              </w:rPr>
            </w:pPr>
            <w:r>
              <w:rPr>
                <w:rFonts w:ascii="Arial" w:cs="Arial" w:eastAsia="Arial" w:hAnsi="Arial"/>
                <w:sz w:val="17"/>
                <w:szCs w:val="17"/>
                <w:color w:val="auto"/>
              </w:rPr>
              <w:t>(5)</w:t>
            </w:r>
          </w:p>
        </w:tc>
        <w:tc>
          <w:tcPr>
            <w:tcW w:w="1180" w:type="dxa"/>
            <w:vAlign w:val="bottom"/>
            <w:gridSpan w:val="2"/>
          </w:tcPr>
          <w:p>
            <w:pPr>
              <w:jc w:val="right"/>
              <w:ind w:right="513"/>
              <w:spacing w:after="0"/>
              <w:rPr>
                <w:sz w:val="20"/>
                <w:szCs w:val="20"/>
                <w:color w:val="auto"/>
              </w:rPr>
            </w:pPr>
            <w:r>
              <w:rPr>
                <w:rFonts w:ascii="Arial" w:cs="Arial" w:eastAsia="Arial" w:hAnsi="Arial"/>
                <w:sz w:val="17"/>
                <w:szCs w:val="17"/>
                <w:color w:val="auto"/>
              </w:rPr>
              <w:t>(5)</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2</w:t>
            </w:r>
          </w:p>
        </w:tc>
        <w:tc>
          <w:tcPr>
            <w:tcW w:w="1200" w:type="dxa"/>
            <w:vAlign w:val="bottom"/>
            <w:gridSpan w:val="2"/>
          </w:tcPr>
          <w:p>
            <w:pPr>
              <w:jc w:val="right"/>
              <w:ind w:right="533"/>
              <w:spacing w:after="0"/>
              <w:rPr>
                <w:sz w:val="20"/>
                <w:szCs w:val="20"/>
                <w:color w:val="auto"/>
              </w:rPr>
            </w:pPr>
            <w:r>
              <w:rPr>
                <w:rFonts w:ascii="Arial" w:cs="Arial" w:eastAsia="Arial" w:hAnsi="Arial"/>
                <w:sz w:val="17"/>
                <w:szCs w:val="17"/>
                <w:color w:val="auto"/>
              </w:rPr>
              <w:t>(6)</w:t>
            </w:r>
          </w:p>
        </w:tc>
        <w:tc>
          <w:tcPr>
            <w:tcW w:w="54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00" w:type="dxa"/>
            <w:vAlign w:val="bottom"/>
            <w:gridSpan w:val="2"/>
            <w:shd w:val="clear" w:color="auto" w:fill="CCEEFF"/>
          </w:tcPr>
          <w:p>
            <w:pPr>
              <w:jc w:val="right"/>
              <w:ind w:right="673"/>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1</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7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Interest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580" w:type="dxa"/>
            <w:vAlign w:val="bottom"/>
          </w:tcPr>
          <w:p>
            <w:pPr>
              <w:spacing w:after="0"/>
              <w:rPr>
                <w:sz w:val="17"/>
                <w:szCs w:val="17"/>
                <w:color w:val="auto"/>
              </w:rPr>
            </w:pP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provision for (benefit from) income taxes</w:t>
            </w:r>
          </w:p>
        </w:tc>
        <w:tc>
          <w:tcPr>
            <w:tcW w:w="120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(5)</w:t>
            </w:r>
          </w:p>
        </w:tc>
        <w:tc>
          <w:tcPr>
            <w:tcW w:w="1180" w:type="dxa"/>
            <w:vAlign w:val="bottom"/>
            <w:gridSpan w:val="2"/>
            <w:shd w:val="clear" w:color="auto" w:fill="CCEEFF"/>
          </w:tcPr>
          <w:p>
            <w:pPr>
              <w:jc w:val="right"/>
              <w:ind w:right="513"/>
              <w:spacing w:after="0"/>
              <w:rPr>
                <w:sz w:val="20"/>
                <w:szCs w:val="20"/>
                <w:color w:val="auto"/>
              </w:rPr>
            </w:pPr>
            <w:r>
              <w:rPr>
                <w:rFonts w:ascii="Arial" w:cs="Arial" w:eastAsia="Arial" w:hAnsi="Arial"/>
                <w:sz w:val="17"/>
                <w:szCs w:val="17"/>
                <w:color w:val="auto"/>
              </w:rPr>
              <w:t>(4)</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w:t>
            </w:r>
          </w:p>
        </w:tc>
        <w:tc>
          <w:tcPr>
            <w:tcW w:w="120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(6)</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(14)</w:t>
            </w:r>
          </w:p>
        </w:tc>
        <w:tc>
          <w:tcPr>
            <w:tcW w:w="1200" w:type="dxa"/>
            <w:vAlign w:val="bottom"/>
            <w:gridSpan w:val="2"/>
          </w:tcPr>
          <w:p>
            <w:pPr>
              <w:jc w:val="right"/>
              <w:ind w:right="673"/>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(5)%</w:t>
            </w:r>
          </w:p>
        </w:tc>
        <w:tc>
          <w:tcPr>
            <w:tcW w:w="1180" w:type="dxa"/>
            <w:vAlign w:val="bottom"/>
            <w:gridSpan w:val="2"/>
            <w:shd w:val="clear" w:color="auto" w:fill="CCEEFF"/>
          </w:tcPr>
          <w:p>
            <w:pPr>
              <w:jc w:val="right"/>
              <w:ind w:right="373"/>
              <w:spacing w:after="0"/>
              <w:rPr>
                <w:sz w:val="20"/>
                <w:szCs w:val="20"/>
                <w:color w:val="auto"/>
              </w:rPr>
            </w:pPr>
            <w:r>
              <w:rPr>
                <w:rFonts w:ascii="Arial" w:cs="Arial" w:eastAsia="Arial" w:hAnsi="Arial"/>
                <w:sz w:val="17"/>
                <w:szCs w:val="17"/>
                <w:color w:val="auto"/>
              </w:rPr>
              <w:t>(4)%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17%</w:t>
            </w:r>
          </w:p>
        </w:tc>
        <w:tc>
          <w:tcPr>
            <w:tcW w:w="12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hanging="403"/>
        <w:spacing w:after="0"/>
        <w:tabs>
          <w:tab w:leader="none" w:pos="8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Totals of percent of revenue may not foot due to rounding.</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Six Months Ended June 30, 2022 and 2023</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Revenue</w:t>
      </w: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12623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ind w:left="5860"/>
        <w:spacing w:after="0"/>
        <w:tabs>
          <w:tab w:leader="none" w:pos="7120" w:val="left"/>
          <w:tab w:leader="none" w:pos="8280" w:val="left"/>
          <w:tab w:leader="none" w:pos="954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-1905</wp:posOffset>
            </wp:positionV>
            <wp:extent cx="21151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ind w:left="696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Transaction</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799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1,069</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rPr>
              <w:t>Advertising and other</w:t>
            </w: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327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406</w:t>
            </w:r>
          </w:p>
        </w:tc>
        <w:tc>
          <w:tcPr>
            <w:tcW w:w="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79</w:t>
            </w:r>
          </w:p>
        </w:tc>
        <w:tc>
          <w:tcPr>
            <w:tcW w:w="5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r>
      <w:tr>
        <w:trPr>
          <w:trHeight w:val="25"/>
        </w:trPr>
        <w:tc>
          <w:tcPr>
            <w:tcW w:w="3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1,126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1,475</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349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r>
      <w:tr>
        <w:trPr>
          <w:trHeight w:val="20"/>
        </w:trPr>
        <w:tc>
          <w:tcPr>
            <w:tcW w:w="3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The increase in transaction revenue during the first six months of 2023, compared to the same period of 2022, was primarily driven by fulfillment efficiencies as we increased our batch rate and reduced shopper incentives that were required during the first six months of 2022 due to the Omicron-driven demand surge, customer fee optimizations, and reduced appeasements and refunds, which also helped transaction revenue increase at a faster rate than GTV. This was partially offset by an increase in customer incentives and promotions. Transaction revenue growth was also impacted by GTV, which grew 4%, and orders, which remained relatively flat in the first six months of 2023, compared to the same period of 2022.</w:t>
      </w:r>
    </w:p>
    <w:p>
      <w:pPr>
        <w:spacing w:after="0" w:line="152" w:lineRule="exact"/>
        <w:rPr>
          <w:sz w:val="20"/>
          <w:szCs w:val="20"/>
          <w:color w:val="auto"/>
        </w:rPr>
      </w:pPr>
    </w:p>
    <w:p>
      <w:pPr>
        <w:ind w:left="460" w:right="40" w:firstLine="413"/>
        <w:spacing w:after="0" w:line="291" w:lineRule="auto"/>
        <w:rPr>
          <w:sz w:val="20"/>
          <w:szCs w:val="20"/>
          <w:color w:val="auto"/>
        </w:rPr>
      </w:pPr>
      <w:r>
        <w:rPr>
          <w:rFonts w:ascii="Arial" w:cs="Arial" w:eastAsia="Arial" w:hAnsi="Arial"/>
          <w:sz w:val="15"/>
          <w:szCs w:val="15"/>
          <w:color w:val="auto"/>
        </w:rPr>
        <w:t>The increase in advertising and other revenue during the first six months of 2023, compared to the same period of 2022, was primarily driven by interrelated factors including an increase in advertising volume and increased adoption of our new advertising features and products, such as shoppable display ads and shoppable video, which we launched in the second half of 2022. This increase was partially offset by changes in spend by certain of our brand partners in the first six months of 2023 compared to the same period of 2022 in response to macroeconomic uncertainty and changes in our brand partners’ businesses and performance. While we believe we have multiple levers to be able to grow advertising and other revenue over time as described in the section titled “Business—Our Growth Strategies,” we expect our advertising and other revenue to be negatively impacted over the near term due to the factors described in the section titled “—Core Principles of Our Financial Model—Grow Relationships with Brands.”</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00"/>
          </w:cols>
          <w:pgMar w:left="320" w:top="440" w:right="77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6350</wp:posOffset>
            </wp:positionV>
            <wp:extent cx="13188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5680"/>
        <w:spacing w:after="0"/>
        <w:tabs>
          <w:tab w:leader="none" w:pos="7080" w:val="left"/>
          <w:tab w:leader="none" w:pos="8280" w:val="left"/>
          <w:tab w:leader="none" w:pos="954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-1905</wp:posOffset>
            </wp:positionV>
            <wp:extent cx="21310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31060" cy="8255"/>
                    </a:xfrm>
                    <a:prstGeom prst="rect">
                      <a:avLst/>
                    </a:prstGeom>
                    <a:noFill/>
                  </pic:spPr>
                </pic:pic>
              </a:graphicData>
            </a:graphic>
          </wp:anchor>
        </w:drawing>
      </w:r>
    </w:p>
    <w:p>
      <w:pPr>
        <w:ind w:left="682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357</w:t>
            </w: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366</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96"/>
              <w:spacing w:after="0"/>
              <w:rPr>
                <w:sz w:val="20"/>
                <w:szCs w:val="20"/>
                <w:color w:val="auto"/>
              </w:rPr>
            </w:pPr>
            <w:r>
              <w:rPr>
                <w:rFonts w:ascii="Arial" w:cs="Arial" w:eastAsia="Arial" w:hAnsi="Arial"/>
                <w:sz w:val="17"/>
                <w:szCs w:val="17"/>
                <w:color w:val="auto"/>
              </w:rPr>
              <w:t>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Gross profit</w:t>
            </w:r>
          </w:p>
        </w:tc>
        <w:tc>
          <w:tcPr>
            <w:tcW w:w="20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76"/>
              <w:spacing w:after="0"/>
              <w:rPr>
                <w:sz w:val="20"/>
                <w:szCs w:val="20"/>
                <w:color w:val="auto"/>
              </w:rPr>
            </w:pPr>
            <w:r>
              <w:rPr>
                <w:rFonts w:ascii="Arial" w:cs="Arial" w:eastAsia="Arial" w:hAnsi="Arial"/>
                <w:sz w:val="17"/>
                <w:szCs w:val="17"/>
                <w:color w:val="auto"/>
              </w:rPr>
              <w:t>769</w:t>
            </w:r>
          </w:p>
        </w:tc>
        <w:tc>
          <w:tcPr>
            <w:tcW w:w="5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6"/>
              <w:spacing w:after="0"/>
              <w:rPr>
                <w:sz w:val="20"/>
                <w:szCs w:val="20"/>
                <w:color w:val="auto"/>
              </w:rPr>
            </w:pPr>
            <w:r>
              <w:rPr>
                <w:rFonts w:ascii="Arial" w:cs="Arial" w:eastAsia="Arial" w:hAnsi="Arial"/>
                <w:sz w:val="17"/>
                <w:szCs w:val="17"/>
                <w:color w:val="auto"/>
              </w:rPr>
              <w:t>1,109</w:t>
            </w: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96"/>
              <w:spacing w:after="0"/>
              <w:rPr>
                <w:sz w:val="20"/>
                <w:szCs w:val="20"/>
                <w:color w:val="auto"/>
              </w:rPr>
            </w:pPr>
            <w:r>
              <w:rPr>
                <w:rFonts w:ascii="Arial" w:cs="Arial" w:eastAsia="Arial" w:hAnsi="Arial"/>
                <w:sz w:val="17"/>
                <w:szCs w:val="17"/>
                <w:color w:val="auto"/>
              </w:rPr>
              <w:t>340</w:t>
            </w:r>
          </w:p>
        </w:tc>
        <w:tc>
          <w:tcPr>
            <w:tcW w:w="9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0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68%</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75%</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increase in cost of revenue during the first six months of 2023, compared to the same period of 2022, was primarily due to an increase of $9 million in customer success, professional services and other costs, and an increase of $6 million in delivery insurance costs, partially offset by a decrease of $6 million in compensation costs driven by a headcount reduction of in-store shoppers.</w:t>
      </w:r>
    </w:p>
    <w:p>
      <w:pPr>
        <w:spacing w:after="0" w:line="175" w:lineRule="exact"/>
        <w:rPr>
          <w:sz w:val="20"/>
          <w:szCs w:val="20"/>
          <w:color w:val="auto"/>
        </w:rPr>
      </w:pPr>
    </w:p>
    <w:p>
      <w:pPr>
        <w:jc w:val="both"/>
        <w:ind w:left="460" w:right="120" w:firstLine="413"/>
        <w:spacing w:after="0" w:line="256" w:lineRule="auto"/>
        <w:rPr>
          <w:sz w:val="20"/>
          <w:szCs w:val="20"/>
          <w:color w:val="auto"/>
        </w:rPr>
      </w:pPr>
      <w:r>
        <w:rPr>
          <w:rFonts w:ascii="Arial" w:cs="Arial" w:eastAsia="Arial" w:hAnsi="Arial"/>
          <w:sz w:val="17"/>
          <w:szCs w:val="17"/>
          <w:color w:val="auto"/>
        </w:rPr>
        <w:t>The increase in gross profit and gross margin during the first six months of 2023, compared to the same period of 2022, was primarily driven by the increase in transaction revenue and advertising and other revenue due to the factors described above. We expect gross margin expansion to taper in the future as growth in transaction revenue begins to align more closely with growth in GTV. See the section titled “—Core Principles of Our Financial Model—Drivers of Profitability” for more information regarding this dynamic.</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Operations and Support</w:t>
      </w: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6350</wp:posOffset>
            </wp:positionV>
            <wp:extent cx="13589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5400"/>
        <w:spacing w:after="0"/>
        <w:tabs>
          <w:tab w:leader="none" w:pos="6860" w:val="left"/>
          <w:tab w:leader="none" w:pos="8140" w:val="left"/>
          <w:tab w:leader="none" w:pos="950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-1905</wp:posOffset>
            </wp:positionV>
            <wp:extent cx="2219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ind w:left="662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Operations and support</w:t>
            </w:r>
          </w:p>
        </w:tc>
        <w:tc>
          <w:tcPr>
            <w:tcW w:w="250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    130</w:t>
            </w:r>
          </w:p>
        </w:tc>
        <w:tc>
          <w:tcPr>
            <w:tcW w:w="6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128</w:t>
            </w: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4"/>
        </w:trPr>
        <w:tc>
          <w:tcPr>
            <w:tcW w:w="2960" w:type="dxa"/>
            <w:vAlign w:val="bottom"/>
          </w:tcPr>
          <w:p>
            <w:pPr>
              <w:spacing w:after="0"/>
              <w:rPr>
                <w:sz w:val="20"/>
                <w:szCs w:val="20"/>
                <w:color w:val="auto"/>
              </w:rPr>
            </w:pPr>
            <w:r>
              <w:rPr>
                <w:rFonts w:ascii="Arial" w:cs="Arial" w:eastAsia="Arial" w:hAnsi="Arial"/>
                <w:sz w:val="17"/>
                <w:szCs w:val="17"/>
                <w:color w:val="auto"/>
              </w:rPr>
              <w:t>Percent of revenue</w:t>
            </w:r>
          </w:p>
        </w:tc>
        <w:tc>
          <w:tcPr>
            <w:tcW w:w="2500" w:type="dxa"/>
            <w:vAlign w:val="bottom"/>
          </w:tcPr>
          <w:p>
            <w:pPr>
              <w:jc w:val="right"/>
              <w:ind w:right="256"/>
              <w:spacing w:after="0"/>
              <w:rPr>
                <w:sz w:val="20"/>
                <w:szCs w:val="20"/>
                <w:color w:val="auto"/>
              </w:rPr>
            </w:pPr>
            <w:r>
              <w:rPr>
                <w:rFonts w:ascii="Arial" w:cs="Arial" w:eastAsia="Arial" w:hAnsi="Arial"/>
                <w:sz w:val="17"/>
                <w:szCs w:val="17"/>
                <w:color w:val="auto"/>
              </w:rPr>
              <w:t>12%</w:t>
            </w:r>
          </w:p>
        </w:tc>
        <w:tc>
          <w:tcPr>
            <w:tcW w:w="60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9%</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78" w:lineRule="exact"/>
        <w:rPr>
          <w:sz w:val="20"/>
          <w:szCs w:val="20"/>
          <w:color w:val="auto"/>
        </w:rPr>
      </w:pPr>
    </w:p>
    <w:p>
      <w:pPr>
        <w:ind w:left="460" w:right="100" w:firstLine="413"/>
        <w:spacing w:after="0" w:line="311" w:lineRule="auto"/>
        <w:rPr>
          <w:sz w:val="20"/>
          <w:szCs w:val="20"/>
          <w:color w:val="auto"/>
        </w:rPr>
      </w:pPr>
      <w:r>
        <w:rPr>
          <w:rFonts w:ascii="Arial" w:cs="Arial" w:eastAsia="Arial" w:hAnsi="Arial"/>
          <w:sz w:val="15"/>
          <w:szCs w:val="15"/>
          <w:color w:val="auto"/>
        </w:rPr>
        <w:t>Operations and support expense remained relatively flat during the first six months of 2023, compared to the same period of 2022, due to a decrease of $5 million in referral costs and background checks related to shopper acquisition, partially offset by an increase of $5 million in compensation costs primarily related to outsourced customer experience agents who provide phone, email, and chat support to customers and shoppers.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Research and Development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Six Months Ended June 30,</w:t>
            </w:r>
          </w:p>
        </w:tc>
        <w:tc>
          <w:tcPr>
            <w:tcW w:w="400" w:type="dxa"/>
            <w:vAlign w:val="bottom"/>
            <w:vMerge w:val="restart"/>
          </w:tcPr>
          <w:p>
            <w:pPr>
              <w:ind w:left="320"/>
              <w:spacing w:after="0"/>
              <w:rPr>
                <w:sz w:val="20"/>
                <w:szCs w:val="20"/>
                <w:color w:val="auto"/>
              </w:rPr>
            </w:pPr>
            <w:r>
              <w:rPr>
                <w:rFonts w:ascii="Arial" w:cs="Arial" w:eastAsia="Arial" w:hAnsi="Arial"/>
                <w:sz w:val="13"/>
                <w:szCs w:val="13"/>
                <w:b w:val="1"/>
                <w:bCs w:val="1"/>
                <w:color w:val="auto"/>
                <w:w w:val="82"/>
              </w:rPr>
              <w:t>$</w:t>
            </w: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3"/>
                <w:szCs w:val="13"/>
                <w:b w:val="1"/>
                <w:bCs w:val="1"/>
                <w:color w:val="auto"/>
                <w:w w:val="92"/>
              </w:rPr>
              <w:t>Change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44"/>
              <w:spacing w:after="0" w:line="132" w:lineRule="exact"/>
              <w:rPr>
                <w:sz w:val="20"/>
                <w:szCs w:val="20"/>
                <w:color w:val="auto"/>
              </w:rPr>
            </w:pPr>
            <w:r>
              <w:rPr>
                <w:rFonts w:ascii="Arial" w:cs="Arial" w:eastAsia="Arial" w:hAnsi="Arial"/>
                <w:sz w:val="13"/>
                <w:szCs w:val="13"/>
                <w:b w:val="1"/>
                <w:bCs w:val="1"/>
                <w:color w:val="auto"/>
              </w:rPr>
              <w:t>2022</w:t>
            </w: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1"/>
              <w:spacing w:after="0" w:line="132" w:lineRule="exact"/>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right"/>
              <w:ind w:right="520"/>
              <w:spacing w:after="0" w:line="132" w:lineRule="exact"/>
              <w:rPr>
                <w:sz w:val="20"/>
                <w:szCs w:val="20"/>
                <w:color w:val="auto"/>
              </w:rPr>
            </w:pPr>
            <w:r>
              <w:rPr>
                <w:rFonts w:ascii="Arial" w:cs="Arial" w:eastAsia="Arial" w:hAnsi="Arial"/>
                <w:sz w:val="13"/>
                <w:szCs w:val="13"/>
                <w:b w:val="1"/>
                <w:bCs w:val="1"/>
                <w:color w:val="auto"/>
              </w:rPr>
              <w:t>(in millions)</w:t>
            </w: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64"/>
              <w:spacing w:after="0"/>
              <w:rPr>
                <w:sz w:val="20"/>
                <w:szCs w:val="20"/>
                <w:color w:val="auto"/>
              </w:rPr>
            </w:pPr>
            <w:r>
              <w:rPr>
                <w:rFonts w:ascii="Arial" w:cs="Arial" w:eastAsia="Arial" w:hAnsi="Arial"/>
                <w:sz w:val="17"/>
                <w:szCs w:val="17"/>
                <w:color w:val="auto"/>
              </w:rPr>
              <w:t>243</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257</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Percent of revenue</w:t>
            </w:r>
          </w:p>
        </w:tc>
        <w:tc>
          <w:tcPr>
            <w:tcW w:w="140" w:type="dxa"/>
            <w:vAlign w:val="bottom"/>
          </w:tcPr>
          <w:p>
            <w:pPr>
              <w:spacing w:after="0"/>
              <w:rPr>
                <w:sz w:val="18"/>
                <w:szCs w:val="18"/>
                <w:color w:val="auto"/>
              </w:rPr>
            </w:pPr>
          </w:p>
        </w:tc>
        <w:tc>
          <w:tcPr>
            <w:tcW w:w="940" w:type="dxa"/>
            <w:vAlign w:val="bottom"/>
          </w:tcPr>
          <w:p>
            <w:pPr>
              <w:jc w:val="right"/>
              <w:ind w:right="224"/>
              <w:spacing w:after="0"/>
              <w:rPr>
                <w:sz w:val="20"/>
                <w:szCs w:val="20"/>
                <w:color w:val="auto"/>
              </w:rPr>
            </w:pPr>
            <w:r>
              <w:rPr>
                <w:rFonts w:ascii="Arial" w:cs="Arial" w:eastAsia="Arial" w:hAnsi="Arial"/>
                <w:sz w:val="17"/>
                <w:szCs w:val="17"/>
                <w:color w:val="auto"/>
              </w:rPr>
              <w:t>22%</w:t>
            </w:r>
          </w:p>
        </w:tc>
        <w:tc>
          <w:tcPr>
            <w:tcW w:w="5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17%</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The increase in research and development expense during the first six months of 2023, compared to the same period of 2022, was primarily due to increases of $38 million in compensation costs including bonus expense and employee elections to receive cash in lieu of a portion of their equity awards. This increase was partially offset by an increase of $19 million in capitalized software development costs and a decrease of $6 million in fees for engineering tools, subscriptions, and hosting.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Sales and Marketing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2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Six Months Ended June 30,</w:t>
            </w:r>
          </w:p>
        </w:tc>
        <w:tc>
          <w:tcPr>
            <w:tcW w:w="4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3"/>
                <w:szCs w:val="13"/>
                <w:b w:val="1"/>
                <w:bCs w:val="1"/>
                <w:color w:val="auto"/>
                <w:w w:val="88"/>
              </w:rPr>
              <w:t>Change</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62"/>
              <w:spacing w:after="0" w:line="132" w:lineRule="exact"/>
              <w:rPr>
                <w:sz w:val="20"/>
                <w:szCs w:val="20"/>
                <w:color w:val="auto"/>
              </w:rPr>
            </w:pPr>
            <w:r>
              <w:rPr>
                <w:rFonts w:ascii="Arial" w:cs="Arial" w:eastAsia="Arial" w:hAnsi="Arial"/>
                <w:sz w:val="13"/>
                <w:szCs w:val="13"/>
                <w:b w:val="1"/>
                <w:bCs w:val="1"/>
                <w:color w:val="auto"/>
              </w:rPr>
              <w:t>2022</w:t>
            </w:r>
          </w:p>
        </w:tc>
        <w:tc>
          <w:tcPr>
            <w:tcW w:w="5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21"/>
              <w:spacing w:after="0" w:line="132" w:lineRule="exact"/>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right"/>
              <w:ind w:right="520"/>
              <w:spacing w:after="0" w:line="132" w:lineRule="exact"/>
              <w:rPr>
                <w:sz w:val="20"/>
                <w:szCs w:val="20"/>
                <w:color w:val="auto"/>
              </w:rPr>
            </w:pPr>
            <w:r>
              <w:rPr>
                <w:rFonts w:ascii="Arial" w:cs="Arial" w:eastAsia="Arial" w:hAnsi="Arial"/>
                <w:sz w:val="13"/>
                <w:szCs w:val="13"/>
                <w:b w:val="1"/>
                <w:bCs w:val="1"/>
                <w:color w:val="auto"/>
              </w:rPr>
              <w:t>(in millions)</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7"/>
                <w:szCs w:val="17"/>
                <w:color w:val="auto"/>
              </w:rPr>
              <w:t>316</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327</w:t>
            </w:r>
          </w:p>
        </w:tc>
        <w:tc>
          <w:tcPr>
            <w:tcW w:w="4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20"/>
                <w:szCs w:val="20"/>
                <w:color w:val="auto"/>
              </w:rPr>
            </w:pPr>
            <w:r>
              <w:rPr>
                <w:rFonts w:ascii="Arial" w:cs="Arial" w:eastAsia="Arial" w:hAnsi="Arial"/>
                <w:sz w:val="17"/>
                <w:szCs w:val="17"/>
                <w:color w:val="auto"/>
              </w:rPr>
              <w:t>Percent of revenue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42"/>
              <w:spacing w:after="0"/>
              <w:rPr>
                <w:sz w:val="20"/>
                <w:szCs w:val="20"/>
                <w:color w:val="auto"/>
              </w:rPr>
            </w:pPr>
            <w:r>
              <w:rPr>
                <w:rFonts w:ascii="Arial" w:cs="Arial" w:eastAsia="Arial" w:hAnsi="Arial"/>
                <w:sz w:val="17"/>
                <w:szCs w:val="17"/>
                <w:color w:val="auto"/>
              </w:rPr>
              <w:t>28%</w:t>
            </w:r>
          </w:p>
        </w:tc>
        <w:tc>
          <w:tcPr>
            <w:tcW w:w="5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22%</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82"/>
              <w:spacing w:after="0"/>
              <w:rPr>
                <w:sz w:val="20"/>
                <w:szCs w:val="20"/>
                <w:color w:val="auto"/>
              </w:rPr>
            </w:pPr>
            <w:r>
              <w:rPr>
                <w:rFonts w:ascii="Arial" w:cs="Arial" w:eastAsia="Arial" w:hAnsi="Arial"/>
                <w:sz w:val="17"/>
                <w:szCs w:val="17"/>
                <w:color w:val="auto"/>
                <w:w w:val="98"/>
              </w:rPr>
              <w:t>140</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firstLine="413"/>
        <w:spacing w:after="0" w:line="277" w:lineRule="auto"/>
        <w:rPr>
          <w:sz w:val="20"/>
          <w:szCs w:val="20"/>
          <w:color w:val="auto"/>
        </w:rPr>
      </w:pPr>
      <w:r>
        <w:rPr>
          <w:rFonts w:ascii="Arial" w:cs="Arial" w:eastAsia="Arial" w:hAnsi="Arial"/>
          <w:sz w:val="16"/>
          <w:szCs w:val="16"/>
          <w:color w:val="auto"/>
        </w:rPr>
        <w:t>The increase in sales and marketing expense during the first six months of 2023, compared to the same period of 2022, was primarily due to an increase of $22 million in compensation costs including bonus expense and employee elections to receive cash in lieu of a portion of their equity awards, an increase of $3 million in costs related to marketing programs, and an increase of $2 million in depreciation and amortization, partially offset by a decrease of $17 million in consulting costs related to marketing projects and brand marketing campaigns.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General and Administrative</w:t>
      </w: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6350</wp:posOffset>
            </wp:positionV>
            <wp:extent cx="13347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5480"/>
        <w:spacing w:after="0"/>
        <w:tabs>
          <w:tab w:leader="none" w:pos="6900" w:val="left"/>
          <w:tab w:leader="none" w:pos="8200" w:val="left"/>
          <w:tab w:leader="none" w:pos="954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-1905</wp:posOffset>
            </wp:positionV>
            <wp:extent cx="2235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35835" cy="8255"/>
                    </a:xfrm>
                    <a:prstGeom prst="rect">
                      <a:avLst/>
                    </a:prstGeom>
                    <a:noFill/>
                  </pic:spPr>
                </pic:pic>
              </a:graphicData>
            </a:graphic>
          </wp:anchor>
        </w:drawing>
      </w:r>
    </w:p>
    <w:p>
      <w:pPr>
        <w:ind w:left="670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153</w:t>
            </w: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128</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(25)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4"/>
        </w:trPr>
        <w:tc>
          <w:tcPr>
            <w:tcW w:w="3120" w:type="dxa"/>
            <w:vAlign w:val="bottom"/>
          </w:tcPr>
          <w:p>
            <w:pPr>
              <w:spacing w:after="0"/>
              <w:rPr>
                <w:sz w:val="20"/>
                <w:szCs w:val="20"/>
                <w:color w:val="auto"/>
              </w:rPr>
            </w:pPr>
            <w:r>
              <w:rPr>
                <w:rFonts w:ascii="Arial" w:cs="Arial" w:eastAsia="Arial" w:hAnsi="Arial"/>
                <w:sz w:val="17"/>
                <w:szCs w:val="17"/>
                <w:color w:val="auto"/>
              </w:rPr>
              <w:t>Percent of revenue</w:t>
            </w:r>
          </w:p>
        </w:tc>
        <w:tc>
          <w:tcPr>
            <w:tcW w:w="1540" w:type="dxa"/>
            <w:vAlign w:val="bottom"/>
          </w:tcPr>
          <w:p>
            <w:pPr>
              <w:spacing w:after="0"/>
              <w:rPr>
                <w:sz w:val="18"/>
                <w:szCs w:val="18"/>
                <w:color w:val="auto"/>
              </w:rPr>
            </w:pPr>
          </w:p>
        </w:tc>
        <w:tc>
          <w:tcPr>
            <w:tcW w:w="860" w:type="dxa"/>
            <w:vAlign w:val="bottom"/>
          </w:tcPr>
          <w:p>
            <w:pPr>
              <w:jc w:val="right"/>
              <w:ind w:right="236"/>
              <w:spacing w:after="0"/>
              <w:rPr>
                <w:sz w:val="20"/>
                <w:szCs w:val="20"/>
                <w:color w:val="auto"/>
              </w:rPr>
            </w:pPr>
            <w:r>
              <w:rPr>
                <w:rFonts w:ascii="Arial" w:cs="Arial" w:eastAsia="Arial" w:hAnsi="Arial"/>
                <w:sz w:val="17"/>
                <w:szCs w:val="17"/>
                <w:color w:val="auto"/>
              </w:rPr>
              <w:t>14%</w:t>
            </w:r>
          </w:p>
        </w:tc>
        <w:tc>
          <w:tcPr>
            <w:tcW w:w="580" w:type="dxa"/>
            <w:vAlign w:val="bottom"/>
          </w:tcPr>
          <w:p>
            <w:pPr>
              <w:spacing w:after="0"/>
              <w:rPr>
                <w:sz w:val="18"/>
                <w:szCs w:val="18"/>
                <w:color w:val="auto"/>
              </w:rPr>
            </w:pPr>
          </w:p>
        </w:tc>
        <w:tc>
          <w:tcPr>
            <w:tcW w:w="860" w:type="dxa"/>
            <w:vAlign w:val="bottom"/>
          </w:tcPr>
          <w:p>
            <w:pPr>
              <w:jc w:val="right"/>
              <w:ind w:right="216"/>
              <w:spacing w:after="0"/>
              <w:rPr>
                <w:sz w:val="20"/>
                <w:szCs w:val="20"/>
                <w:color w:val="auto"/>
              </w:rPr>
            </w:pPr>
            <w:r>
              <w:rPr>
                <w:rFonts w:ascii="Arial" w:cs="Arial" w:eastAsia="Arial" w:hAnsi="Arial"/>
                <w:sz w:val="17"/>
                <w:szCs w:val="17"/>
                <w:color w:val="auto"/>
              </w:rPr>
              <w:t>9%</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78" w:lineRule="exact"/>
        <w:rPr>
          <w:sz w:val="20"/>
          <w:szCs w:val="20"/>
          <w:color w:val="auto"/>
        </w:rPr>
      </w:pPr>
    </w:p>
    <w:p>
      <w:pPr>
        <w:ind w:left="460" w:right="140" w:firstLine="413"/>
        <w:spacing w:after="0" w:line="254" w:lineRule="auto"/>
        <w:rPr>
          <w:sz w:val="20"/>
          <w:szCs w:val="20"/>
          <w:color w:val="auto"/>
        </w:rPr>
      </w:pPr>
      <w:r>
        <w:rPr>
          <w:rFonts w:ascii="Arial" w:cs="Arial" w:eastAsia="Arial" w:hAnsi="Arial"/>
          <w:sz w:val="17"/>
          <w:szCs w:val="17"/>
          <w:color w:val="auto"/>
        </w:rPr>
        <w:t>The decrease in general and administrative expense during the first six months of 2023, compared to the same period of 2022, was primarily due to a decrease of $30 million in our accruals for sales and indirect taxes and legal matters and settlements, a decrease of $9 million in professional fees related to legal and other matters, and a decrease of $6 million in policy spend, partially offset by an increase of $13 million in compensation costs including bonus expense and employee elections to receive cash in lieu of a portion of their equity awards and an increase of $6 million in business taxes.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Interest Income</w:t>
      </w:r>
    </w:p>
    <w:p>
      <w:pPr>
        <w:spacing w:after="0" w:line="227"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6350</wp:posOffset>
            </wp:positionV>
            <wp:extent cx="13747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ind w:left="5720"/>
        <w:spacing w:after="0"/>
        <w:tabs>
          <w:tab w:leader="none" w:pos="7160" w:val="left"/>
          <w:tab w:leader="none" w:pos="8400" w:val="left"/>
          <w:tab w:leader="none" w:pos="968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-1905</wp:posOffset>
            </wp:positionV>
            <wp:extent cx="21951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5480" w:val="left"/>
          <w:tab w:leader="none" w:pos="6080" w:val="left"/>
          <w:tab w:leader="none" w:pos="6940" w:val="left"/>
          <w:tab w:leader="none" w:pos="7480" w:val="left"/>
          <w:tab w:leader="none" w:pos="8400" w:val="left"/>
          <w:tab w:leader="none" w:pos="8760" w:val="left"/>
          <w:tab w:leader="none" w:pos="10040" w:val="left"/>
        </w:tabs>
        <w:rPr>
          <w:sz w:val="20"/>
          <w:szCs w:val="20"/>
          <w:color w:val="auto"/>
        </w:rPr>
      </w:pPr>
      <w:r>
        <w:rPr>
          <w:rFonts w:ascii="Arial" w:cs="Arial" w:eastAsia="Arial" w:hAnsi="Arial"/>
          <w:sz w:val="17"/>
          <w:szCs w:val="17"/>
          <w:color w:val="auto"/>
        </w:rPr>
        <w:t>Interest income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92075</wp:posOffset>
            </wp:positionV>
            <wp:extent cx="7239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“NM” - not meaningful</w:t>
      </w:r>
    </w:p>
    <w:p>
      <w:pPr>
        <w:spacing w:after="0" w:line="210" w:lineRule="exact"/>
        <w:rPr>
          <w:sz w:val="20"/>
          <w:szCs w:val="20"/>
          <w:color w:val="auto"/>
        </w:rPr>
      </w:pPr>
    </w:p>
    <w:p>
      <w:pPr>
        <w:ind w:left="460" w:right="300" w:firstLine="413"/>
        <w:spacing w:after="0" w:line="303" w:lineRule="auto"/>
        <w:rPr>
          <w:sz w:val="20"/>
          <w:szCs w:val="20"/>
          <w:color w:val="auto"/>
        </w:rPr>
      </w:pPr>
      <w:r>
        <w:rPr>
          <w:rFonts w:ascii="Arial" w:cs="Arial" w:eastAsia="Arial" w:hAnsi="Arial"/>
          <w:sz w:val="16"/>
          <w:szCs w:val="16"/>
          <w:color w:val="auto"/>
        </w:rPr>
        <w:t>The increase in interest income during the first six months of 2023, compared to the same period of 2022, was primarily due to higher average interest rates earned on our cash and cash equivalents, restricted cash and cash equivalents, and short-term investments.</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Provision for income taxes</w:t>
      </w:r>
    </w:p>
    <w:p>
      <w:pPr>
        <w:spacing w:after="0" w:line="227"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6350</wp:posOffset>
            </wp:positionV>
            <wp:extent cx="13747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ind w:left="5720"/>
        <w:spacing w:after="0"/>
        <w:tabs>
          <w:tab w:leader="none" w:pos="7160" w:val="left"/>
          <w:tab w:leader="none" w:pos="8400" w:val="left"/>
          <w:tab w:leader="none" w:pos="968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-1905</wp:posOffset>
            </wp:positionV>
            <wp:extent cx="21875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5500" w:val="left"/>
          <w:tab w:leader="none" w:pos="6100" w:val="left"/>
          <w:tab w:leader="none" w:pos="6940" w:val="left"/>
          <w:tab w:leader="none" w:pos="7480" w:val="left"/>
          <w:tab w:leader="none" w:pos="8400" w:val="left"/>
          <w:tab w:leader="none" w:pos="8760" w:val="left"/>
          <w:tab w:leader="none" w:pos="10040" w:val="left"/>
        </w:tabs>
        <w:rPr>
          <w:sz w:val="20"/>
          <w:szCs w:val="20"/>
          <w:color w:val="auto"/>
        </w:rPr>
      </w:pPr>
      <w:r>
        <w:rPr>
          <w:rFonts w:ascii="Arial" w:cs="Arial" w:eastAsia="Arial" w:hAnsi="Arial"/>
          <w:sz w:val="17"/>
          <w:szCs w:val="17"/>
          <w:color w:val="auto"/>
        </w:rPr>
        <w:t>Provision for income taxes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63</w:t>
      </w:r>
      <w:r>
        <w:rPr>
          <w:sz w:val="20"/>
          <w:szCs w:val="20"/>
          <w:color w:val="auto"/>
        </w:rPr>
        <w:tab/>
      </w:r>
      <w:r>
        <w:rPr>
          <w:rFonts w:ascii="Arial" w:cs="Arial" w:eastAsia="Arial" w:hAnsi="Arial"/>
          <w:sz w:val="16"/>
          <w:szCs w:val="16"/>
          <w:color w:val="auto"/>
        </w:rPr>
        <w:t>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83820</wp:posOffset>
            </wp:positionV>
            <wp:extent cx="7239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“NM” - not meaningful</w:t>
      </w:r>
    </w:p>
    <w:p>
      <w:pPr>
        <w:spacing w:after="0" w:line="10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increase in the provision for income taxes was primarily driven by a change from a pre-tax loss position during the first six months of 2022 compared to a pre-tax income position in the United States during the first six months of 2023. Additionally, in the first six months of 2023, there was no longer a valuation allowance in the United States given its release during the fourth quarter of 2022.</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780"/>
          </w:cols>
          <w:pgMar w:left="320" w:top="440" w:right="79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Years Ended December 31, 2021 and 2022</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Revenue</w:t>
      </w:r>
    </w:p>
    <w:p>
      <w:pPr>
        <w:spacing w:after="0" w:line="227"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6350</wp:posOffset>
            </wp:positionV>
            <wp:extent cx="1165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380"/>
        <w:spacing w:after="0"/>
        <w:tabs>
          <w:tab w:leader="none" w:pos="7520" w:val="left"/>
          <w:tab w:leader="none" w:pos="8500" w:val="left"/>
          <w:tab w:leader="none" w:pos="95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-1905</wp:posOffset>
            </wp:positionV>
            <wp:extent cx="18173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ind w:left="728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Transaction</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1,262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1,811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549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r>
      <w:tr>
        <w:trPr>
          <w:trHeight w:val="203"/>
        </w:trPr>
        <w:tc>
          <w:tcPr>
            <w:tcW w:w="3400" w:type="dxa"/>
            <w:vAlign w:val="bottom"/>
          </w:tcPr>
          <w:p>
            <w:pPr>
              <w:spacing w:after="0"/>
              <w:rPr>
                <w:sz w:val="20"/>
                <w:szCs w:val="20"/>
                <w:color w:val="auto"/>
              </w:rPr>
            </w:pPr>
            <w:r>
              <w:rPr>
                <w:rFonts w:ascii="Arial" w:cs="Arial" w:eastAsia="Arial" w:hAnsi="Arial"/>
                <w:sz w:val="17"/>
                <w:szCs w:val="17"/>
                <w:color w:val="auto"/>
              </w:rPr>
              <w:t>Advertising and other</w:t>
            </w: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572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740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168</w:t>
            </w: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r>
      <w:tr>
        <w:trPr>
          <w:trHeight w:val="25"/>
        </w:trPr>
        <w:tc>
          <w:tcPr>
            <w:tcW w:w="3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3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1,834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2,551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w:t>
            </w:r>
          </w:p>
        </w:tc>
      </w:tr>
      <w:tr>
        <w:trPr>
          <w:trHeight w:val="20"/>
        </w:trPr>
        <w:tc>
          <w:tcPr>
            <w:tcW w:w="3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increase in transaction revenue during fiscal year 2022, compared to fiscal year 2021, was driven primarily by an 18% increase in number of orders and a related 16% increase in overall GTV as we attracted and engaged more customers. The increase in transaction revenue was also driven by customer fee optimizations and efficiencies in shopper earnings due to healthy shopper supply and improvements to our routing, matching, and batching systems, which also helped cause transaction revenue to increase at a faster rate than orders and GTV.</w:t>
      </w:r>
    </w:p>
    <w:p>
      <w:pPr>
        <w:spacing w:after="0" w:line="164" w:lineRule="exact"/>
        <w:rPr>
          <w:sz w:val="20"/>
          <w:szCs w:val="20"/>
          <w:color w:val="auto"/>
        </w:rPr>
      </w:pPr>
    </w:p>
    <w:p>
      <w:pPr>
        <w:ind w:left="460" w:right="140" w:firstLine="413"/>
        <w:spacing w:after="0" w:line="270" w:lineRule="auto"/>
        <w:rPr>
          <w:sz w:val="20"/>
          <w:szCs w:val="20"/>
          <w:color w:val="auto"/>
        </w:rPr>
      </w:pPr>
      <w:r>
        <w:rPr>
          <w:rFonts w:ascii="Arial" w:cs="Arial" w:eastAsia="Arial" w:hAnsi="Arial"/>
          <w:sz w:val="16"/>
          <w:szCs w:val="16"/>
          <w:color w:val="auto"/>
        </w:rPr>
        <w:t>The increase in advertising and other revenue during fiscal year 2022, compared to fiscal year 2021, was primarily driven by interrelated factors including an increase in advertising volume from 2021 to 2022, increased adoption of our new advertising features and products, such as shoppable display ads and shoppable video in 2022, the 18% increase in number of orders, and the related 16% increase in overall GTV. Advertising and other revenue increased at a faster rate than GTV due in part to increased engagement of brand partners, as demonstrated by growth in advertising and other investment rate of 27 basis points and continued utilization of our Sponsored Product ads offering. Macroeconomic uncertainty has adversely affected the demand for advertising and caused brands to reduce their spending, which had a negative impact on our advertising and other revenue in 2022 and may have negative impacts in future periods.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227" w:lineRule="exact"/>
        <w:rPr>
          <w:sz w:val="20"/>
          <w:szCs w:val="20"/>
          <w:color w:val="auto"/>
        </w:rPr>
      </w:pPr>
    </w:p>
    <w:p>
      <w:pPr>
        <w:ind w:left="61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6350</wp:posOffset>
            </wp:positionV>
            <wp:extent cx="11823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160"/>
        <w:spacing w:after="0"/>
        <w:tabs>
          <w:tab w:leader="none" w:pos="7380" w:val="left"/>
          <w:tab w:leader="none" w:pos="8420" w:val="left"/>
          <w:tab w:leader="none" w:pos="95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-1905</wp:posOffset>
            </wp:positionV>
            <wp:extent cx="19056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05635" cy="8255"/>
                    </a:xfrm>
                    <a:prstGeom prst="rect">
                      <a:avLst/>
                    </a:prstGeom>
                    <a:noFill/>
                  </pic:spPr>
                </pic:pic>
              </a:graphicData>
            </a:graphic>
          </wp:anchor>
        </w:drawing>
      </w:r>
    </w:p>
    <w:p>
      <w:pPr>
        <w:ind w:left="714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608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720</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112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03"/>
        </w:trPr>
        <w:tc>
          <w:tcPr>
            <w:tcW w:w="3080" w:type="dxa"/>
            <w:vAlign w:val="bottom"/>
          </w:tcPr>
          <w:p>
            <w:pPr>
              <w:spacing w:after="0"/>
              <w:rPr>
                <w:sz w:val="20"/>
                <w:szCs w:val="20"/>
                <w:color w:val="auto"/>
              </w:rPr>
            </w:pPr>
            <w:r>
              <w:rPr>
                <w:rFonts w:ascii="Arial" w:cs="Arial" w:eastAsia="Arial" w:hAnsi="Arial"/>
                <w:sz w:val="17"/>
                <w:szCs w:val="17"/>
                <w:color w:val="auto"/>
              </w:rPr>
              <w:t>Gross profit</w:t>
            </w:r>
          </w:p>
        </w:tc>
        <w:tc>
          <w:tcPr>
            <w:tcW w:w="2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1,226</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1,831</w:t>
            </w:r>
          </w:p>
        </w:tc>
        <w:tc>
          <w:tcPr>
            <w:tcW w:w="360" w:type="dxa"/>
            <w:vAlign w:val="bottom"/>
          </w:tcPr>
          <w:p>
            <w:pPr>
              <w:spacing w:after="0"/>
              <w:rPr>
                <w:sz w:val="17"/>
                <w:szCs w:val="17"/>
                <w:color w:val="auto"/>
              </w:rPr>
            </w:pP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6"/>
              <w:spacing w:after="0"/>
              <w:rPr>
                <w:sz w:val="20"/>
                <w:szCs w:val="20"/>
                <w:color w:val="auto"/>
              </w:rPr>
            </w:pPr>
            <w:r>
              <w:rPr>
                <w:rFonts w:ascii="Arial" w:cs="Arial" w:eastAsia="Arial" w:hAnsi="Arial"/>
                <w:sz w:val="17"/>
                <w:szCs w:val="17"/>
                <w:color w:val="auto"/>
              </w:rPr>
              <w:t>605</w:t>
            </w:r>
          </w:p>
        </w:tc>
        <w:tc>
          <w:tcPr>
            <w:tcW w:w="8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
        </w:trPr>
        <w:tc>
          <w:tcPr>
            <w:tcW w:w="3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The increase in cost of revenue during fiscal year 2022, compared to fiscal year 2021, was driven by the growth of activity on Instacart, including an increase in credit card processing fees of $55 million; an increase in chargeback, cancellation, and redelivery costs of $34 million due to increased GTV and order volume; an increase of $16 million due to delivery-related insurance; and an increase of $10 million due to the amortization of developed technology from acquired companies. The increase was partially offset by a decrease of $21 million in headcount costs as a result of a decrease in in-store shoppers. We expect that our headcount costs will fluctuate in the future as we implement additional fulfillment options.</w:t>
      </w:r>
    </w:p>
    <w:p>
      <w:pPr>
        <w:spacing w:after="0" w:line="152" w:lineRule="exact"/>
        <w:rPr>
          <w:sz w:val="20"/>
          <w:szCs w:val="20"/>
          <w:color w:val="auto"/>
        </w:rPr>
      </w:pPr>
    </w:p>
    <w:p>
      <w:pPr>
        <w:jc w:val="both"/>
        <w:ind w:left="460" w:right="20" w:firstLine="413"/>
        <w:spacing w:after="0" w:line="260" w:lineRule="auto"/>
        <w:rPr>
          <w:sz w:val="20"/>
          <w:szCs w:val="20"/>
          <w:color w:val="auto"/>
        </w:rPr>
      </w:pPr>
      <w:r>
        <w:rPr>
          <w:rFonts w:ascii="Arial" w:cs="Arial" w:eastAsia="Arial" w:hAnsi="Arial"/>
          <w:sz w:val="17"/>
          <w:szCs w:val="17"/>
          <w:color w:val="auto"/>
        </w:rPr>
        <w:t>The increase in gross profit and gross margin during fiscal year 2022, compared to fiscal year 2021, was driven by the increase in revenue due to customer fee optimization and fulfillment efficiencies and the effects of increased efficiencies in our cost of revenue as we benefited from economies of scale. We expect the benefits of fulfillment efficiencies to taper in the future.</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740"/>
          </w:cols>
          <w:pgMar w:left="320" w:top="440" w:right="8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Operations and Support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w w:val="97"/>
              </w:rPr>
              <w:t>Year Ended December 31,</w:t>
            </w:r>
          </w:p>
        </w:tc>
        <w:tc>
          <w:tcPr>
            <w:tcW w:w="3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w w:val="88"/>
              </w:rPr>
              <w:t>Change</w:t>
            </w: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2"/>
              </w:rPr>
              <w:t>% Change</w:t>
            </w:r>
          </w:p>
        </w:tc>
        <w:tc>
          <w:tcPr>
            <w:tcW w:w="0" w:type="dxa"/>
            <w:vAlign w:val="bottom"/>
          </w:tcPr>
          <w:p>
            <w:pPr>
              <w:spacing w:after="0"/>
              <w:rPr>
                <w:sz w:val="1"/>
                <w:szCs w:val="1"/>
                <w:color w:val="auto"/>
              </w:rPr>
            </w:pPr>
          </w:p>
        </w:tc>
      </w:tr>
      <w:tr>
        <w:trPr>
          <w:trHeight w:val="132"/>
        </w:trPr>
        <w:tc>
          <w:tcPr>
            <w:tcW w:w="4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464"/>
              <w:spacing w:after="0" w:line="132"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1"/>
              <w:spacing w:after="0" w:line="132" w:lineRule="exact"/>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right"/>
              <w:ind w:right="400"/>
              <w:spacing w:after="0" w:line="132" w:lineRule="exact"/>
              <w:rPr>
                <w:sz w:val="20"/>
                <w:szCs w:val="20"/>
                <w:color w:val="auto"/>
              </w:rPr>
            </w:pPr>
            <w:r>
              <w:rPr>
                <w:rFonts w:ascii="Arial" w:cs="Arial" w:eastAsia="Arial" w:hAnsi="Arial"/>
                <w:sz w:val="13"/>
                <w:szCs w:val="13"/>
                <w:b w:val="1"/>
                <w:bCs w:val="1"/>
                <w:color w:val="auto"/>
              </w:rPr>
              <w:t>(in millions)</w:t>
            </w:r>
          </w:p>
        </w:tc>
        <w:tc>
          <w:tcPr>
            <w:tcW w:w="3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Operations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4"/>
              <w:spacing w:after="0"/>
              <w:rPr>
                <w:sz w:val="20"/>
                <w:szCs w:val="20"/>
                <w:color w:val="auto"/>
              </w:rPr>
            </w:pPr>
            <w:r>
              <w:rPr>
                <w:rFonts w:ascii="Arial" w:cs="Arial" w:eastAsia="Arial" w:hAnsi="Arial"/>
                <w:sz w:val="17"/>
                <w:szCs w:val="17"/>
                <w:color w:val="auto"/>
              </w:rPr>
              <w:t>262</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252</w:t>
            </w:r>
          </w:p>
        </w:tc>
        <w:tc>
          <w:tcPr>
            <w:tcW w:w="34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7"/>
                <w:szCs w:val="17"/>
                <w:color w:val="auto"/>
              </w:rPr>
              <w:t>Percent of revenue</w:t>
            </w:r>
          </w:p>
        </w:tc>
        <w:tc>
          <w:tcPr>
            <w:tcW w:w="120" w:type="dxa"/>
            <w:vAlign w:val="bottom"/>
          </w:tcPr>
          <w:p>
            <w:pPr>
              <w:spacing w:after="0"/>
              <w:rPr>
                <w:sz w:val="18"/>
                <w:szCs w:val="18"/>
                <w:color w:val="auto"/>
              </w:rPr>
            </w:pPr>
          </w:p>
        </w:tc>
        <w:tc>
          <w:tcPr>
            <w:tcW w:w="860" w:type="dxa"/>
            <w:vAlign w:val="bottom"/>
          </w:tcPr>
          <w:p>
            <w:pPr>
              <w:jc w:val="right"/>
              <w:ind w:right="164"/>
              <w:spacing w:after="0"/>
              <w:rPr>
                <w:sz w:val="20"/>
                <w:szCs w:val="20"/>
                <w:color w:val="auto"/>
              </w:rPr>
            </w:pPr>
            <w:r>
              <w:rPr>
                <w:rFonts w:ascii="Arial" w:cs="Arial" w:eastAsia="Arial" w:hAnsi="Arial"/>
                <w:sz w:val="17"/>
                <w:szCs w:val="17"/>
                <w:color w:val="auto"/>
              </w:rPr>
              <w:t>14%</w:t>
            </w:r>
          </w:p>
        </w:tc>
        <w:tc>
          <w:tcPr>
            <w:tcW w:w="4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decrease in operations and support expense during fiscal year 2022, compared to fiscal year 2021, was driven by a decrease of $34 million in referral costs and background checks related to shopper acquisition and a decrease of $8 million in staging supplies primarily due to a decreased need for personal protective equipment for shoppers, partially offset by a $20 million increase in compensation costs, a $10 million increase in costs related to outsourced customer experience agents who provide phone, email, and chat support to customers and shoppers, and a $2 million increase in costs for subscriptions and software and allocations to support our headcount growth.</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Research and Development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2"/>
              </w:rPr>
              <w:t>$</w:t>
            </w: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w w:val="92"/>
              </w:rPr>
              <w:t>Change</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3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444"/>
              <w:spacing w:after="0" w:line="132" w:lineRule="exact"/>
              <w:rPr>
                <w:sz w:val="20"/>
                <w:szCs w:val="20"/>
                <w:color w:val="auto"/>
              </w:rPr>
            </w:pPr>
            <w:r>
              <w:rPr>
                <w:rFonts w:ascii="Arial" w:cs="Arial" w:eastAsia="Arial" w:hAnsi="Arial"/>
                <w:sz w:val="13"/>
                <w:szCs w:val="13"/>
                <w:b w:val="1"/>
                <w:bCs w:val="1"/>
                <w:color w:val="auto"/>
              </w:rPr>
              <w:t>2021</w:t>
            </w: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1"/>
              <w:spacing w:after="0" w:line="132" w:lineRule="exact"/>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right"/>
              <w:ind w:right="380"/>
              <w:spacing w:after="0" w:line="132" w:lineRule="exact"/>
              <w:rPr>
                <w:sz w:val="20"/>
                <w:szCs w:val="20"/>
                <w:color w:val="auto"/>
              </w:rPr>
            </w:pPr>
            <w:r>
              <w:rPr>
                <w:rFonts w:ascii="Arial" w:cs="Arial" w:eastAsia="Arial" w:hAnsi="Arial"/>
                <w:sz w:val="13"/>
                <w:szCs w:val="13"/>
                <w:b w:val="1"/>
                <w:bCs w:val="1"/>
                <w:color w:val="auto"/>
              </w:rPr>
              <w:t>(in millions)</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84"/>
              <w:spacing w:after="0"/>
              <w:rPr>
                <w:sz w:val="20"/>
                <w:szCs w:val="20"/>
                <w:color w:val="auto"/>
              </w:rPr>
            </w:pPr>
            <w:r>
              <w:rPr>
                <w:rFonts w:ascii="Arial" w:cs="Arial" w:eastAsia="Arial" w:hAnsi="Arial"/>
                <w:sz w:val="17"/>
                <w:szCs w:val="17"/>
                <w:color w:val="auto"/>
              </w:rPr>
              <w:t>368</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518</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Percent of revenue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44"/>
              <w:spacing w:after="0"/>
              <w:rPr>
                <w:sz w:val="20"/>
                <w:szCs w:val="20"/>
                <w:color w:val="auto"/>
              </w:rPr>
            </w:pPr>
            <w:r>
              <w:rPr>
                <w:rFonts w:ascii="Arial" w:cs="Arial" w:eastAsia="Arial" w:hAnsi="Arial"/>
                <w:sz w:val="17"/>
                <w:szCs w:val="17"/>
                <w:color w:val="auto"/>
              </w:rPr>
              <w:t>20%</w:t>
            </w:r>
          </w:p>
        </w:tc>
        <w:tc>
          <w:tcPr>
            <w:tcW w:w="4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20%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The increase in research and development expense during fiscal year 2022, compared to fiscal year 2021, was primarily due to an increase of $109 million in compensation costs as a result of additional headcount to support our growth, and a $29 million increase in fees for engineering tools, subscriptions, and hosting to support continued innovation in product development and technology infrastructure.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Sales and Marketing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2"/>
              </w:rPr>
              <w:t>$</w:t>
            </w: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w w:val="92"/>
              </w:rPr>
              <w:t>Change</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444"/>
              <w:spacing w:after="0" w:line="132" w:lineRule="exact"/>
              <w:rPr>
                <w:sz w:val="20"/>
                <w:szCs w:val="20"/>
                <w:color w:val="auto"/>
              </w:rPr>
            </w:pPr>
            <w:r>
              <w:rPr>
                <w:rFonts w:ascii="Arial" w:cs="Arial" w:eastAsia="Arial" w:hAnsi="Arial"/>
                <w:sz w:val="13"/>
                <w:szCs w:val="13"/>
                <w:b w:val="1"/>
                <w:bCs w:val="1"/>
                <w:color w:val="auto"/>
              </w:rPr>
              <w:t>2021</w:t>
            </w: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1"/>
              <w:spacing w:after="0" w:line="132" w:lineRule="exact"/>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right"/>
              <w:ind w:right="380"/>
              <w:spacing w:after="0" w:line="132" w:lineRule="exact"/>
              <w:rPr>
                <w:sz w:val="20"/>
                <w:szCs w:val="20"/>
                <w:color w:val="auto"/>
              </w:rPr>
            </w:pPr>
            <w:r>
              <w:rPr>
                <w:rFonts w:ascii="Arial" w:cs="Arial" w:eastAsia="Arial" w:hAnsi="Arial"/>
                <w:sz w:val="13"/>
                <w:szCs w:val="13"/>
                <w:b w:val="1"/>
                <w:bCs w:val="1"/>
                <w:color w:val="auto"/>
              </w:rPr>
              <w:t>(in millions)</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84"/>
              <w:spacing w:after="0"/>
              <w:rPr>
                <w:sz w:val="20"/>
                <w:szCs w:val="20"/>
                <w:color w:val="auto"/>
              </w:rPr>
            </w:pPr>
            <w:r>
              <w:rPr>
                <w:rFonts w:ascii="Arial" w:cs="Arial" w:eastAsia="Arial" w:hAnsi="Arial"/>
                <w:sz w:val="17"/>
                <w:szCs w:val="17"/>
                <w:color w:val="auto"/>
              </w:rPr>
              <w:t>394</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660</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266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4"/>
        </w:trPr>
        <w:tc>
          <w:tcPr>
            <w:tcW w:w="3220" w:type="dxa"/>
            <w:vAlign w:val="bottom"/>
          </w:tcPr>
          <w:p>
            <w:pPr>
              <w:spacing w:after="0"/>
              <w:rPr>
                <w:sz w:val="20"/>
                <w:szCs w:val="20"/>
                <w:color w:val="auto"/>
              </w:rPr>
            </w:pPr>
            <w:r>
              <w:rPr>
                <w:rFonts w:ascii="Arial" w:cs="Arial" w:eastAsia="Arial" w:hAnsi="Arial"/>
                <w:sz w:val="17"/>
                <w:szCs w:val="17"/>
                <w:color w:val="auto"/>
              </w:rPr>
              <w:t>Percent of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44"/>
              <w:spacing w:after="0"/>
              <w:rPr>
                <w:sz w:val="20"/>
                <w:szCs w:val="20"/>
                <w:color w:val="auto"/>
              </w:rPr>
            </w:pPr>
            <w:r>
              <w:rPr>
                <w:rFonts w:ascii="Arial" w:cs="Arial" w:eastAsia="Arial" w:hAnsi="Arial"/>
                <w:sz w:val="17"/>
                <w:szCs w:val="17"/>
                <w:color w:val="auto"/>
              </w:rPr>
              <w:t>21%</w:t>
            </w:r>
          </w:p>
        </w:tc>
        <w:tc>
          <w:tcPr>
            <w:tcW w:w="4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26%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The increase in sales and marketing expense during fiscal year 2022, compared to fiscal year 2021, was primarily due to increases of $164 million in costs related to marketing programs intended to drive revenue growth, which was magnified by a reduction in our marketing spend in the first three quarters of 2021 as we re-assessed our investment goals, $60 million in compensation costs as a result of additional headcount in our sales and marketing organization to support our growth, and $33 million in consulting costs related to marketing projects and campaigns.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General and Administrative</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92"/>
              </w:rPr>
              <w:t>Change</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424"/>
              <w:spacing w:after="0" w:line="132"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1"/>
              <w:spacing w:after="0" w:line="132" w:lineRule="exact"/>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right"/>
              <w:ind w:right="380"/>
              <w:spacing w:after="0" w:line="132" w:lineRule="exact"/>
              <w:rPr>
                <w:sz w:val="20"/>
                <w:szCs w:val="20"/>
                <w:color w:val="auto"/>
              </w:rPr>
            </w:pPr>
            <w:r>
              <w:rPr>
                <w:rFonts w:ascii="Arial" w:cs="Arial" w:eastAsia="Arial" w:hAnsi="Arial"/>
                <w:sz w:val="13"/>
                <w:szCs w:val="13"/>
                <w:b w:val="1"/>
                <w:bCs w:val="1"/>
                <w:color w:val="auto"/>
              </w:rPr>
              <w:t>(in millions)</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64"/>
              <w:spacing w:after="0"/>
              <w:rPr>
                <w:sz w:val="20"/>
                <w:szCs w:val="20"/>
                <w:color w:val="auto"/>
              </w:rPr>
            </w:pPr>
            <w:r>
              <w:rPr>
                <w:rFonts w:ascii="Arial" w:cs="Arial" w:eastAsia="Arial" w:hAnsi="Arial"/>
                <w:sz w:val="17"/>
                <w:szCs w:val="17"/>
                <w:color w:val="auto"/>
              </w:rPr>
              <w:t>288</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339</w:t>
            </w:r>
          </w:p>
        </w:tc>
        <w:tc>
          <w:tcPr>
            <w:tcW w:w="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4"/>
        </w:trPr>
        <w:tc>
          <w:tcPr>
            <w:tcW w:w="3220" w:type="dxa"/>
            <w:vAlign w:val="bottom"/>
          </w:tcPr>
          <w:p>
            <w:pPr>
              <w:spacing w:after="0"/>
              <w:rPr>
                <w:sz w:val="20"/>
                <w:szCs w:val="20"/>
                <w:color w:val="auto"/>
              </w:rPr>
            </w:pPr>
            <w:r>
              <w:rPr>
                <w:rFonts w:ascii="Arial" w:cs="Arial" w:eastAsia="Arial" w:hAnsi="Arial"/>
                <w:sz w:val="17"/>
                <w:szCs w:val="17"/>
                <w:color w:val="auto"/>
              </w:rPr>
              <w:t>Percent of revenue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24"/>
              <w:spacing w:after="0"/>
              <w:rPr>
                <w:sz w:val="20"/>
                <w:szCs w:val="20"/>
                <w:color w:val="auto"/>
              </w:rPr>
            </w:pPr>
            <w:r>
              <w:rPr>
                <w:rFonts w:ascii="Arial" w:cs="Arial" w:eastAsia="Arial" w:hAnsi="Arial"/>
                <w:sz w:val="17"/>
                <w:szCs w:val="17"/>
                <w:color w:val="auto"/>
              </w:rPr>
              <w:t>16%</w:t>
            </w:r>
          </w:p>
        </w:tc>
        <w:tc>
          <w:tcPr>
            <w:tcW w:w="4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220" w:type="dxa"/>
            <w:vAlign w:val="bottom"/>
          </w:tcPr>
          <w:p>
            <w:pPr>
              <w:spacing w:after="0"/>
              <w:rPr>
                <w:sz w:val="24"/>
                <w:szCs w:val="24"/>
                <w:color w:val="auto"/>
              </w:rPr>
            </w:pPr>
          </w:p>
        </w:tc>
        <w:tc>
          <w:tcPr>
            <w:tcW w:w="1900" w:type="dxa"/>
            <w:vAlign w:val="bottom"/>
          </w:tcPr>
          <w:p>
            <w:pPr>
              <w:jc w:val="right"/>
              <w:ind w:right="156"/>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increase in general and administrative expense during fiscal year 2022, compared to fiscal year 2021, was primarily due to increases of $33 million in compensation costs as a result of additional headcount, $17 million in business taxes and insurance costs related to the overall increase in business volume, $9 million in policy spend, $7 million in consulting fees, as well as $6 million in software costs and other expenses related to the overall growth in our business. These expenditures were partially offset by decreases of $23 million in our accruals for sales and indirect taxes, and legal matters and settlements.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Income (Expense), Net</w:t>
      </w:r>
    </w:p>
    <w:p>
      <w:pPr>
        <w:spacing w:after="0" w:line="227" w:lineRule="exact"/>
        <w:rPr>
          <w:sz w:val="20"/>
          <w:szCs w:val="20"/>
          <w:color w:val="auto"/>
        </w:rPr>
      </w:pPr>
    </w:p>
    <w:p>
      <w:pPr>
        <w:ind w:left="62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6350</wp:posOffset>
            </wp:positionV>
            <wp:extent cx="11741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6260"/>
        <w:spacing w:after="0"/>
        <w:tabs>
          <w:tab w:leader="none" w:pos="7420" w:val="left"/>
          <w:tab w:leader="none" w:pos="8380" w:val="left"/>
          <w:tab w:leader="none" w:pos="94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-1905</wp:posOffset>
            </wp:positionV>
            <wp:extent cx="26136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6040" w:val="left"/>
          <w:tab w:leader="none" w:pos="6540" w:val="left"/>
          <w:tab w:leader="none" w:pos="7200" w:val="left"/>
          <w:tab w:leader="none" w:pos="7700" w:val="left"/>
          <w:tab w:leader="none" w:pos="8380" w:val="left"/>
          <w:tab w:leader="none" w:pos="8640" w:val="left"/>
          <w:tab w:leader="none" w:pos="9800" w:val="left"/>
        </w:tabs>
        <w:rPr>
          <w:sz w:val="20"/>
          <w:szCs w:val="20"/>
          <w:color w:val="auto"/>
        </w:rPr>
      </w:pPr>
      <w:r>
        <w:rPr>
          <w:rFonts w:ascii="Arial" w:cs="Arial" w:eastAsia="Arial" w:hAnsi="Arial"/>
          <w:sz w:val="17"/>
          <w:szCs w:val="17"/>
          <w:color w:val="auto"/>
        </w:rPr>
        <w:t>Other income (expense), net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w:t>
      </w:r>
      <w:r>
        <w:rPr>
          <w:sz w:val="20"/>
          <w:szCs w:val="20"/>
          <w:color w:val="auto"/>
        </w:rPr>
        <w:tab/>
      </w:r>
      <w:r>
        <w:rPr>
          <w:rFonts w:ascii="Arial" w:cs="Arial" w:eastAsia="Arial" w:hAnsi="Arial"/>
          <w:sz w:val="17"/>
          <w:szCs w:val="17"/>
          <w:color w:val="auto"/>
        </w:rPr>
        <w:t>$</w:t>
        <w:tab/>
        <w:t>(20)</w:t>
      </w:r>
      <w:r>
        <w:rPr>
          <w:sz w:val="20"/>
          <w:szCs w:val="20"/>
          <w:color w:val="auto"/>
        </w:rPr>
        <w:tab/>
      </w:r>
      <w:r>
        <w:rPr>
          <w:rFonts w:ascii="Arial" w:cs="Arial" w:eastAsia="Arial" w:hAnsi="Arial"/>
          <w:sz w:val="15"/>
          <w:szCs w:val="15"/>
          <w:color w:val="auto"/>
        </w:rPr>
        <w:t>(167)%</w:t>
      </w:r>
    </w:p>
    <w:p>
      <w:pPr>
        <w:spacing w:after="0" w:line="196" w:lineRule="exact"/>
        <w:rPr>
          <w:sz w:val="20"/>
          <w:szCs w:val="20"/>
          <w:color w:val="auto"/>
        </w:rPr>
      </w:pPr>
    </w:p>
    <w:p>
      <w:pPr>
        <w:jc w:val="both"/>
        <w:ind w:left="460" w:right="320" w:firstLine="413"/>
        <w:spacing w:after="0" w:line="260" w:lineRule="auto"/>
        <w:rPr>
          <w:sz w:val="20"/>
          <w:szCs w:val="20"/>
          <w:color w:val="auto"/>
        </w:rPr>
      </w:pPr>
      <w:r>
        <w:rPr>
          <w:rFonts w:ascii="Arial" w:cs="Arial" w:eastAsia="Arial" w:hAnsi="Arial"/>
          <w:sz w:val="17"/>
          <w:szCs w:val="17"/>
          <w:color w:val="auto"/>
        </w:rPr>
        <w:t>The decrease in other income (expense), net during fiscal year 2022, compared to fiscal year 2021, was primarily due to other income in 2021 related to legal settlements of $11 million that did not reoccur in 2022 and a foreign exchange loss during 2022 due to the strengthening of the U.S. dollar against the Canadian dollar and Australian dollar.</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Interest Income</w:t>
      </w:r>
    </w:p>
    <w:p>
      <w:pPr>
        <w:spacing w:after="0" w:line="227" w:lineRule="exact"/>
        <w:rPr>
          <w:sz w:val="20"/>
          <w:szCs w:val="20"/>
          <w:color w:val="auto"/>
        </w:rPr>
      </w:pPr>
    </w:p>
    <w:p>
      <w:pPr>
        <w:ind w:left="61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6350</wp:posOffset>
            </wp:positionV>
            <wp:extent cx="12623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ind w:left="6120"/>
        <w:spacing w:after="0"/>
        <w:tabs>
          <w:tab w:leader="none" w:pos="7420" w:val="left"/>
          <w:tab w:leader="none" w:pos="8520" w:val="left"/>
          <w:tab w:leader="none" w:pos="96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-1905</wp:posOffset>
            </wp:positionV>
            <wp:extent cx="20021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5900" w:val="left"/>
          <w:tab w:leader="none" w:pos="6480" w:val="left"/>
          <w:tab w:leader="none" w:pos="7200" w:val="left"/>
          <w:tab w:leader="none" w:pos="7720" w:val="left"/>
          <w:tab w:leader="none" w:pos="8520" w:val="left"/>
          <w:tab w:leader="none" w:pos="8900" w:val="left"/>
          <w:tab w:leader="none" w:pos="10040" w:val="left"/>
        </w:tabs>
        <w:rPr>
          <w:sz w:val="20"/>
          <w:szCs w:val="20"/>
          <w:color w:val="auto"/>
        </w:rPr>
      </w:pPr>
      <w:r>
        <w:rPr>
          <w:rFonts w:ascii="Arial" w:cs="Arial" w:eastAsia="Arial" w:hAnsi="Arial"/>
          <w:sz w:val="17"/>
          <w:szCs w:val="17"/>
          <w:color w:val="auto"/>
        </w:rPr>
        <w:t>Interest income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15</w:t>
      </w:r>
      <w:r>
        <w:rPr>
          <w:sz w:val="20"/>
          <w:szCs w:val="20"/>
          <w:color w:val="auto"/>
        </w:rPr>
        <w:tab/>
      </w:r>
      <w:r>
        <w:rPr>
          <w:rFonts w:ascii="Arial" w:cs="Arial" w:eastAsia="Arial" w:hAnsi="Arial"/>
          <w:sz w:val="16"/>
          <w:szCs w:val="16"/>
          <w:color w:val="auto"/>
        </w:rPr>
        <w:t>NM</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“NM” - not meaningful</w:t>
      </w:r>
    </w:p>
    <w:p>
      <w:pPr>
        <w:spacing w:after="0" w:line="210"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The increase in interest income during fiscal year 2022, compared to fiscal year 2021, was primarily due to higher average interest rates earned on our cash and cash equivalents and short-term investments in 2022 as compared to 2021.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Provision for (Benefit from) Income Taxes</w:t>
      </w:r>
    </w:p>
    <w:p>
      <w:pPr>
        <w:spacing w:after="0" w:line="227"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6350</wp:posOffset>
            </wp:positionV>
            <wp:extent cx="12223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180"/>
        <w:spacing w:after="0"/>
        <w:tabs>
          <w:tab w:leader="none" w:pos="7400" w:val="left"/>
          <w:tab w:leader="none" w:pos="8520" w:val="left"/>
          <w:tab w:leader="none" w:pos="96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-1905</wp:posOffset>
            </wp:positionV>
            <wp:extent cx="19862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86280"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5980" w:val="left"/>
          <w:tab w:leader="none" w:pos="6500" w:val="left"/>
          <w:tab w:leader="none" w:pos="7160" w:val="left"/>
          <w:tab w:leader="none" w:pos="7540" w:val="left"/>
          <w:tab w:leader="none" w:pos="8480" w:val="left"/>
          <w:tab w:leader="none" w:pos="8740" w:val="left"/>
          <w:tab w:leader="none" w:pos="10040" w:val="left"/>
        </w:tabs>
        <w:rPr>
          <w:sz w:val="20"/>
          <w:szCs w:val="20"/>
          <w:color w:val="auto"/>
        </w:rPr>
      </w:pPr>
      <w:r>
        <w:rPr>
          <w:rFonts w:ascii="Arial" w:cs="Arial" w:eastAsia="Arial" w:hAnsi="Arial"/>
          <w:sz w:val="17"/>
          <w:szCs w:val="17"/>
          <w:color w:val="auto"/>
        </w:rPr>
        <w:t>Provision for (benefit from) income taxes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(357)</w:t>
      </w:r>
      <w:r>
        <w:rPr>
          <w:sz w:val="20"/>
          <w:szCs w:val="20"/>
          <w:color w:val="auto"/>
        </w:rPr>
        <w:tab/>
      </w:r>
      <w:r>
        <w:rPr>
          <w:rFonts w:ascii="Arial" w:cs="Arial" w:eastAsia="Arial" w:hAnsi="Arial"/>
          <w:sz w:val="17"/>
          <w:szCs w:val="17"/>
          <w:color w:val="auto"/>
        </w:rPr>
        <w:t>$</w:t>
        <w:tab/>
        <w:t>(358)</w:t>
      </w:r>
      <w:r>
        <w:rPr>
          <w:sz w:val="20"/>
          <w:szCs w:val="20"/>
          <w:color w:val="auto"/>
        </w:rPr>
        <w:tab/>
      </w:r>
      <w:r>
        <w:rPr>
          <w:rFonts w:ascii="Arial" w:cs="Arial" w:eastAsia="Arial" w:hAnsi="Arial"/>
          <w:sz w:val="16"/>
          <w:szCs w:val="16"/>
          <w:color w:val="auto"/>
        </w:rPr>
        <w:t>NM</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“NM” - not meaningful</w:t>
      </w:r>
    </w:p>
    <w:p>
      <w:pPr>
        <w:spacing w:after="0" w:line="210"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The increase in the provision for (benefit from) income taxes during fiscal year 2022, compared to fiscal year 2021, was primarily driven by a $358 million release of our valuation allowance in the United States.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Years Ended December 31, 2020 and 2021</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Revenue</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0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2"/>
              </w:rPr>
              <w:t>$</w:t>
            </w: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2"/>
              <w:spacing w:after="0" w:line="13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0"/>
              <w:spacing w:after="0" w:line="13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ind w:left="220"/>
              <w:spacing w:after="0" w:line="132" w:lineRule="exact"/>
              <w:rPr>
                <w:sz w:val="20"/>
                <w:szCs w:val="20"/>
                <w:color w:val="auto"/>
              </w:rPr>
            </w:pPr>
            <w:r>
              <w:rPr>
                <w:rFonts w:ascii="Arial" w:cs="Arial" w:eastAsia="Arial" w:hAnsi="Arial"/>
                <w:sz w:val="13"/>
                <w:szCs w:val="13"/>
                <w:b w:val="1"/>
                <w:bCs w:val="1"/>
                <w:color w:val="auto"/>
              </w:rPr>
              <w:t>(in millions)</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Transaction</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1,182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1,262</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7"/>
                <w:szCs w:val="17"/>
                <w:color w:val="auto"/>
              </w:rPr>
              <w:t>Advertising and other</w:t>
            </w:r>
          </w:p>
        </w:tc>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7"/>
                <w:szCs w:val="17"/>
                <w:color w:val="auto"/>
              </w:rPr>
              <w:t>277</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1,834</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80" w:type="dxa"/>
            <w:vAlign w:val="bottom"/>
            <w:vMerge w:val="restart"/>
          </w:tcPr>
          <w:p>
            <w:pPr>
              <w:jc w:val="right"/>
              <w:ind w:right="356"/>
              <w:spacing w:after="0"/>
              <w:rPr>
                <w:sz w:val="20"/>
                <w:szCs w:val="20"/>
                <w:color w:val="auto"/>
              </w:rPr>
            </w:pPr>
            <w:r>
              <w:rPr>
                <w:rFonts w:ascii="Arial" w:cs="Arial" w:eastAsia="Arial" w:hAnsi="Arial"/>
                <w:sz w:val="17"/>
                <w:szCs w:val="17"/>
                <w:color w:val="auto"/>
              </w:rPr>
              <w:t>144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The increase in transaction revenue during fiscal year 2021, compared to fiscal year 2020, was driven primarily by a 30% increase in number of orders and a related 20% increase in overall GTV due to attracting and engaging more customers, the addition of more retail partners, and the introduction of new fulfillment options in 2021 such as quick convenience. Orders and GTV increased at a faster rate than transaction revenue due in part to a shift toward the use of full-service shoppers (whose costs are recorded as a reduction in revenue) from in-store shoppers, an increase in shopper payments in California following the passage of Proposition 22, and an increase in customer and shopper incentives per order and refunds primarily due to higher order volume and global supply chain constraints in 2021 (both of which are recorded as reductions in revenue). The effects of the COVID-19 pandemic on growth in number of orders and overall GTV decreased in 2021 relative to 2020 and average order values normalized from $121 in 2020 to $112 in 2021 as consumers began to return to pre-COVID grocery shopping behaviors. Accordingly, we experienced a shift in the mix of consumer use cases and fulfillment options, both of which also contributed to lower average order value in 2021. See the section titled “—COVID-19 Impact on Our Business.”</w:t>
      </w:r>
    </w:p>
    <w:p>
      <w:pPr>
        <w:spacing w:after="0" w:line="174"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The increase in advertising and other revenue during fiscal year 2021, compared to fiscal year 2020, was primarily driven by an increase of 59% in the number of brands on Instacart from the fourth quarter of 2020 to the fourth quarter of 2021, new advertising features and products and sales initiatives in 2021, and the 30% increase in number of orders and 20% increase in overall GTV. Advertising and other revenue increased at a faster rate than GTV due in part to increased engagement of brand partners, as demonstrated by the increase in advertising and other investment rate from 2020 to 2021.</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6350</wp:posOffset>
            </wp:positionV>
            <wp:extent cx="12306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120"/>
        <w:spacing w:after="0"/>
        <w:tabs>
          <w:tab w:leader="none" w:pos="7380" w:val="left"/>
          <w:tab w:leader="none" w:pos="8460" w:val="left"/>
          <w:tab w:leader="none" w:pos="95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u w:val="single" w:color="auto"/>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-1905</wp:posOffset>
            </wp:positionV>
            <wp:extent cx="4425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4259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-1905</wp:posOffset>
            </wp:positionV>
            <wp:extent cx="4102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10210" cy="8255"/>
                    </a:xfrm>
                    <a:prstGeom prst="rect">
                      <a:avLst/>
                    </a:prstGeom>
                    <a:noFill/>
                  </pic:spPr>
                </pic:pic>
              </a:graphicData>
            </a:graphic>
          </wp:anchor>
        </w:drawing>
      </w:r>
    </w:p>
    <w:p>
      <w:pPr>
        <w:ind w:left="718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2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598</w:t>
            </w:r>
          </w:p>
        </w:tc>
        <w:tc>
          <w:tcPr>
            <w:tcW w:w="4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608</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10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3"/>
        </w:trPr>
        <w:tc>
          <w:tcPr>
            <w:tcW w:w="3060" w:type="dxa"/>
            <w:vAlign w:val="bottom"/>
          </w:tcPr>
          <w:p>
            <w:pPr>
              <w:spacing w:after="0"/>
              <w:rPr>
                <w:sz w:val="20"/>
                <w:szCs w:val="20"/>
                <w:color w:val="auto"/>
              </w:rPr>
            </w:pPr>
            <w:r>
              <w:rPr>
                <w:rFonts w:ascii="Arial" w:cs="Arial" w:eastAsia="Arial" w:hAnsi="Arial"/>
                <w:sz w:val="17"/>
                <w:szCs w:val="17"/>
                <w:color w:val="auto"/>
              </w:rPr>
              <w:t>Gross profit</w:t>
            </w:r>
          </w:p>
        </w:tc>
        <w:tc>
          <w:tcPr>
            <w:tcW w:w="22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96"/>
              <w:spacing w:after="0"/>
              <w:rPr>
                <w:sz w:val="20"/>
                <w:szCs w:val="20"/>
                <w:color w:val="auto"/>
              </w:rPr>
            </w:pPr>
            <w:r>
              <w:rPr>
                <w:rFonts w:ascii="Arial" w:cs="Arial" w:eastAsia="Arial" w:hAnsi="Arial"/>
                <w:sz w:val="17"/>
                <w:szCs w:val="17"/>
                <w:color w:val="auto"/>
              </w:rPr>
              <w:t>879</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76"/>
              <w:spacing w:after="0"/>
              <w:rPr>
                <w:sz w:val="20"/>
                <w:szCs w:val="20"/>
                <w:color w:val="auto"/>
              </w:rPr>
            </w:pPr>
            <w:r>
              <w:rPr>
                <w:rFonts w:ascii="Arial" w:cs="Arial" w:eastAsia="Arial" w:hAnsi="Arial"/>
                <w:sz w:val="17"/>
                <w:szCs w:val="17"/>
                <w:color w:val="auto"/>
              </w:rPr>
              <w:t>1,226</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16"/>
              <w:spacing w:after="0"/>
              <w:rPr>
                <w:sz w:val="20"/>
                <w:szCs w:val="20"/>
                <w:color w:val="auto"/>
              </w:rPr>
            </w:pPr>
            <w:r>
              <w:rPr>
                <w:rFonts w:ascii="Arial" w:cs="Arial" w:eastAsia="Arial" w:hAnsi="Arial"/>
                <w:sz w:val="17"/>
                <w:szCs w:val="17"/>
                <w:color w:val="auto"/>
              </w:rPr>
              <w:t>347</w:t>
            </w:r>
          </w:p>
        </w:tc>
        <w:tc>
          <w:tcPr>
            <w:tcW w:w="8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60%</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67%</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increase in cost of revenue during fiscal year 2021, compared to fiscal year 2020, was driven by the growth of activity on Instacart, including an increase in credit card processing fees of $43 million and an increase in chargeback, cancellation, and redelivery costs of $20 million due to increased GTV and order volume. The increase was partially offset by a decrease of $56 million in headcount costs as a result of a decrease in in-store shoppers. We expect that our headcount costs will fluctuate in the future as we implement additional fulfillment options.</w:t>
      </w:r>
    </w:p>
    <w:p>
      <w:pPr>
        <w:spacing w:after="0" w:line="164" w:lineRule="exact"/>
        <w:rPr>
          <w:sz w:val="20"/>
          <w:szCs w:val="20"/>
          <w:color w:val="auto"/>
        </w:rPr>
      </w:pPr>
    </w:p>
    <w:p>
      <w:pPr>
        <w:ind w:left="460" w:right="80" w:firstLine="413"/>
        <w:spacing w:after="0" w:line="340" w:lineRule="auto"/>
        <w:rPr>
          <w:sz w:val="20"/>
          <w:szCs w:val="20"/>
          <w:color w:val="auto"/>
        </w:rPr>
      </w:pPr>
      <w:r>
        <w:rPr>
          <w:rFonts w:ascii="Arial" w:cs="Arial" w:eastAsia="Arial" w:hAnsi="Arial"/>
          <w:sz w:val="15"/>
          <w:szCs w:val="15"/>
          <w:color w:val="auto"/>
        </w:rPr>
        <w:t>The increase in gross profit and gross margin during fiscal year 2021, compared to fiscal year 2020, was driven by the increase of advertising and other revenue as a percent of total revenue and the effects of increased efficiencies in our cost of revenue as we benefited from economies of scale.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Operations and Support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5100" w:type="dxa"/>
            <w:vAlign w:val="bottom"/>
          </w:tcPr>
          <w:p>
            <w:pPr>
              <w:spacing w:after="0"/>
              <w:rPr>
                <w:sz w:val="13"/>
                <w:szCs w:val="13"/>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w w:val="92"/>
              </w:rPr>
              <w:t>Change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540" w:type="dxa"/>
            <w:vAlign w:val="bottom"/>
            <w:tcBorders>
              <w:top w:val="single" w:sz="8" w:color="auto"/>
            </w:tcBorders>
          </w:tcPr>
          <w:p>
            <w:pPr>
              <w:jc w:val="right"/>
              <w:ind w:right="64"/>
              <w:spacing w:after="0" w:line="132"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1"/>
              <w:spacing w:after="0" w:line="132" w:lineRule="exact"/>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Borders>
              <w:top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3"/>
              </w:rPr>
              <w:t>(in millions)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Operations and support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  324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7"/>
                <w:szCs w:val="17"/>
                <w:color w:val="auto"/>
              </w:rPr>
              <w:t>Percent of revenue</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The decrease in operations and support expense during fiscal year 2021, compared to fiscal year 2020, was driven by the significant investments made during 2020 in response to the accelerated growth we experienced as a result of shifts in consumer and shopper behavior during the early months of the COVID-19 pandemic, including</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780"/>
          </w:cols>
          <w:pgMar w:left="320" w:top="440" w:right="79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40"/>
        <w:spacing w:after="0" w:line="303" w:lineRule="auto"/>
        <w:rPr>
          <w:sz w:val="20"/>
          <w:szCs w:val="20"/>
          <w:color w:val="auto"/>
        </w:rPr>
      </w:pPr>
      <w:r>
        <w:rPr>
          <w:rFonts w:ascii="Arial" w:cs="Arial" w:eastAsia="Arial" w:hAnsi="Arial"/>
          <w:sz w:val="16"/>
          <w:szCs w:val="16"/>
          <w:color w:val="auto"/>
        </w:rPr>
        <w:t>decreases of $32 million in costs related to outsourced care agents who provide phone, email, and chat support to customers and shoppers, $22 million in referral costs and background checks related to shopper acquisition, and $10 million in customer support infrastructure.</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Research and Development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5220" w:type="dxa"/>
            <w:vAlign w:val="bottom"/>
          </w:tcPr>
          <w:p>
            <w:pPr>
              <w:spacing w:after="0"/>
              <w:rPr>
                <w:sz w:val="13"/>
                <w:szCs w:val="13"/>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88"/>
              </w:rPr>
              <w:t>Change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520" w:type="dxa"/>
            <w:vAlign w:val="bottom"/>
            <w:tcBorders>
              <w:top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1"/>
              <w:spacing w:after="0" w:line="132" w:lineRule="exact"/>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Borders>
              <w:top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3"/>
              </w:rPr>
              <w:t>(in millions)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  194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174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20"/>
                <w:szCs w:val="20"/>
                <w:color w:val="auto"/>
              </w:rPr>
            </w:pPr>
            <w:r>
              <w:rPr>
                <w:rFonts w:ascii="Arial" w:cs="Arial" w:eastAsia="Arial" w:hAnsi="Arial"/>
                <w:sz w:val="17"/>
                <w:szCs w:val="17"/>
                <w:color w:val="auto"/>
              </w:rPr>
              <w:t>Percent of revenue</w:t>
            </w: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increase in research and development expense during fiscal year 2021, compared to fiscal year 2020, was primarily due to increases of</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$145 million in compensation costs and $9 million in overhead costs as a result of additional headcount to support continued innovation and buildout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advertising products and $35 million in fees for engineering tools and subscriptions, partially offset by a decrease of $13 million in stock-based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compensation expense primarily resulting from a tender offer that we completed in 2020. The impact of the COVID-19 pandemic accelerated headcount</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growth in 2021, and we do not expect to maintain the same rate of headcount growth in future periods.</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Sales and Marketing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5180" w:type="dxa"/>
            <w:vAlign w:val="bottom"/>
          </w:tcPr>
          <w:p>
            <w:pPr>
              <w:spacing w:after="0"/>
              <w:rPr>
                <w:sz w:val="13"/>
                <w:szCs w:val="13"/>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2"/>
              </w:rPr>
              <w:t>Change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520" w:type="dxa"/>
            <w:vAlign w:val="bottom"/>
            <w:tcBorders>
              <w:top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1"/>
              <w:spacing w:after="0" w:line="132"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Borders>
              <w:top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5"/>
              </w:rPr>
              <w:t>(in millions)</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  158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236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Percent of revenue</w:t>
            </w: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right="20" w:firstLine="413"/>
        <w:spacing w:after="0" w:line="311" w:lineRule="auto"/>
        <w:rPr>
          <w:sz w:val="20"/>
          <w:szCs w:val="20"/>
          <w:color w:val="auto"/>
        </w:rPr>
      </w:pPr>
      <w:r>
        <w:rPr>
          <w:rFonts w:ascii="Arial" w:cs="Arial" w:eastAsia="Arial" w:hAnsi="Arial"/>
          <w:sz w:val="15"/>
          <w:szCs w:val="15"/>
          <w:color w:val="auto"/>
        </w:rPr>
        <w:t>The increase in sales and marketing expense during fiscal year 2021, compared to fiscal year 2020, was primarily due to increases of $161 million in costs related to marketing programs intended to drive revenue growth, $57 million in compensation costs as a result of additional headcount in our sales and marketing organization to support our growth, and $15 million in consulting costs related to marketing projects and campaigns.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General and Administrative</w:t>
      </w:r>
    </w:p>
    <w:p>
      <w:pPr>
        <w:spacing w:after="0" w:line="227"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11658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180"/>
        <w:spacing w:after="0"/>
        <w:tabs>
          <w:tab w:leader="none" w:pos="7360" w:val="left"/>
          <w:tab w:leader="none" w:pos="8460" w:val="left"/>
          <w:tab w:leader="none" w:pos="95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5364480</wp:posOffset>
            </wp:positionH>
            <wp:positionV relativeFrom="paragraph">
              <wp:posOffset>-1905</wp:posOffset>
            </wp:positionV>
            <wp:extent cx="3778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77825" cy="825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-1905</wp:posOffset>
            </wp:positionV>
            <wp:extent cx="4660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609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-1905</wp:posOffset>
            </wp:positionV>
            <wp:extent cx="3378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7820" cy="8255"/>
                    </a:xfrm>
                    <a:prstGeom prst="rect">
                      <a:avLst/>
                    </a:prstGeom>
                    <a:noFill/>
                  </pic:spPr>
                </pic:pic>
              </a:graphicData>
            </a:graphic>
          </wp:anchor>
        </w:drawing>
      </w:r>
    </w:p>
    <w:p>
      <w:pPr>
        <w:ind w:left="7160"/>
        <w:spacing w:after="0" w:line="237" w:lineRule="auto"/>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5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  278</w:t>
            </w: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288</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4"/>
        </w:trPr>
        <w:tc>
          <w:tcPr>
            <w:tcW w:w="3500" w:type="dxa"/>
            <w:vAlign w:val="bottom"/>
          </w:tcPr>
          <w:p>
            <w:pPr>
              <w:spacing w:after="0"/>
              <w:rPr>
                <w:sz w:val="20"/>
                <w:szCs w:val="20"/>
                <w:color w:val="auto"/>
              </w:rPr>
            </w:pPr>
            <w:r>
              <w:rPr>
                <w:rFonts w:ascii="Arial" w:cs="Arial" w:eastAsia="Arial" w:hAnsi="Arial"/>
                <w:sz w:val="17"/>
                <w:szCs w:val="17"/>
                <w:color w:val="auto"/>
              </w:rPr>
              <w:t>Percent of revenue</w:t>
            </w:r>
          </w:p>
        </w:tc>
        <w:tc>
          <w:tcPr>
            <w:tcW w:w="2540" w:type="dxa"/>
            <w:vAlign w:val="bottom"/>
          </w:tcPr>
          <w:p>
            <w:pPr>
              <w:jc w:val="right"/>
              <w:ind w:right="116"/>
              <w:spacing w:after="0"/>
              <w:rPr>
                <w:sz w:val="20"/>
                <w:szCs w:val="20"/>
                <w:color w:val="auto"/>
              </w:rPr>
            </w:pPr>
            <w:r>
              <w:rPr>
                <w:rFonts w:ascii="Arial" w:cs="Arial" w:eastAsia="Arial" w:hAnsi="Arial"/>
                <w:sz w:val="17"/>
                <w:szCs w:val="17"/>
                <w:color w:val="auto"/>
              </w:rPr>
              <w:t>19%</w:t>
            </w:r>
          </w:p>
        </w:tc>
        <w:tc>
          <w:tcPr>
            <w:tcW w:w="500" w:type="dxa"/>
            <w:vAlign w:val="bottom"/>
          </w:tcPr>
          <w:p>
            <w:pPr>
              <w:spacing w:after="0"/>
              <w:rPr>
                <w:sz w:val="18"/>
                <w:szCs w:val="18"/>
                <w:color w:val="auto"/>
              </w:rPr>
            </w:pPr>
          </w:p>
        </w:tc>
        <w:tc>
          <w:tcPr>
            <w:tcW w:w="820" w:type="dxa"/>
            <w:vAlign w:val="bottom"/>
          </w:tcPr>
          <w:p>
            <w:pPr>
              <w:jc w:val="right"/>
              <w:ind w:right="136"/>
              <w:spacing w:after="0"/>
              <w:rPr>
                <w:sz w:val="20"/>
                <w:szCs w:val="20"/>
                <w:color w:val="auto"/>
              </w:rPr>
            </w:pPr>
            <w:r>
              <w:rPr>
                <w:rFonts w:ascii="Arial" w:cs="Arial" w:eastAsia="Arial" w:hAnsi="Arial"/>
                <w:sz w:val="17"/>
                <w:szCs w:val="17"/>
                <w:color w:val="auto"/>
              </w:rPr>
              <w:t>16%</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The increase in general and administrative expense during fiscal year 2021, compared to fiscal year 2020, was primarily due to increases of</w:t>
      </w:r>
    </w:p>
    <w:p>
      <w:pPr>
        <w:spacing w:after="0" w:line="30" w:lineRule="exact"/>
        <w:rPr>
          <w:sz w:val="20"/>
          <w:szCs w:val="20"/>
          <w:color w:val="auto"/>
        </w:rPr>
      </w:pPr>
    </w:p>
    <w:p>
      <w:pPr>
        <w:ind w:left="460" w:right="20"/>
        <w:spacing w:after="0" w:line="250" w:lineRule="auto"/>
        <w:rPr>
          <w:sz w:val="20"/>
          <w:szCs w:val="20"/>
          <w:color w:val="auto"/>
        </w:rPr>
      </w:pPr>
      <w:r>
        <w:rPr>
          <w:rFonts w:ascii="Arial" w:cs="Arial" w:eastAsia="Arial" w:hAnsi="Arial"/>
          <w:sz w:val="17"/>
          <w:szCs w:val="17"/>
          <w:color w:val="auto"/>
        </w:rPr>
        <w:t>$49 million in compensation costs as a result of additional headcount, $26 million in consulting and professional fees related to legal, tax, and recruiting professional services, $9 million in software costs, allocations, and other expenses related to the overall growth in our business, as well as an increase of $5 million in business taxes and insurance costs related to the overall increase in business volume. These expenditures were partially offset by decreases of $29 million in our accruals for sales and indirect taxes and legal matters and settlements, $24 million in policy spend in 2020 relative to 2021 primarily to support the passage of Proposition 22 in California, and $26 million in stock-based compensation expense primarily resulting from a tender offer that we completed in 2020.</w:t>
      </w:r>
    </w:p>
    <w:p>
      <w:pPr>
        <w:spacing w:after="0" w:line="12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760"/>
          </w:cols>
          <w:pgMar w:left="320" w:top="440" w:right="81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Income</w:t>
      </w:r>
    </w:p>
    <w:p>
      <w:pPr>
        <w:spacing w:after="0" w:line="227" w:lineRule="exact"/>
        <w:rPr>
          <w:sz w:val="20"/>
          <w:szCs w:val="20"/>
          <w:color w:val="auto"/>
        </w:rPr>
      </w:pPr>
    </w:p>
    <w:p>
      <w:pPr>
        <w:ind w:left="63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6350</wp:posOffset>
            </wp:positionV>
            <wp:extent cx="11499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ind w:left="6220"/>
        <w:spacing w:after="0"/>
        <w:tabs>
          <w:tab w:leader="none" w:pos="7380" w:val="left"/>
          <w:tab w:leader="none" w:pos="8560" w:val="left"/>
          <w:tab w:leader="none" w:pos="9680" w:val="left"/>
        </w:tabs>
        <w:rPr>
          <w:sz w:val="20"/>
          <w:szCs w:val="20"/>
          <w:color w:val="auto"/>
        </w:rPr>
      </w:pPr>
      <w:r>
        <w:rPr>
          <w:rFonts w:ascii="Arial" w:cs="Arial" w:eastAsia="Arial" w:hAnsi="Arial"/>
          <w:sz w:val="13"/>
          <w:szCs w:val="13"/>
          <w:b w:val="1"/>
          <w:bCs w:val="1"/>
          <w:u w:val="single" w:color="auto"/>
          <w:color w:val="auto"/>
        </w:rPr>
        <w:t>2020</w:t>
      </w:r>
      <w:r>
        <w:rPr>
          <w:sz w:val="20"/>
          <w:szCs w:val="20"/>
          <w:color w:val="auto"/>
        </w:rPr>
        <w:tab/>
      </w: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5428615</wp:posOffset>
            </wp:positionH>
            <wp:positionV relativeFrom="paragraph">
              <wp:posOffset>-1905</wp:posOffset>
            </wp:positionV>
            <wp:extent cx="3778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782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-1905</wp:posOffset>
            </wp:positionV>
            <wp:extent cx="5708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6340" w:val="left"/>
          <w:tab w:leader="none" w:pos="7080" w:val="left"/>
          <w:tab w:leader="none" w:pos="7800" w:val="left"/>
          <w:tab w:leader="none" w:pos="8520" w:val="left"/>
          <w:tab w:leader="none" w:pos="8960" w:val="left"/>
          <w:tab w:leader="none" w:pos="10040" w:val="left"/>
        </w:tabs>
        <w:rPr>
          <w:sz w:val="20"/>
          <w:szCs w:val="20"/>
          <w:color w:val="auto"/>
        </w:rPr>
      </w:pPr>
      <w:r>
        <w:rPr>
          <w:rFonts w:ascii="Arial" w:cs="Arial" w:eastAsia="Arial" w:hAnsi="Arial"/>
          <w:sz w:val="17"/>
          <w:szCs w:val="17"/>
          <w:color w:val="auto"/>
        </w:rPr>
        <w:t>Other income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92075</wp:posOffset>
            </wp:positionV>
            <wp:extent cx="7239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 xml:space="preserve">“NM” </w:t>
      </w:r>
      <w:r>
        <w:rPr>
          <w:rFonts w:ascii="Arial" w:cs="Arial" w:eastAsia="Arial" w:hAnsi="Arial"/>
          <w:sz w:val="13"/>
          <w:szCs w:val="13"/>
          <w:color w:val="auto"/>
        </w:rPr>
        <w:t>-</w:t>
      </w:r>
      <w:r>
        <w:rPr>
          <w:rFonts w:ascii="Arial" w:cs="Arial" w:eastAsia="Arial" w:hAnsi="Arial"/>
          <w:sz w:val="13"/>
          <w:szCs w:val="13"/>
          <w:i w:val="1"/>
          <w:iCs w:val="1"/>
          <w:color w:val="auto"/>
        </w:rPr>
        <w:t xml:space="preserve"> not meaningful</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increase in other income during fiscal year 2021, compared to fiscal year 2020, was primarily due to income related to legal settlements.</w:t>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Interest Income</w:t>
      </w:r>
    </w:p>
    <w:p>
      <w:pPr>
        <w:spacing w:after="0" w:line="227" w:lineRule="exact"/>
        <w:rPr>
          <w:sz w:val="20"/>
          <w:szCs w:val="20"/>
          <w:color w:val="auto"/>
        </w:rPr>
      </w:pPr>
    </w:p>
    <w:p>
      <w:pPr>
        <w:ind w:left="63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6350</wp:posOffset>
            </wp:positionV>
            <wp:extent cx="11582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6300"/>
        <w:spacing w:after="0"/>
        <w:tabs>
          <w:tab w:leader="none" w:pos="7420" w:val="left"/>
          <w:tab w:leader="none" w:pos="8420" w:val="left"/>
          <w:tab w:leader="none" w:pos="950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-1905</wp:posOffset>
            </wp:positionV>
            <wp:extent cx="18091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wp:posOffset>
            </wp:positionV>
            <wp:extent cx="603123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1230" cy="128905"/>
                    </a:xfrm>
                    <a:prstGeom prst="rect">
                      <a:avLst/>
                    </a:prstGeom>
                    <a:noFill/>
                  </pic:spPr>
                </pic:pic>
              </a:graphicData>
            </a:graphic>
          </wp:anchor>
        </w:drawing>
      </w:r>
    </w:p>
    <w:p>
      <w:pPr>
        <w:ind w:left="880"/>
        <w:spacing w:after="0"/>
        <w:tabs>
          <w:tab w:leader="none" w:pos="6120" w:val="left"/>
          <w:tab w:leader="none" w:pos="6600" w:val="left"/>
          <w:tab w:leader="none" w:pos="7140" w:val="left"/>
          <w:tab w:leader="none" w:pos="7860" w:val="left"/>
          <w:tab w:leader="none" w:pos="8400" w:val="left"/>
          <w:tab w:leader="none" w:pos="8840" w:val="left"/>
          <w:tab w:leader="none" w:pos="9880" w:val="left"/>
        </w:tabs>
        <w:rPr>
          <w:sz w:val="20"/>
          <w:szCs w:val="20"/>
          <w:color w:val="auto"/>
        </w:rPr>
      </w:pPr>
      <w:r>
        <w:rPr>
          <w:rFonts w:ascii="Arial" w:cs="Arial" w:eastAsia="Arial" w:hAnsi="Arial"/>
          <w:sz w:val="17"/>
          <w:szCs w:val="17"/>
          <w:color w:val="auto"/>
        </w:rPr>
        <w:t>Interest income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w:t>
      </w:r>
      <w:r>
        <w:rPr>
          <w:sz w:val="20"/>
          <w:szCs w:val="20"/>
          <w:color w:val="auto"/>
        </w:rPr>
        <w:tab/>
      </w:r>
      <w:r>
        <w:rPr>
          <w:rFonts w:ascii="Arial" w:cs="Arial" w:eastAsia="Arial" w:hAnsi="Arial"/>
          <w:sz w:val="15"/>
          <w:szCs w:val="15"/>
          <w:color w:val="auto"/>
        </w:rPr>
        <w:t>(60)%</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Interest income was not material for the periods presented.</w:t>
      </w:r>
    </w:p>
    <w:p>
      <w:pPr>
        <w:spacing w:after="0" w:line="210"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decrease in interest income during fiscal year 2021, compared to fiscal year 2020, was a result of a change in mix of investments, including interest-bearing marketable securities.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580"/>
          </w:cols>
          <w:pgMar w:left="320" w:top="440" w:right="99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Quarterly Results of Operations</w:t>
      </w:r>
    </w:p>
    <w:p>
      <w:pPr>
        <w:spacing w:after="0" w:line="214" w:lineRule="exact"/>
        <w:rPr>
          <w:sz w:val="20"/>
          <w:szCs w:val="20"/>
          <w:color w:val="auto"/>
        </w:rPr>
      </w:pPr>
    </w:p>
    <w:p>
      <w:pPr>
        <w:jc w:val="both"/>
        <w:ind w:left="460" w:right="60" w:firstLine="413"/>
        <w:spacing w:after="0" w:line="286" w:lineRule="auto"/>
        <w:rPr>
          <w:sz w:val="20"/>
          <w:szCs w:val="20"/>
          <w:color w:val="auto"/>
        </w:rPr>
      </w:pPr>
      <w:r>
        <w:rPr>
          <w:rFonts w:ascii="Arial" w:cs="Arial" w:eastAsia="Arial" w:hAnsi="Arial"/>
          <w:sz w:val="15"/>
          <w:szCs w:val="15"/>
          <w:color w:val="auto"/>
        </w:rPr>
        <w:t>The following tables summarize our selected unaudited quarterly consolidated statements of operations data and the percent of revenue that each line item represents for each of the quarters in the years ended December 31, 2019, 2020, 2021, and 2022 and the six months ended June 30, 2023. The information for each of these quarters has been prepared on the same basis as our audited annual consolidated financial statements and, in the opinion of management, reflect all adjustments of a normal, recurring nature that are necessary for the fair statement of the results of operations for these periods.</w:t>
      </w:r>
    </w:p>
    <w:p>
      <w:pPr>
        <w:ind w:left="460" w:right="200"/>
        <w:spacing w:after="0" w:line="257" w:lineRule="auto"/>
        <w:rPr>
          <w:sz w:val="20"/>
          <w:szCs w:val="20"/>
          <w:color w:val="auto"/>
        </w:rPr>
      </w:pPr>
      <w:r>
        <w:rPr>
          <w:rFonts w:ascii="Arial" w:cs="Arial" w:eastAsia="Arial" w:hAnsi="Arial"/>
          <w:sz w:val="17"/>
          <w:szCs w:val="17"/>
          <w:color w:val="auto"/>
        </w:rPr>
        <w:t>This data should be read in conjunction with our audited consolidated financial statements included elsewhere in this prospectus. Historical results are not necessarily indicative of the results that may be expected in the future.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Consolidated Statements of Operations Data</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0"/>
                <w:szCs w:val="10"/>
                <w:b w:val="1"/>
                <w:bCs w:val="1"/>
                <w:color w:val="auto"/>
                <w:w w:val="92"/>
              </w:rPr>
              <w:t>Three Months Ended</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1"/>
              </w:rPr>
              <w:t>Jun. 30,</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2"/>
              </w:rPr>
              <w:t>Sept. 30,</w:t>
            </w:r>
          </w:p>
        </w:tc>
        <w:tc>
          <w:tcPr>
            <w:tcW w:w="12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9"/>
              </w:rPr>
              <w:t>Dec. 31,</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Mar. 31,</w:t>
            </w:r>
          </w:p>
        </w:tc>
        <w:tc>
          <w:tcPr>
            <w:tcW w:w="10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6"/>
              </w:rPr>
              <w:t>Jun. 30,</w:t>
            </w:r>
          </w:p>
        </w:tc>
        <w:tc>
          <w:tcPr>
            <w:tcW w:w="4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100" w:type="dxa"/>
            <w:vAlign w:val="bottom"/>
          </w:tcPr>
          <w:p>
            <w:pPr>
              <w:spacing w:after="0"/>
              <w:rPr>
                <w:sz w:val="8"/>
                <w:szCs w:val="8"/>
                <w:color w:val="auto"/>
              </w:rPr>
            </w:pPr>
          </w:p>
        </w:tc>
        <w:tc>
          <w:tcPr>
            <w:tcW w:w="3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79"/>
              </w:rPr>
              <w:t>Dec. 31,</w:t>
            </w:r>
          </w:p>
        </w:tc>
        <w:tc>
          <w:tcPr>
            <w:tcW w:w="10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0" w:type="dxa"/>
            <w:vAlign w:val="bottom"/>
          </w:tcPr>
          <w:p>
            <w:pPr>
              <w:spacing w:after="0"/>
              <w:rPr>
                <w:sz w:val="8"/>
                <w:szCs w:val="8"/>
                <w:color w:val="auto"/>
              </w:rPr>
            </w:pPr>
          </w:p>
        </w:tc>
        <w:tc>
          <w:tcPr>
            <w:tcW w:w="40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120" w:type="dxa"/>
            <w:vAlign w:val="bottom"/>
          </w:tcPr>
          <w:p>
            <w:pPr>
              <w:spacing w:after="0"/>
              <w:rPr>
                <w:sz w:val="8"/>
                <w:szCs w:val="8"/>
                <w:color w:val="auto"/>
              </w:rPr>
            </w:pPr>
          </w:p>
        </w:tc>
        <w:tc>
          <w:tcPr>
            <w:tcW w:w="4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7"/>
              </w:rPr>
              <w:t>Sept. 30,</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10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6"/>
              </w:rPr>
              <w:t>Jun. 30,</w:t>
            </w:r>
          </w:p>
        </w:tc>
        <w:tc>
          <w:tcPr>
            <w:tcW w:w="40" w:type="dxa"/>
            <w:vAlign w:val="bottom"/>
          </w:tcPr>
          <w:p>
            <w:pPr>
              <w:spacing w:after="0"/>
              <w:rPr>
                <w:sz w:val="8"/>
                <w:szCs w:val="8"/>
                <w:color w:val="auto"/>
              </w:rPr>
            </w:pP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280" w:type="dxa"/>
            <w:vAlign w:val="bottom"/>
          </w:tcPr>
          <w:p>
            <w:pPr>
              <w:spacing w:after="0" w:line="95" w:lineRule="exact"/>
              <w:rPr>
                <w:sz w:val="20"/>
                <w:szCs w:val="20"/>
                <w:color w:val="auto"/>
              </w:rPr>
            </w:pPr>
            <w:r>
              <w:rPr>
                <w:rFonts w:ascii="Arial" w:cs="Arial" w:eastAsia="Arial" w:hAnsi="Arial"/>
                <w:sz w:val="9"/>
                <w:szCs w:val="9"/>
                <w:b w:val="1"/>
                <w:bCs w:val="1"/>
                <w:color w:val="auto"/>
                <w:w w:val="77"/>
              </w:rPr>
              <w:t>Jun. 30,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00" w:type="dxa"/>
            <w:vAlign w:val="bottom"/>
            <w:gridSpan w:val="3"/>
          </w:tcPr>
          <w:p>
            <w:pPr>
              <w:spacing w:after="0"/>
              <w:rPr>
                <w:sz w:val="10"/>
                <w:szCs w:val="10"/>
                <w:color w:val="auto"/>
              </w:rPr>
            </w:pPr>
          </w:p>
        </w:tc>
        <w:tc>
          <w:tcPr>
            <w:tcW w:w="5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0"/>
                <w:szCs w:val="10"/>
                <w:b w:val="1"/>
                <w:bCs w:val="1"/>
                <w:color w:val="auto"/>
                <w:w w:val="80"/>
              </w:rPr>
              <w:t>2019</w:t>
            </w:r>
          </w:p>
        </w:tc>
        <w:tc>
          <w:tcPr>
            <w:tcW w:w="52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0"/>
                <w:szCs w:val="10"/>
                <w:b w:val="1"/>
                <w:bCs w:val="1"/>
                <w:color w:val="auto"/>
                <w:w w:val="89"/>
              </w:rPr>
              <w:t>2019</w:t>
            </w:r>
          </w:p>
        </w:tc>
        <w:tc>
          <w:tcPr>
            <w:tcW w:w="4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0"/>
                <w:szCs w:val="10"/>
                <w:b w:val="1"/>
                <w:bCs w:val="1"/>
                <w:color w:val="auto"/>
                <w:w w:val="80"/>
              </w:rPr>
              <w:t>2019</w:t>
            </w:r>
          </w:p>
        </w:tc>
        <w:tc>
          <w:tcPr>
            <w:tcW w:w="5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0"/>
              </w:rPr>
              <w:t>2021</w:t>
            </w:r>
          </w:p>
        </w:tc>
        <w:tc>
          <w:tcPr>
            <w:tcW w:w="4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0"/>
                <w:szCs w:val="10"/>
                <w:b w:val="1"/>
                <w:bCs w:val="1"/>
                <w:color w:val="auto"/>
                <w:w w:val="89"/>
              </w:rPr>
              <w:t>2021</w:t>
            </w:r>
          </w:p>
        </w:tc>
        <w:tc>
          <w:tcPr>
            <w:tcW w:w="4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0"/>
                <w:szCs w:val="10"/>
                <w:b w:val="1"/>
                <w:bCs w:val="1"/>
                <w:color w:val="auto"/>
                <w:w w:val="80"/>
              </w:rPr>
              <w:t>2021</w:t>
            </w:r>
          </w:p>
        </w:tc>
        <w:tc>
          <w:tcPr>
            <w:tcW w:w="5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0"/>
                <w:szCs w:val="10"/>
                <w:b w:val="1"/>
                <w:bCs w:val="1"/>
                <w:color w:val="auto"/>
                <w:w w:val="89"/>
              </w:rPr>
              <w:t>2022</w:t>
            </w:r>
          </w:p>
        </w:tc>
        <w:tc>
          <w:tcPr>
            <w:tcW w:w="4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0"/>
                <w:szCs w:val="10"/>
                <w:b w:val="1"/>
                <w:bCs w:val="1"/>
                <w:color w:val="auto"/>
                <w:w w:val="80"/>
              </w:rPr>
              <w:t>2023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w w:val="80"/>
              </w:rPr>
              <w:t>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340" w:type="dxa"/>
            <w:vAlign w:val="bottom"/>
            <w:gridSpan w:val="61"/>
          </w:tcPr>
          <w:p>
            <w:pPr>
              <w:spacing w:after="0"/>
              <w:rPr>
                <w:sz w:val="20"/>
                <w:szCs w:val="20"/>
                <w:color w:val="auto"/>
              </w:rPr>
            </w:pPr>
            <w:r>
              <w:rPr>
                <w:rFonts w:ascii="Arial" w:cs="Arial" w:eastAsia="Arial" w:hAnsi="Arial"/>
                <w:sz w:val="10"/>
                <w:szCs w:val="10"/>
                <w:b w:val="1"/>
                <w:bCs w:val="1"/>
                <w:color w:val="auto"/>
              </w:rPr>
              <w:t>(in millions)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shd w:val="clear" w:color="auto" w:fill="CCEEFF"/>
          </w:tcPr>
          <w:p>
            <w:pPr>
              <w:spacing w:after="0" w:line="139" w:lineRule="exact"/>
              <w:rPr>
                <w:sz w:val="20"/>
                <w:szCs w:val="20"/>
                <w:color w:val="auto"/>
              </w:rPr>
            </w:pPr>
            <w:r>
              <w:rPr>
                <w:rFonts w:ascii="Arial" w:cs="Arial" w:eastAsia="Arial" w:hAnsi="Arial"/>
                <w:sz w:val="11"/>
                <w:szCs w:val="11"/>
                <w:color w:val="auto"/>
              </w:rPr>
              <w:t>Revenue</w:t>
            </w:r>
            <w:r>
              <w:rPr>
                <w:rFonts w:ascii="Arial" w:cs="Arial" w:eastAsia="Arial" w:hAnsi="Arial"/>
                <w:sz w:val="16"/>
                <w:szCs w:val="16"/>
                <w:color w:val="auto"/>
                <w:vertAlign w:val="superscript"/>
              </w:rPr>
              <w:t>(1)</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41</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46</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59</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147</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476</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397</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457</w:t>
            </w: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440</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444</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473</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477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505</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621</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759</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tcPr>
          <w:p>
            <w:pPr>
              <w:spacing w:after="0" w:line="139" w:lineRule="exact"/>
              <w:rPr>
                <w:sz w:val="20"/>
                <w:szCs w:val="20"/>
                <w:color w:val="auto"/>
              </w:rPr>
            </w:pPr>
            <w:r>
              <w:rPr>
                <w:rFonts w:ascii="Arial" w:cs="Arial" w:eastAsia="Arial" w:hAnsi="Arial"/>
                <w:sz w:val="11"/>
                <w:szCs w:val="11"/>
                <w:color w:val="auto"/>
              </w:rPr>
              <w:t>Cost of revenue</w:t>
            </w:r>
            <w:r>
              <w:rPr>
                <w:rFonts w:ascii="Arial" w:cs="Arial" w:eastAsia="Arial" w:hAnsi="Arial"/>
                <w:sz w:val="16"/>
                <w:szCs w:val="16"/>
                <w:color w:val="auto"/>
                <w:vertAlign w:val="superscript"/>
              </w:rPr>
              <w:t>(2)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39" w:lineRule="exact"/>
              <w:rPr>
                <w:sz w:val="20"/>
                <w:szCs w:val="20"/>
                <w:color w:val="auto"/>
              </w:rPr>
            </w:pPr>
            <w:r>
              <w:rPr>
                <w:rFonts w:ascii="Arial" w:cs="Arial" w:eastAsia="Arial" w:hAnsi="Arial"/>
                <w:sz w:val="13"/>
                <w:szCs w:val="13"/>
                <w:color w:val="auto"/>
              </w:rPr>
              <w:t>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155</w:t>
            </w:r>
          </w:p>
        </w:tc>
        <w:tc>
          <w:tcPr>
            <w:tcW w:w="10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141</w:t>
            </w:r>
          </w:p>
        </w:tc>
        <w:tc>
          <w:tcPr>
            <w:tcW w:w="120" w:type="dxa"/>
            <w:vAlign w:val="bottom"/>
          </w:tcPr>
          <w:p>
            <w:pPr>
              <w:spacing w:after="0"/>
              <w:rPr>
                <w:sz w:val="12"/>
                <w:szCs w:val="12"/>
                <w:color w:val="auto"/>
              </w:rPr>
            </w:pPr>
          </w:p>
        </w:tc>
        <w:tc>
          <w:tcPr>
            <w:tcW w:w="4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145</w:t>
            </w: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158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176</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183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177</w:t>
            </w:r>
          </w:p>
        </w:tc>
        <w:tc>
          <w:tcPr>
            <w:tcW w:w="12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160" w:type="dxa"/>
            <w:vAlign w:val="bottom"/>
            <w:tcBorders>
              <w:right w:val="single" w:sz="8" w:color="auto"/>
            </w:tcBorders>
            <w:gridSpan w:val="6"/>
          </w:tcPr>
          <w:p>
            <w:pPr>
              <w:spacing w:after="0"/>
              <w:rPr>
                <w:sz w:val="2"/>
                <w:szCs w:val="2"/>
                <w:color w:val="auto"/>
              </w:rPr>
            </w:pPr>
          </w:p>
        </w:tc>
        <w:tc>
          <w:tcPr>
            <w:tcW w:w="480" w:type="dxa"/>
            <w:vAlign w:val="bottom"/>
            <w:tcBorders>
              <w:right w:val="single" w:sz="8" w:color="auto"/>
            </w:tcBorders>
            <w:gridSpan w:val="3"/>
            <w:shd w:val="clear" w:color="auto" w:fill="000000"/>
          </w:tcPr>
          <w:p>
            <w:pPr>
              <w:spacing w:after="0"/>
              <w:rPr>
                <w:sz w:val="2"/>
                <w:szCs w:val="2"/>
                <w:color w:val="auto"/>
              </w:rPr>
            </w:pPr>
          </w:p>
        </w:tc>
        <w:tc>
          <w:tcPr>
            <w:tcW w:w="520" w:type="dxa"/>
            <w:vAlign w:val="bottom"/>
            <w:tcBorders>
              <w:right w:val="single" w:sz="8" w:color="auto"/>
            </w:tcBorders>
            <w:gridSpan w:val="3"/>
            <w:shd w:val="clear" w:color="auto" w:fill="000000"/>
          </w:tcPr>
          <w:p>
            <w:pPr>
              <w:spacing w:after="0"/>
              <w:rPr>
                <w:sz w:val="2"/>
                <w:szCs w:val="2"/>
                <w:color w:val="auto"/>
              </w:rPr>
            </w:pPr>
          </w:p>
        </w:tc>
        <w:tc>
          <w:tcPr>
            <w:tcW w:w="480" w:type="dxa"/>
            <w:vAlign w:val="bottom"/>
            <w:tcBorders>
              <w:right w:val="single" w:sz="8" w:color="auto"/>
            </w:tcBorders>
            <w:gridSpan w:val="3"/>
            <w:shd w:val="clear" w:color="auto" w:fill="000000"/>
          </w:tcPr>
          <w:p>
            <w:pPr>
              <w:spacing w:after="0"/>
              <w:rPr>
                <w:sz w:val="2"/>
                <w:szCs w:val="2"/>
                <w:color w:val="auto"/>
              </w:rPr>
            </w:pPr>
          </w:p>
        </w:tc>
        <w:tc>
          <w:tcPr>
            <w:tcW w:w="500" w:type="dxa"/>
            <w:vAlign w:val="bottom"/>
            <w:tcBorders>
              <w:right w:val="single" w:sz="8" w:color="auto"/>
            </w:tcBorders>
            <w:gridSpan w:val="3"/>
            <w:shd w:val="clear" w:color="auto" w:fill="000000"/>
          </w:tcPr>
          <w:p>
            <w:pPr>
              <w:spacing w:after="0"/>
              <w:rPr>
                <w:sz w:val="2"/>
                <w:szCs w:val="2"/>
                <w:color w:val="auto"/>
              </w:rPr>
            </w:pPr>
          </w:p>
        </w:tc>
        <w:tc>
          <w:tcPr>
            <w:tcW w:w="1000" w:type="dxa"/>
            <w:vAlign w:val="bottom"/>
            <w:tcBorders>
              <w:right w:val="single" w:sz="8" w:color="auto"/>
            </w:tcBorders>
            <w:gridSpan w:val="7"/>
            <w:shd w:val="clear" w:color="auto" w:fill="000000"/>
          </w:tcPr>
          <w:p>
            <w:pPr>
              <w:spacing w:after="0"/>
              <w:rPr>
                <w:sz w:val="2"/>
                <w:szCs w:val="2"/>
                <w:color w:val="auto"/>
              </w:rPr>
            </w:pPr>
          </w:p>
        </w:tc>
        <w:tc>
          <w:tcPr>
            <w:tcW w:w="1440" w:type="dxa"/>
            <w:vAlign w:val="bottom"/>
            <w:tcBorders>
              <w:right w:val="single" w:sz="8" w:color="auto"/>
            </w:tcBorders>
            <w:gridSpan w:val="11"/>
            <w:shd w:val="clear" w:color="auto" w:fill="000000"/>
          </w:tcPr>
          <w:p>
            <w:pPr>
              <w:spacing w:after="0"/>
              <w:rPr>
                <w:sz w:val="2"/>
                <w:szCs w:val="2"/>
                <w:color w:val="auto"/>
              </w:rPr>
            </w:pPr>
          </w:p>
        </w:tc>
        <w:tc>
          <w:tcPr>
            <w:tcW w:w="1460" w:type="dxa"/>
            <w:vAlign w:val="bottom"/>
            <w:tcBorders>
              <w:right w:val="single" w:sz="8" w:color="auto"/>
            </w:tcBorders>
            <w:gridSpan w:val="9"/>
            <w:shd w:val="clear" w:color="auto" w:fill="000000"/>
          </w:tcPr>
          <w:p>
            <w:pPr>
              <w:spacing w:after="0"/>
              <w:rPr>
                <w:sz w:val="2"/>
                <w:szCs w:val="2"/>
                <w:color w:val="auto"/>
              </w:rPr>
            </w:pPr>
          </w:p>
        </w:tc>
        <w:tc>
          <w:tcPr>
            <w:tcW w:w="1960" w:type="dxa"/>
            <w:vAlign w:val="bottom"/>
            <w:tcBorders>
              <w:right w:val="single" w:sz="8" w:color="auto"/>
            </w:tcBorders>
            <w:gridSpan w:val="13"/>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5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Gross profit (loss)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(5)</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(11)</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58</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242</w:t>
            </w: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276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303</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328</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329</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440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582</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340" w:type="dxa"/>
            <w:vAlign w:val="bottom"/>
            <w:gridSpan w:val="61"/>
          </w:tcPr>
          <w:p>
            <w:pPr>
              <w:spacing w:after="0"/>
              <w:rPr>
                <w:sz w:val="20"/>
                <w:szCs w:val="20"/>
                <w:color w:val="auto"/>
              </w:rPr>
            </w:pPr>
            <w:r>
              <w:rPr>
                <w:rFonts w:ascii="Arial" w:cs="Arial" w:eastAsia="Arial" w:hAnsi="Arial"/>
                <w:sz w:val="13"/>
                <w:szCs w:val="13"/>
                <w:color w:val="auto"/>
              </w:rPr>
              <w:t>Operating expenses: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39" w:lineRule="exact"/>
              <w:rPr>
                <w:sz w:val="20"/>
                <w:szCs w:val="20"/>
                <w:color w:val="auto"/>
              </w:rPr>
            </w:pPr>
            <w:r>
              <w:rPr>
                <w:rFonts w:ascii="Arial" w:cs="Arial" w:eastAsia="Arial" w:hAnsi="Arial"/>
                <w:sz w:val="11"/>
                <w:szCs w:val="11"/>
                <w:color w:val="auto"/>
              </w:rPr>
              <w:t>Operations and support</w:t>
            </w:r>
            <w:r>
              <w:rPr>
                <w:rFonts w:ascii="Arial" w:cs="Arial" w:eastAsia="Arial" w:hAnsi="Arial"/>
                <w:sz w:val="16"/>
                <w:szCs w:val="16"/>
                <w:color w:val="auto"/>
                <w:vertAlign w:val="superscript"/>
              </w:rPr>
              <w:t>(2)(3)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47</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47</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44</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51</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57</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145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60</w:t>
            </w: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73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62</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63</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71</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59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67</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340" w:type="dxa"/>
            <w:vAlign w:val="bottom"/>
            <w:gridSpan w:val="61"/>
          </w:tcPr>
          <w:p>
            <w:pPr>
              <w:spacing w:after="0"/>
              <w:rPr>
                <w:sz w:val="20"/>
                <w:szCs w:val="20"/>
                <w:color w:val="auto"/>
              </w:rPr>
            </w:pPr>
            <w:r>
              <w:rPr>
                <w:rFonts w:ascii="Arial" w:cs="Arial" w:eastAsia="Arial" w:hAnsi="Arial"/>
                <w:sz w:val="13"/>
                <w:szCs w:val="13"/>
                <w:color w:val="auto"/>
              </w:rPr>
              <w:t>Research 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ind w:left="240"/>
              <w:spacing w:after="0" w:line="148" w:lineRule="exact"/>
              <w:rPr>
                <w:sz w:val="20"/>
                <w:szCs w:val="20"/>
                <w:color w:val="auto"/>
              </w:rPr>
            </w:pPr>
            <w:r>
              <w:rPr>
                <w:rFonts w:ascii="Arial" w:cs="Arial" w:eastAsia="Arial" w:hAnsi="Arial"/>
                <w:sz w:val="12"/>
                <w:szCs w:val="12"/>
                <w:color w:val="auto"/>
              </w:rPr>
              <w:t>development</w:t>
            </w:r>
            <w:r>
              <w:rPr>
                <w:rFonts w:ascii="Arial" w:cs="Arial" w:eastAsia="Arial" w:hAnsi="Arial"/>
                <w:sz w:val="17"/>
                <w:szCs w:val="17"/>
                <w:color w:val="auto"/>
                <w:vertAlign w:val="superscript"/>
              </w:rPr>
              <w:t>(2)(3)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2"/>
                <w:szCs w:val="12"/>
                <w:color w:val="auto"/>
              </w:rPr>
            </w:pPr>
          </w:p>
        </w:tc>
        <w:tc>
          <w:tcPr>
            <w:tcW w:w="3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3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59</w:t>
            </w:r>
          </w:p>
        </w:tc>
        <w:tc>
          <w:tcPr>
            <w:tcW w:w="10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87</w:t>
            </w:r>
          </w:p>
        </w:tc>
        <w:tc>
          <w:tcPr>
            <w:tcW w:w="120" w:type="dxa"/>
            <w:vAlign w:val="bottom"/>
          </w:tcPr>
          <w:p>
            <w:pPr>
              <w:spacing w:after="0"/>
              <w:rPr>
                <w:sz w:val="12"/>
                <w:szCs w:val="12"/>
                <w:color w:val="auto"/>
              </w:rPr>
            </w:pPr>
          </w:p>
        </w:tc>
        <w:tc>
          <w:tcPr>
            <w:tcW w:w="4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w:t>
            </w:r>
          </w:p>
        </w:tc>
        <w:tc>
          <w:tcPr>
            <w:tcW w:w="6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114</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127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148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127</w:t>
            </w: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130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39"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6"/>
                <w:szCs w:val="16"/>
                <w:color w:val="auto"/>
                <w:vertAlign w:val="superscript"/>
              </w:rPr>
              <w:t>(2)(3)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23</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22</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22</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23</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22</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43</w:t>
            </w: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69</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86</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149</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172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161</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340" w:type="dxa"/>
            <w:vAlign w:val="bottom"/>
            <w:gridSpan w:val="61"/>
          </w:tcPr>
          <w:p>
            <w:pPr>
              <w:spacing w:after="0"/>
              <w:rPr>
                <w:sz w:val="20"/>
                <w:szCs w:val="20"/>
                <w:color w:val="auto"/>
              </w:rPr>
            </w:pPr>
            <w:r>
              <w:rPr>
                <w:rFonts w:ascii="Arial" w:cs="Arial" w:eastAsia="Arial" w:hAnsi="Arial"/>
                <w:sz w:val="13"/>
                <w:szCs w:val="13"/>
                <w:color w:val="auto"/>
              </w:rPr>
              <w:t>General 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ind w:left="240"/>
              <w:spacing w:after="0" w:line="148" w:lineRule="exact"/>
              <w:rPr>
                <w:sz w:val="20"/>
                <w:szCs w:val="20"/>
                <w:color w:val="auto"/>
              </w:rPr>
            </w:pPr>
            <w:r>
              <w:rPr>
                <w:rFonts w:ascii="Arial" w:cs="Arial" w:eastAsia="Arial" w:hAnsi="Arial"/>
                <w:sz w:val="12"/>
                <w:szCs w:val="12"/>
                <w:color w:val="auto"/>
              </w:rPr>
              <w:t>administrative</w:t>
            </w:r>
            <w:r>
              <w:rPr>
                <w:rFonts w:ascii="Arial" w:cs="Arial" w:eastAsia="Arial" w:hAnsi="Arial"/>
                <w:sz w:val="17"/>
                <w:szCs w:val="17"/>
                <w:color w:val="auto"/>
                <w:vertAlign w:val="superscript"/>
              </w:rPr>
              <w:t>(2)(3)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70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56</w:t>
            </w:r>
          </w:p>
        </w:tc>
        <w:tc>
          <w:tcPr>
            <w:tcW w:w="120" w:type="dxa"/>
            <w:vAlign w:val="bottom"/>
          </w:tcPr>
          <w:p>
            <w:pPr>
              <w:spacing w:after="0"/>
              <w:rPr>
                <w:sz w:val="12"/>
                <w:szCs w:val="12"/>
                <w:color w:val="auto"/>
              </w:rPr>
            </w:pPr>
          </w:p>
        </w:tc>
        <w:tc>
          <w:tcPr>
            <w:tcW w:w="4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63</w:t>
            </w:r>
          </w:p>
        </w:tc>
        <w:tc>
          <w:tcPr>
            <w:tcW w:w="6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77</w:t>
            </w: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tcBorders>
              <w:right w:val="single" w:sz="8" w:color="auto"/>
            </w:tcBorders>
            <w:gridSpan w:val="7"/>
          </w:tcPr>
          <w:p>
            <w:pPr>
              <w:spacing w:after="0"/>
              <w:rPr>
                <w:sz w:val="2"/>
                <w:szCs w:val="2"/>
                <w:color w:val="auto"/>
              </w:rPr>
            </w:pPr>
          </w:p>
        </w:tc>
        <w:tc>
          <w:tcPr>
            <w:tcW w:w="480" w:type="dxa"/>
            <w:vAlign w:val="bottom"/>
            <w:tcBorders>
              <w:right w:val="single" w:sz="8" w:color="auto"/>
            </w:tcBorders>
            <w:gridSpan w:val="3"/>
            <w:shd w:val="clear" w:color="auto" w:fill="000000"/>
          </w:tcPr>
          <w:p>
            <w:pPr>
              <w:spacing w:after="0"/>
              <w:rPr>
                <w:sz w:val="2"/>
                <w:szCs w:val="2"/>
                <w:color w:val="auto"/>
              </w:rPr>
            </w:pPr>
          </w:p>
        </w:tc>
        <w:tc>
          <w:tcPr>
            <w:tcW w:w="520" w:type="dxa"/>
            <w:vAlign w:val="bottom"/>
            <w:tcBorders>
              <w:right w:val="single" w:sz="8" w:color="auto"/>
            </w:tcBorders>
            <w:gridSpan w:val="3"/>
            <w:shd w:val="clear" w:color="auto" w:fill="000000"/>
          </w:tcPr>
          <w:p>
            <w:pPr>
              <w:spacing w:after="0"/>
              <w:rPr>
                <w:sz w:val="2"/>
                <w:szCs w:val="2"/>
                <w:color w:val="auto"/>
              </w:rPr>
            </w:pPr>
          </w:p>
        </w:tc>
        <w:tc>
          <w:tcPr>
            <w:tcW w:w="480" w:type="dxa"/>
            <w:vAlign w:val="bottom"/>
            <w:tcBorders>
              <w:right w:val="single" w:sz="8" w:color="auto"/>
            </w:tcBorders>
            <w:gridSpan w:val="3"/>
            <w:shd w:val="clear" w:color="auto" w:fill="000000"/>
          </w:tcPr>
          <w:p>
            <w:pPr>
              <w:spacing w:after="0"/>
              <w:rPr>
                <w:sz w:val="2"/>
                <w:szCs w:val="2"/>
                <w:color w:val="auto"/>
              </w:rPr>
            </w:pPr>
          </w:p>
        </w:tc>
        <w:tc>
          <w:tcPr>
            <w:tcW w:w="500" w:type="dxa"/>
            <w:vAlign w:val="bottom"/>
            <w:tcBorders>
              <w:right w:val="single" w:sz="8" w:color="auto"/>
            </w:tcBorders>
            <w:gridSpan w:val="3"/>
            <w:shd w:val="clear" w:color="auto" w:fill="000000"/>
          </w:tcPr>
          <w:p>
            <w:pPr>
              <w:spacing w:after="0"/>
              <w:rPr>
                <w:sz w:val="2"/>
                <w:szCs w:val="2"/>
                <w:color w:val="auto"/>
              </w:rPr>
            </w:pPr>
          </w:p>
        </w:tc>
        <w:tc>
          <w:tcPr>
            <w:tcW w:w="1000" w:type="dxa"/>
            <w:vAlign w:val="bottom"/>
            <w:tcBorders>
              <w:right w:val="single" w:sz="8" w:color="auto"/>
            </w:tcBorders>
            <w:gridSpan w:val="7"/>
            <w:shd w:val="clear" w:color="auto" w:fill="000000"/>
          </w:tcPr>
          <w:p>
            <w:pPr>
              <w:spacing w:after="0"/>
              <w:rPr>
                <w:sz w:val="2"/>
                <w:szCs w:val="2"/>
                <w:color w:val="auto"/>
              </w:rPr>
            </w:pPr>
          </w:p>
        </w:tc>
        <w:tc>
          <w:tcPr>
            <w:tcW w:w="1440" w:type="dxa"/>
            <w:vAlign w:val="bottom"/>
            <w:tcBorders>
              <w:right w:val="single" w:sz="8" w:color="auto"/>
            </w:tcBorders>
            <w:gridSpan w:val="11"/>
            <w:shd w:val="clear" w:color="auto" w:fill="000000"/>
          </w:tcPr>
          <w:p>
            <w:pPr>
              <w:spacing w:after="0"/>
              <w:rPr>
                <w:sz w:val="2"/>
                <w:szCs w:val="2"/>
                <w:color w:val="auto"/>
              </w:rPr>
            </w:pPr>
          </w:p>
        </w:tc>
        <w:tc>
          <w:tcPr>
            <w:tcW w:w="1460" w:type="dxa"/>
            <w:vAlign w:val="bottom"/>
            <w:tcBorders>
              <w:right w:val="single" w:sz="8" w:color="auto"/>
            </w:tcBorders>
            <w:gridSpan w:val="9"/>
            <w:shd w:val="clear" w:color="auto" w:fill="000000"/>
          </w:tcPr>
          <w:p>
            <w:pPr>
              <w:spacing w:after="0"/>
              <w:rPr>
                <w:sz w:val="2"/>
                <w:szCs w:val="2"/>
                <w:color w:val="auto"/>
              </w:rPr>
            </w:pPr>
          </w:p>
        </w:tc>
        <w:tc>
          <w:tcPr>
            <w:tcW w:w="1960" w:type="dxa"/>
            <w:vAlign w:val="bottom"/>
            <w:tcBorders>
              <w:right w:val="single" w:sz="8" w:color="auto"/>
            </w:tcBorders>
            <w:gridSpan w:val="13"/>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shd w:val="clear" w:color="auto" w:fill="CCEEFF"/>
          </w:tcPr>
          <w:p>
            <w:pPr>
              <w:ind w:left="240"/>
              <w:spacing w:after="0" w:line="139" w:lineRule="exact"/>
              <w:rPr>
                <w:sz w:val="20"/>
                <w:szCs w:val="20"/>
                <w:color w:val="auto"/>
              </w:rPr>
            </w:pPr>
            <w:r>
              <w:rPr>
                <w:rFonts w:ascii="Arial" w:cs="Arial" w:eastAsia="Arial" w:hAnsi="Arial"/>
                <w:sz w:val="13"/>
                <w:szCs w:val="13"/>
                <w:color w:val="auto"/>
                <w:w w:val="87"/>
              </w:rPr>
              <w:t>Total operating expenses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154</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259</w:t>
            </w: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295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274</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313</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410</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432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432</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spacing w:after="0"/>
              <w:rPr>
                <w:sz w:val="20"/>
                <w:szCs w:val="20"/>
                <w:color w:val="auto"/>
              </w:rPr>
            </w:pPr>
            <w:r>
              <w:rPr>
                <w:rFonts w:ascii="Arial" w:cs="Arial" w:eastAsia="Arial" w:hAnsi="Arial"/>
                <w:sz w:val="13"/>
                <w:szCs w:val="13"/>
                <w:color w:val="auto"/>
                <w:w w:val="89"/>
              </w:rPr>
              <w:t>Income (loss) from operations</w:t>
            </w:r>
          </w:p>
        </w:tc>
        <w:tc>
          <w:tcPr>
            <w:tcW w:w="620" w:type="dxa"/>
            <w:vAlign w:val="bottom"/>
            <w:tcBorders>
              <w:right w:val="single" w:sz="8" w:color="auto"/>
            </w:tcBorders>
            <w:gridSpan w:val="5"/>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0" w:type="dxa"/>
            <w:vAlign w:val="bottom"/>
            <w:tcBorders>
              <w:right w:val="single" w:sz="8" w:color="auto"/>
            </w:tcBorders>
            <w:gridSpan w:val="7"/>
            <w:shd w:val="clear" w:color="auto" w:fill="000000"/>
          </w:tcPr>
          <w:p>
            <w:pPr>
              <w:spacing w:after="0" w:line="20" w:lineRule="exact"/>
              <w:rPr>
                <w:sz w:val="1"/>
                <w:szCs w:val="1"/>
                <w:color w:val="auto"/>
              </w:rPr>
            </w:pPr>
          </w:p>
        </w:tc>
        <w:tc>
          <w:tcPr>
            <w:tcW w:w="1440" w:type="dxa"/>
            <w:vAlign w:val="bottom"/>
            <w:tcBorders>
              <w:right w:val="single" w:sz="8" w:color="auto"/>
            </w:tcBorders>
            <w:gridSpan w:val="11"/>
            <w:shd w:val="clear" w:color="auto" w:fill="000000"/>
          </w:tcPr>
          <w:p>
            <w:pPr>
              <w:spacing w:after="0" w:line="20" w:lineRule="exact"/>
              <w:rPr>
                <w:sz w:val="1"/>
                <w:szCs w:val="1"/>
                <w:color w:val="auto"/>
              </w:rPr>
            </w:pPr>
          </w:p>
        </w:tc>
        <w:tc>
          <w:tcPr>
            <w:tcW w:w="1460" w:type="dxa"/>
            <w:vAlign w:val="bottom"/>
            <w:tcBorders>
              <w:right w:val="single" w:sz="8" w:color="auto"/>
            </w:tcBorders>
            <w:gridSpan w:val="9"/>
            <w:shd w:val="clear" w:color="auto" w:fill="000000"/>
          </w:tcPr>
          <w:p>
            <w:pPr>
              <w:spacing w:after="0" w:line="20" w:lineRule="exact"/>
              <w:rPr>
                <w:sz w:val="1"/>
                <w:szCs w:val="1"/>
                <w:color w:val="auto"/>
              </w:rPr>
            </w:pPr>
          </w:p>
        </w:tc>
        <w:tc>
          <w:tcPr>
            <w:tcW w:w="1960" w:type="dxa"/>
            <w:vAlign w:val="bottom"/>
            <w:tcBorders>
              <w:right w:val="single" w:sz="8" w:color="auto"/>
            </w:tcBorders>
            <w:gridSpan w:val="1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(121)</w:t>
            </w:r>
          </w:p>
        </w:tc>
        <w:tc>
          <w:tcPr>
            <w:tcW w:w="120" w:type="dxa"/>
            <w:vAlign w:val="bottom"/>
          </w:tcPr>
          <w:p>
            <w:pPr>
              <w:spacing w:after="0"/>
              <w:rPr>
                <w:sz w:val="12"/>
                <w:szCs w:val="12"/>
                <w:color w:val="auto"/>
              </w:rPr>
            </w:pPr>
          </w:p>
        </w:tc>
        <w:tc>
          <w:tcPr>
            <w:tcW w:w="3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8"/>
              </w:rPr>
              <w:t>(148)</w:t>
            </w:r>
          </w:p>
        </w:tc>
        <w:tc>
          <w:tcPr>
            <w:tcW w:w="120" w:type="dxa"/>
            <w:vAlign w:val="bottom"/>
          </w:tcPr>
          <w:p>
            <w:pPr>
              <w:spacing w:after="0"/>
              <w:rPr>
                <w:sz w:val="12"/>
                <w:szCs w:val="12"/>
                <w:color w:val="auto"/>
              </w:rPr>
            </w:pPr>
          </w:p>
        </w:tc>
        <w:tc>
          <w:tcPr>
            <w:tcW w:w="4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(126)</w:t>
            </w:r>
          </w:p>
        </w:tc>
        <w:tc>
          <w:tcPr>
            <w:tcW w:w="120" w:type="dxa"/>
            <w:vAlign w:val="bottom"/>
          </w:tcPr>
          <w:p>
            <w:pPr>
              <w:spacing w:after="0"/>
              <w:rPr>
                <w:sz w:val="12"/>
                <w:szCs w:val="12"/>
                <w:color w:val="auto"/>
              </w:rPr>
            </w:pPr>
          </w:p>
        </w:tc>
        <w:tc>
          <w:tcPr>
            <w:tcW w:w="3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8"/>
              </w:rPr>
              <w:t>(161)</w:t>
            </w:r>
          </w:p>
        </w:tc>
        <w:tc>
          <w:tcPr>
            <w:tcW w:w="120" w:type="dxa"/>
            <w:vAlign w:val="bottom"/>
          </w:tcPr>
          <w:p>
            <w:pPr>
              <w:spacing w:after="0"/>
              <w:rPr>
                <w:sz w:val="12"/>
                <w:szCs w:val="12"/>
                <w:color w:val="auto"/>
              </w:rPr>
            </w:pPr>
          </w:p>
        </w:tc>
        <w:tc>
          <w:tcPr>
            <w:tcW w:w="4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3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280" w:type="dxa"/>
            <w:vAlign w:val="bottom"/>
          </w:tcPr>
          <w:p>
            <w:pPr>
              <w:jc w:val="right"/>
              <w:spacing w:after="0" w:line="145" w:lineRule="exact"/>
              <w:rPr>
                <w:sz w:val="20"/>
                <w:szCs w:val="20"/>
                <w:color w:val="auto"/>
              </w:rPr>
            </w:pPr>
            <w:r>
              <w:rPr>
                <w:rFonts w:ascii="Arial" w:cs="Arial" w:eastAsia="Arial" w:hAnsi="Arial"/>
                <w:sz w:val="13"/>
                <w:szCs w:val="13"/>
                <w:color w:val="auto"/>
              </w:rPr>
              <w:t>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4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15</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w w:val="98"/>
              </w:rPr>
              <w:t>(111)</w:t>
            </w:r>
          </w:p>
        </w:tc>
        <w:tc>
          <w:tcPr>
            <w:tcW w:w="60" w:type="dxa"/>
            <w:vAlign w:val="bottom"/>
          </w:tcPr>
          <w:p>
            <w:pPr>
              <w:spacing w:after="0"/>
              <w:rPr>
                <w:sz w:val="12"/>
                <w:szCs w:val="12"/>
                <w:color w:val="auto"/>
              </w:rPr>
            </w:pPr>
          </w:p>
        </w:tc>
        <w:tc>
          <w:tcPr>
            <w:tcW w:w="4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(81)</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5"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45"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150</w:t>
            </w:r>
          </w:p>
        </w:tc>
        <w:tc>
          <w:tcPr>
            <w:tcW w:w="120" w:type="dxa"/>
            <w:vAlign w:val="bottom"/>
          </w:tcPr>
          <w:p>
            <w:pPr>
              <w:spacing w:after="0"/>
              <w:rPr>
                <w:sz w:val="12"/>
                <w:szCs w:val="12"/>
                <w:color w:val="auto"/>
              </w:rPr>
            </w:pPr>
          </w:p>
        </w:tc>
        <w:tc>
          <w:tcPr>
            <w:tcW w:w="280" w:type="dxa"/>
            <w:vAlign w:val="bottom"/>
          </w:tcPr>
          <w:p>
            <w:pPr>
              <w:jc w:val="right"/>
              <w:spacing w:after="0" w:line="145" w:lineRule="exact"/>
              <w:rPr>
                <w:sz w:val="20"/>
                <w:szCs w:val="20"/>
                <w:color w:val="auto"/>
              </w:rPr>
            </w:pPr>
            <w:r>
              <w:rPr>
                <w:rFonts w:ascii="Arial" w:cs="Arial" w:eastAsia="Arial" w:hAnsi="Arial"/>
                <w:sz w:val="13"/>
                <w:szCs w:val="13"/>
                <w:color w:val="auto"/>
              </w:rPr>
              <w:t>119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92"/>
              </w:rPr>
              <w:t>Other income (expense), net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40" w:type="dxa"/>
            <w:vAlign w:val="bottom"/>
          </w:tcPr>
          <w:p>
            <w:pPr>
              <w:spacing w:after="0" w:line="139" w:lineRule="exact"/>
              <w:rPr>
                <w:sz w:val="20"/>
                <w:szCs w:val="20"/>
                <w:color w:val="auto"/>
              </w:rPr>
            </w:pPr>
            <w:r>
              <w:rPr>
                <w:rFonts w:ascii="Arial" w:cs="Arial" w:eastAsia="Arial" w:hAnsi="Arial"/>
                <w:sz w:val="13"/>
                <w:szCs w:val="13"/>
                <w:color w:val="auto"/>
              </w:rPr>
              <w:t>Interest 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3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3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gridSpan w:val="3"/>
          </w:tcPr>
          <w:p>
            <w:pPr>
              <w:spacing w:after="0"/>
              <w:rPr>
                <w:sz w:val="20"/>
                <w:szCs w:val="20"/>
                <w:color w:val="auto"/>
              </w:rPr>
            </w:pPr>
            <w:r>
              <w:rPr>
                <w:rFonts w:ascii="Arial" w:cs="Arial" w:eastAsia="Arial" w:hAnsi="Arial"/>
                <w:sz w:val="13"/>
                <w:szCs w:val="13"/>
                <w:color w:val="auto"/>
              </w:rPr>
              <w:t>Income (loss) before</w:t>
            </w:r>
          </w:p>
        </w:tc>
        <w:tc>
          <w:tcPr>
            <w:tcW w:w="380" w:type="dxa"/>
            <w:vAlign w:val="bottom"/>
            <w:tcBorders>
              <w:top w:val="single" w:sz="8" w:color="auto"/>
            </w:tcBorders>
            <w:gridSpan w:val="2"/>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spacing w:after="0"/>
              <w:rPr>
                <w:sz w:val="11"/>
                <w:szCs w:val="11"/>
                <w:color w:val="auto"/>
              </w:rPr>
            </w:pPr>
          </w:p>
        </w:tc>
        <w:tc>
          <w:tcPr>
            <w:tcW w:w="140" w:type="dxa"/>
            <w:vAlign w:val="bottom"/>
            <w:gridSpan w:val="2"/>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spacing w:after="0"/>
              <w:rPr>
                <w:sz w:val="11"/>
                <w:szCs w:val="11"/>
                <w:color w:val="auto"/>
              </w:rPr>
            </w:pPr>
          </w:p>
        </w:tc>
        <w:tc>
          <w:tcPr>
            <w:tcW w:w="160" w:type="dxa"/>
            <w:vAlign w:val="bottom"/>
            <w:tcBorders>
              <w:right w:val="single" w:sz="8" w:color="CCEEFF"/>
            </w:tcBorders>
            <w:gridSpan w:val="2"/>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spacing w:after="0"/>
              <w:rPr>
                <w:sz w:val="11"/>
                <w:szCs w:val="11"/>
                <w:color w:val="auto"/>
              </w:rPr>
            </w:pPr>
          </w:p>
        </w:tc>
        <w:tc>
          <w:tcPr>
            <w:tcW w:w="180" w:type="dxa"/>
            <w:vAlign w:val="bottom"/>
            <w:tcBorders>
              <w:right w:val="single" w:sz="8" w:color="CCEEFF"/>
            </w:tcBorders>
            <w:gridSpan w:val="2"/>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right w:val="single" w:sz="8" w:color="CCEEFF"/>
            </w:tcBorders>
            <w:gridSpan w:val="7"/>
          </w:tcPr>
          <w:p>
            <w:pPr>
              <w:spacing w:after="0"/>
              <w:rPr>
                <w:sz w:val="20"/>
                <w:szCs w:val="20"/>
                <w:color w:val="auto"/>
              </w:rPr>
            </w:pPr>
            <w:r>
              <w:rPr>
                <w:rFonts w:ascii="Arial" w:cs="Arial" w:eastAsia="Arial" w:hAnsi="Arial"/>
                <w:sz w:val="13"/>
                <w:szCs w:val="13"/>
                <w:color w:val="auto"/>
              </w:rPr>
              <w:t>provision for (benefit from)</w:t>
            </w:r>
          </w:p>
        </w:tc>
        <w:tc>
          <w:tcPr>
            <w:tcW w:w="480" w:type="dxa"/>
            <w:vAlign w:val="bottom"/>
            <w:tcBorders>
              <w:right w:val="single" w:sz="8" w:color="CCEEFF"/>
            </w:tcBorders>
            <w:gridSpan w:val="3"/>
            <w:shd w:val="clear" w:color="auto" w:fill="CCEEFF"/>
          </w:tcPr>
          <w:p>
            <w:pPr>
              <w:spacing w:after="0"/>
              <w:rPr>
                <w:sz w:val="12"/>
                <w:szCs w:val="12"/>
                <w:color w:val="auto"/>
              </w:rPr>
            </w:pPr>
          </w:p>
        </w:tc>
        <w:tc>
          <w:tcPr>
            <w:tcW w:w="520" w:type="dxa"/>
            <w:vAlign w:val="bottom"/>
            <w:tcBorders>
              <w:right w:val="single" w:sz="8" w:color="CCEEFF"/>
            </w:tcBorders>
            <w:gridSpan w:val="3"/>
            <w:shd w:val="clear" w:color="auto" w:fill="CCEEFF"/>
          </w:tcPr>
          <w:p>
            <w:pPr>
              <w:spacing w:after="0"/>
              <w:rPr>
                <w:sz w:val="12"/>
                <w:szCs w:val="12"/>
                <w:color w:val="auto"/>
              </w:rPr>
            </w:pPr>
          </w:p>
        </w:tc>
        <w:tc>
          <w:tcPr>
            <w:tcW w:w="480" w:type="dxa"/>
            <w:vAlign w:val="bottom"/>
            <w:tcBorders>
              <w:right w:val="single" w:sz="8" w:color="CCEEFF"/>
            </w:tcBorders>
            <w:gridSpan w:val="3"/>
            <w:shd w:val="clear" w:color="auto" w:fill="CCEEFF"/>
          </w:tcPr>
          <w:p>
            <w:pPr>
              <w:spacing w:after="0"/>
              <w:rPr>
                <w:sz w:val="12"/>
                <w:szCs w:val="12"/>
                <w:color w:val="auto"/>
              </w:rPr>
            </w:pPr>
          </w:p>
        </w:tc>
        <w:tc>
          <w:tcPr>
            <w:tcW w:w="500" w:type="dxa"/>
            <w:vAlign w:val="bottom"/>
            <w:tcBorders>
              <w:right w:val="single" w:sz="8" w:color="CCEEFF"/>
            </w:tcBorders>
            <w:gridSpan w:val="3"/>
            <w:shd w:val="clear" w:color="auto" w:fill="CCEEFF"/>
          </w:tcPr>
          <w:p>
            <w:pPr>
              <w:spacing w:after="0"/>
              <w:rPr>
                <w:sz w:val="12"/>
                <w:szCs w:val="12"/>
                <w:color w:val="auto"/>
              </w:rPr>
            </w:pPr>
          </w:p>
        </w:tc>
        <w:tc>
          <w:tcPr>
            <w:tcW w:w="1000" w:type="dxa"/>
            <w:vAlign w:val="bottom"/>
            <w:tcBorders>
              <w:right w:val="single" w:sz="8" w:color="CCEEFF"/>
            </w:tcBorders>
            <w:gridSpan w:val="7"/>
            <w:shd w:val="clear" w:color="auto" w:fill="CCEEFF"/>
          </w:tcPr>
          <w:p>
            <w:pPr>
              <w:spacing w:after="0"/>
              <w:rPr>
                <w:sz w:val="12"/>
                <w:szCs w:val="12"/>
                <w:color w:val="auto"/>
              </w:rPr>
            </w:pPr>
          </w:p>
        </w:tc>
        <w:tc>
          <w:tcPr>
            <w:tcW w:w="1440" w:type="dxa"/>
            <w:vAlign w:val="bottom"/>
            <w:tcBorders>
              <w:right w:val="single" w:sz="8" w:color="CCEEFF"/>
            </w:tcBorders>
            <w:gridSpan w:val="11"/>
            <w:shd w:val="clear" w:color="auto" w:fill="CCEEFF"/>
          </w:tcPr>
          <w:p>
            <w:pPr>
              <w:spacing w:after="0"/>
              <w:rPr>
                <w:sz w:val="12"/>
                <w:szCs w:val="12"/>
                <w:color w:val="auto"/>
              </w:rPr>
            </w:pPr>
          </w:p>
        </w:tc>
        <w:tc>
          <w:tcPr>
            <w:tcW w:w="1460" w:type="dxa"/>
            <w:vAlign w:val="bottom"/>
            <w:tcBorders>
              <w:right w:val="single" w:sz="8" w:color="CCEEFF"/>
            </w:tcBorders>
            <w:gridSpan w:val="9"/>
            <w:shd w:val="clear" w:color="auto" w:fill="CCEEFF"/>
          </w:tcPr>
          <w:p>
            <w:pPr>
              <w:spacing w:after="0"/>
              <w:rPr>
                <w:sz w:val="12"/>
                <w:szCs w:val="12"/>
                <w:color w:val="auto"/>
              </w:rPr>
            </w:pPr>
          </w:p>
        </w:tc>
        <w:tc>
          <w:tcPr>
            <w:tcW w:w="1960" w:type="dxa"/>
            <w:vAlign w:val="bottom"/>
            <w:tcBorders>
              <w:right w:val="single" w:sz="8" w:color="CCEEFF"/>
            </w:tcBorders>
            <w:gridSpan w:val="13"/>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income taxes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(113)</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w w:val="98"/>
              </w:rPr>
              <w:t>(141)</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(120)</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w w:val="98"/>
              </w:rPr>
              <w:t>(157)</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(94)</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29</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(99)</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(81)</w:t>
            </w:r>
          </w:p>
        </w:tc>
        <w:tc>
          <w:tcPr>
            <w:tcW w:w="1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164</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340" w:type="dxa"/>
            <w:vAlign w:val="bottom"/>
            <w:gridSpan w:val="61"/>
          </w:tcPr>
          <w:p>
            <w:pPr>
              <w:spacing w:after="0"/>
              <w:rPr>
                <w:sz w:val="20"/>
                <w:szCs w:val="20"/>
                <w:color w:val="auto"/>
              </w:rPr>
            </w:pPr>
            <w:r>
              <w:rPr>
                <w:rFonts w:ascii="Arial" w:cs="Arial" w:eastAsia="Arial" w:hAnsi="Arial"/>
                <w:sz w:val="13"/>
                <w:szCs w:val="13"/>
                <w:color w:val="auto"/>
              </w:rPr>
              <w:t>Provision for (benefit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ind w:left="100"/>
              <w:spacing w:after="0" w:line="148" w:lineRule="exact"/>
              <w:rPr>
                <w:sz w:val="20"/>
                <w:szCs w:val="20"/>
                <w:color w:val="auto"/>
              </w:rPr>
            </w:pPr>
            <w:r>
              <w:rPr>
                <w:rFonts w:ascii="Arial" w:cs="Arial" w:eastAsia="Arial" w:hAnsi="Arial"/>
                <w:sz w:val="13"/>
                <w:szCs w:val="13"/>
                <w:color w:val="auto"/>
              </w:rPr>
              <w:t>income taxes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4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98"/>
              </w:rPr>
              <w:t>(355)</w:t>
            </w: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36</w:t>
            </w:r>
          </w:p>
        </w:tc>
        <w:tc>
          <w:tcPr>
            <w:tcW w:w="12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160" w:type="dxa"/>
            <w:vAlign w:val="bottom"/>
            <w:tcBorders>
              <w:right w:val="single" w:sz="8" w:color="auto"/>
            </w:tcBorders>
            <w:gridSpan w:val="6"/>
          </w:tcPr>
          <w:p>
            <w:pPr>
              <w:spacing w:after="0"/>
              <w:rPr>
                <w:sz w:val="2"/>
                <w:szCs w:val="2"/>
                <w:color w:val="auto"/>
              </w:rPr>
            </w:pPr>
          </w:p>
        </w:tc>
        <w:tc>
          <w:tcPr>
            <w:tcW w:w="480" w:type="dxa"/>
            <w:vAlign w:val="bottom"/>
            <w:tcBorders>
              <w:right w:val="single" w:sz="8" w:color="auto"/>
            </w:tcBorders>
            <w:gridSpan w:val="3"/>
            <w:shd w:val="clear" w:color="auto" w:fill="000000"/>
          </w:tcPr>
          <w:p>
            <w:pPr>
              <w:spacing w:after="0"/>
              <w:rPr>
                <w:sz w:val="2"/>
                <w:szCs w:val="2"/>
                <w:color w:val="auto"/>
              </w:rPr>
            </w:pPr>
          </w:p>
        </w:tc>
        <w:tc>
          <w:tcPr>
            <w:tcW w:w="520" w:type="dxa"/>
            <w:vAlign w:val="bottom"/>
            <w:tcBorders>
              <w:right w:val="single" w:sz="8" w:color="auto"/>
            </w:tcBorders>
            <w:gridSpan w:val="3"/>
            <w:shd w:val="clear" w:color="auto" w:fill="000000"/>
          </w:tcPr>
          <w:p>
            <w:pPr>
              <w:spacing w:after="0"/>
              <w:rPr>
                <w:sz w:val="2"/>
                <w:szCs w:val="2"/>
                <w:color w:val="auto"/>
              </w:rPr>
            </w:pPr>
          </w:p>
        </w:tc>
        <w:tc>
          <w:tcPr>
            <w:tcW w:w="480" w:type="dxa"/>
            <w:vAlign w:val="bottom"/>
            <w:tcBorders>
              <w:right w:val="single" w:sz="8" w:color="auto"/>
            </w:tcBorders>
            <w:gridSpan w:val="3"/>
            <w:shd w:val="clear" w:color="auto" w:fill="000000"/>
          </w:tcPr>
          <w:p>
            <w:pPr>
              <w:spacing w:after="0"/>
              <w:rPr>
                <w:sz w:val="2"/>
                <w:szCs w:val="2"/>
                <w:color w:val="auto"/>
              </w:rPr>
            </w:pPr>
          </w:p>
        </w:tc>
        <w:tc>
          <w:tcPr>
            <w:tcW w:w="500" w:type="dxa"/>
            <w:vAlign w:val="bottom"/>
            <w:tcBorders>
              <w:right w:val="single" w:sz="8" w:color="auto"/>
            </w:tcBorders>
            <w:gridSpan w:val="3"/>
            <w:shd w:val="clear" w:color="auto" w:fill="000000"/>
          </w:tcPr>
          <w:p>
            <w:pPr>
              <w:spacing w:after="0"/>
              <w:rPr>
                <w:sz w:val="2"/>
                <w:szCs w:val="2"/>
                <w:color w:val="auto"/>
              </w:rPr>
            </w:pPr>
          </w:p>
        </w:tc>
        <w:tc>
          <w:tcPr>
            <w:tcW w:w="1000" w:type="dxa"/>
            <w:vAlign w:val="bottom"/>
            <w:tcBorders>
              <w:right w:val="single" w:sz="8" w:color="auto"/>
            </w:tcBorders>
            <w:gridSpan w:val="7"/>
            <w:shd w:val="clear" w:color="auto" w:fill="000000"/>
          </w:tcPr>
          <w:p>
            <w:pPr>
              <w:spacing w:after="0"/>
              <w:rPr>
                <w:sz w:val="2"/>
                <w:szCs w:val="2"/>
                <w:color w:val="auto"/>
              </w:rPr>
            </w:pPr>
          </w:p>
        </w:tc>
        <w:tc>
          <w:tcPr>
            <w:tcW w:w="1440" w:type="dxa"/>
            <w:vAlign w:val="bottom"/>
            <w:tcBorders>
              <w:right w:val="single" w:sz="8" w:color="auto"/>
            </w:tcBorders>
            <w:gridSpan w:val="11"/>
            <w:shd w:val="clear" w:color="auto" w:fill="000000"/>
          </w:tcPr>
          <w:p>
            <w:pPr>
              <w:spacing w:after="0"/>
              <w:rPr>
                <w:sz w:val="2"/>
                <w:szCs w:val="2"/>
                <w:color w:val="auto"/>
              </w:rPr>
            </w:pPr>
          </w:p>
        </w:tc>
        <w:tc>
          <w:tcPr>
            <w:tcW w:w="1460" w:type="dxa"/>
            <w:vAlign w:val="bottom"/>
            <w:tcBorders>
              <w:right w:val="single" w:sz="8" w:color="auto"/>
            </w:tcBorders>
            <w:gridSpan w:val="9"/>
            <w:shd w:val="clear" w:color="auto" w:fill="000000"/>
          </w:tcPr>
          <w:p>
            <w:pPr>
              <w:spacing w:after="0"/>
              <w:rPr>
                <w:sz w:val="2"/>
                <w:szCs w:val="2"/>
                <w:color w:val="auto"/>
              </w:rPr>
            </w:pPr>
          </w:p>
        </w:tc>
        <w:tc>
          <w:tcPr>
            <w:tcW w:w="1960" w:type="dxa"/>
            <w:vAlign w:val="bottom"/>
            <w:tcBorders>
              <w:right w:val="single" w:sz="8" w:color="auto"/>
            </w:tcBorders>
            <w:gridSpan w:val="13"/>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5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Net income (loss)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(113)</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w w:val="98"/>
              </w:rPr>
              <w:t>(141)</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(120)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w w:val="98"/>
              </w:rPr>
              <w:t>(157)</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(94)</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(3)</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(17)</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w:t>
            </w: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(18)</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28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(99)</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(82)</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8</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128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hanging="403"/>
        <w:spacing w:after="0"/>
        <w:tabs>
          <w:tab w:leader="none" w:pos="86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Revenue by type is disaggregated as follows: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w w:val="94"/>
              </w:rPr>
              <w:t>Three Months Ended</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1540" w:type="dxa"/>
            <w:vAlign w:val="bottom"/>
          </w:tcPr>
          <w:p>
            <w:pPr>
              <w:spacing w:after="0"/>
              <w:rPr>
                <w:sz w:val="8"/>
                <w:szCs w:val="8"/>
                <w:color w:val="auto"/>
              </w:rPr>
            </w:pPr>
          </w:p>
        </w:tc>
        <w:tc>
          <w:tcPr>
            <w:tcW w:w="36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91"/>
              </w:rPr>
              <w:t>Mar. 31,</w:t>
            </w:r>
          </w:p>
        </w:tc>
        <w:tc>
          <w:tcPr>
            <w:tcW w:w="120" w:type="dxa"/>
            <w:vAlign w:val="bottom"/>
          </w:tcPr>
          <w:p>
            <w:pPr>
              <w:spacing w:after="0"/>
              <w:rPr>
                <w:sz w:val="8"/>
                <w:szCs w:val="8"/>
                <w:color w:val="auto"/>
              </w:rPr>
            </w:pPr>
          </w:p>
        </w:tc>
        <w:tc>
          <w:tcPr>
            <w:tcW w:w="400" w:type="dxa"/>
            <w:vAlign w:val="bottom"/>
            <w:gridSpan w:val="3"/>
          </w:tcPr>
          <w:p>
            <w:pPr>
              <w:jc w:val="right"/>
              <w:ind w:right="60"/>
              <w:spacing w:after="0" w:line="95" w:lineRule="exact"/>
              <w:rPr>
                <w:sz w:val="20"/>
                <w:szCs w:val="20"/>
                <w:color w:val="auto"/>
              </w:rPr>
            </w:pPr>
            <w:r>
              <w:rPr>
                <w:rFonts w:ascii="Arial" w:cs="Arial" w:eastAsia="Arial" w:hAnsi="Arial"/>
                <w:sz w:val="10"/>
                <w:szCs w:val="10"/>
                <w:b w:val="1"/>
                <w:bCs w:val="1"/>
                <w:color w:val="auto"/>
                <w:w w:val="85"/>
              </w:rPr>
              <w:t>Jun. 30,</w:t>
            </w:r>
          </w:p>
        </w:tc>
        <w:tc>
          <w:tcPr>
            <w:tcW w:w="60" w:type="dxa"/>
            <w:vAlign w:val="bottom"/>
          </w:tcPr>
          <w:p>
            <w:pPr>
              <w:spacing w:after="0"/>
              <w:rPr>
                <w:sz w:val="8"/>
                <w:szCs w:val="8"/>
                <w:color w:val="auto"/>
              </w:rPr>
            </w:pPr>
          </w:p>
        </w:tc>
        <w:tc>
          <w:tcPr>
            <w:tcW w:w="3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87"/>
              </w:rPr>
              <w:t>Sept. 30,</w:t>
            </w:r>
          </w:p>
        </w:tc>
        <w:tc>
          <w:tcPr>
            <w:tcW w:w="18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b w:val="1"/>
                <w:bCs w:val="1"/>
                <w:color w:val="auto"/>
                <w:w w:val="76"/>
              </w:rPr>
              <w:t>Dec. 31,</w:t>
            </w:r>
          </w:p>
        </w:tc>
        <w:tc>
          <w:tcPr>
            <w:tcW w:w="100" w:type="dxa"/>
            <w:vAlign w:val="bottom"/>
          </w:tcPr>
          <w:p>
            <w:pPr>
              <w:spacing w:after="0"/>
              <w:rPr>
                <w:sz w:val="8"/>
                <w:szCs w:val="8"/>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Mar. 31,</w:t>
            </w:r>
          </w:p>
        </w:tc>
        <w:tc>
          <w:tcPr>
            <w:tcW w:w="3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91"/>
              </w:rPr>
              <w:t>Jun. 30,</w:t>
            </w:r>
          </w:p>
        </w:tc>
        <w:tc>
          <w:tcPr>
            <w:tcW w:w="120" w:type="dxa"/>
            <w:vAlign w:val="bottom"/>
          </w:tcPr>
          <w:p>
            <w:pPr>
              <w:spacing w:after="0"/>
              <w:rPr>
                <w:sz w:val="8"/>
                <w:szCs w:val="8"/>
                <w:color w:val="auto"/>
              </w:rPr>
            </w:pPr>
          </w:p>
        </w:tc>
        <w:tc>
          <w:tcPr>
            <w:tcW w:w="3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w w:val="82"/>
              </w:rPr>
              <w:t>Sept. 30,</w:t>
            </w:r>
          </w:p>
        </w:tc>
        <w:tc>
          <w:tcPr>
            <w:tcW w:w="140" w:type="dxa"/>
            <w:vAlign w:val="bottom"/>
          </w:tcPr>
          <w:p>
            <w:pPr>
              <w:spacing w:after="0"/>
              <w:rPr>
                <w:sz w:val="8"/>
                <w:szCs w:val="8"/>
                <w:color w:val="auto"/>
              </w:rPr>
            </w:pPr>
          </w:p>
        </w:tc>
        <w:tc>
          <w:tcPr>
            <w:tcW w:w="4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Dec. 31,</w:t>
            </w:r>
          </w:p>
        </w:tc>
        <w:tc>
          <w:tcPr>
            <w:tcW w:w="60" w:type="dxa"/>
            <w:vAlign w:val="bottom"/>
          </w:tcPr>
          <w:p>
            <w:pPr>
              <w:spacing w:after="0"/>
              <w:rPr>
                <w:sz w:val="8"/>
                <w:szCs w:val="8"/>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Mar. 31,</w:t>
            </w:r>
          </w:p>
        </w:tc>
        <w:tc>
          <w:tcPr>
            <w:tcW w:w="48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Jun. 30,</w:t>
            </w:r>
          </w:p>
        </w:tc>
        <w:tc>
          <w:tcPr>
            <w:tcW w:w="40" w:type="dxa"/>
            <w:vAlign w:val="bottom"/>
          </w:tcPr>
          <w:p>
            <w:pPr>
              <w:spacing w:after="0"/>
              <w:rPr>
                <w:sz w:val="8"/>
                <w:szCs w:val="8"/>
                <w:color w:val="auto"/>
              </w:rPr>
            </w:pPr>
          </w:p>
        </w:tc>
        <w:tc>
          <w:tcPr>
            <w:tcW w:w="3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87"/>
              </w:rPr>
              <w:t>Sept. 30,</w:t>
            </w:r>
          </w:p>
        </w:tc>
        <w:tc>
          <w:tcPr>
            <w:tcW w:w="120" w:type="dxa"/>
            <w:vAlign w:val="bottom"/>
          </w:tcPr>
          <w:p>
            <w:pPr>
              <w:spacing w:after="0"/>
              <w:rPr>
                <w:sz w:val="8"/>
                <w:szCs w:val="8"/>
                <w:color w:val="auto"/>
              </w:rPr>
            </w:pPr>
          </w:p>
        </w:tc>
        <w:tc>
          <w:tcPr>
            <w:tcW w:w="50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Dec. 31,</w:t>
            </w:r>
          </w:p>
        </w:tc>
        <w:tc>
          <w:tcPr>
            <w:tcW w:w="52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Mar. 31,</w:t>
            </w:r>
          </w:p>
        </w:tc>
        <w:tc>
          <w:tcPr>
            <w:tcW w:w="3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w w:val="91"/>
              </w:rPr>
              <w:t>Jun. 30,</w:t>
            </w:r>
          </w:p>
        </w:tc>
        <w:tc>
          <w:tcPr>
            <w:tcW w:w="120" w:type="dxa"/>
            <w:vAlign w:val="bottom"/>
          </w:tcPr>
          <w:p>
            <w:pPr>
              <w:spacing w:after="0"/>
              <w:rPr>
                <w:sz w:val="8"/>
                <w:szCs w:val="8"/>
                <w:color w:val="auto"/>
              </w:rPr>
            </w:pPr>
          </w:p>
        </w:tc>
        <w:tc>
          <w:tcPr>
            <w:tcW w:w="3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87"/>
              </w:rPr>
              <w:t>Sept. 30,</w:t>
            </w:r>
          </w:p>
        </w:tc>
        <w:tc>
          <w:tcPr>
            <w:tcW w:w="120" w:type="dxa"/>
            <w:vAlign w:val="bottom"/>
          </w:tcPr>
          <w:p>
            <w:pPr>
              <w:spacing w:after="0"/>
              <w:rPr>
                <w:sz w:val="8"/>
                <w:szCs w:val="8"/>
                <w:color w:val="auto"/>
              </w:rPr>
            </w:pPr>
          </w:p>
        </w:tc>
        <w:tc>
          <w:tcPr>
            <w:tcW w:w="480" w:type="dxa"/>
            <w:vAlign w:val="bottom"/>
            <w:gridSpan w:val="3"/>
          </w:tcPr>
          <w:p>
            <w:pPr>
              <w:jc w:val="right"/>
              <w:ind w:right="140"/>
              <w:spacing w:after="0" w:line="95" w:lineRule="exact"/>
              <w:rPr>
                <w:sz w:val="20"/>
                <w:szCs w:val="20"/>
                <w:color w:val="auto"/>
              </w:rPr>
            </w:pPr>
            <w:r>
              <w:rPr>
                <w:rFonts w:ascii="Arial" w:cs="Arial" w:eastAsia="Arial" w:hAnsi="Arial"/>
                <w:sz w:val="10"/>
                <w:szCs w:val="10"/>
                <w:b w:val="1"/>
                <w:bCs w:val="1"/>
                <w:color w:val="auto"/>
                <w:w w:val="84"/>
              </w:rPr>
              <w:t>Dec. 31,</w:t>
            </w:r>
          </w:p>
        </w:tc>
        <w:tc>
          <w:tcPr>
            <w:tcW w:w="36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91"/>
              </w:rPr>
              <w:t>Mar. 31,</w:t>
            </w:r>
          </w:p>
        </w:tc>
        <w:tc>
          <w:tcPr>
            <w:tcW w:w="20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b w:val="1"/>
                <w:bCs w:val="1"/>
                <w:color w:val="auto"/>
                <w:w w:val="77"/>
              </w:rPr>
              <w:t>Jun. 30,</w:t>
            </w:r>
          </w:p>
        </w:tc>
        <w:tc>
          <w:tcPr>
            <w:tcW w:w="40" w:type="dxa"/>
            <w:vAlign w:val="bottom"/>
          </w:tcPr>
          <w:p>
            <w:pPr>
              <w:spacing w:after="0"/>
              <w:rPr>
                <w:sz w:val="8"/>
                <w:szCs w:val="8"/>
                <w:color w:val="auto"/>
              </w:rPr>
            </w:pPr>
          </w:p>
        </w:tc>
      </w:tr>
      <w:tr>
        <w:trPr>
          <w:trHeight w:val="126"/>
        </w:trPr>
        <w:tc>
          <w:tcPr>
            <w:tcW w:w="1540" w:type="dxa"/>
            <w:vAlign w:val="bottom"/>
          </w:tcPr>
          <w:p>
            <w:pPr>
              <w:spacing w:after="0"/>
              <w:rPr>
                <w:sz w:val="10"/>
                <w:szCs w:val="10"/>
                <w:color w:val="auto"/>
              </w:rPr>
            </w:pPr>
          </w:p>
        </w:tc>
        <w:tc>
          <w:tcPr>
            <w:tcW w:w="5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9"/>
              </w:rPr>
              <w:t>2019</w:t>
            </w:r>
          </w:p>
        </w:tc>
        <w:tc>
          <w:tcPr>
            <w:tcW w:w="48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0"/>
                <w:szCs w:val="10"/>
                <w:b w:val="1"/>
                <w:bCs w:val="1"/>
                <w:color w:val="auto"/>
                <w:w w:val="89"/>
              </w:rPr>
              <w:t>2019</w:t>
            </w:r>
          </w:p>
        </w:tc>
        <w:tc>
          <w:tcPr>
            <w:tcW w:w="4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0"/>
              </w:rPr>
              <w:t>2019</w:t>
            </w:r>
          </w:p>
        </w:tc>
        <w:tc>
          <w:tcPr>
            <w:tcW w:w="5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0"/>
                <w:szCs w:val="10"/>
                <w:b w:val="1"/>
                <w:bCs w:val="1"/>
                <w:color w:val="auto"/>
                <w:w w:val="89"/>
              </w:rPr>
              <w:t>2020</w:t>
            </w:r>
          </w:p>
        </w:tc>
        <w:tc>
          <w:tcPr>
            <w:tcW w:w="52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0"/>
              </w:rPr>
              <w:t>2020</w:t>
            </w:r>
          </w:p>
        </w:tc>
        <w:tc>
          <w:tcPr>
            <w:tcW w:w="5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0"/>
                <w:szCs w:val="10"/>
                <w:b w:val="1"/>
                <w:bCs w:val="1"/>
                <w:color w:val="auto"/>
                <w:w w:val="89"/>
              </w:rPr>
              <w:t>2021</w:t>
            </w:r>
          </w:p>
        </w:tc>
        <w:tc>
          <w:tcPr>
            <w:tcW w:w="5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0"/>
                <w:szCs w:val="10"/>
                <w:b w:val="1"/>
                <w:bCs w:val="1"/>
                <w:color w:val="auto"/>
                <w:w w:val="80"/>
              </w:rPr>
              <w:t>2021</w:t>
            </w:r>
          </w:p>
        </w:tc>
        <w:tc>
          <w:tcPr>
            <w:tcW w:w="5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0"/>
                <w:szCs w:val="10"/>
                <w:b w:val="1"/>
                <w:bCs w:val="1"/>
                <w:color w:val="auto"/>
                <w:w w:val="89"/>
              </w:rPr>
              <w:t>2021</w:t>
            </w:r>
          </w:p>
        </w:tc>
        <w:tc>
          <w:tcPr>
            <w:tcW w:w="52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0"/>
                <w:szCs w:val="10"/>
                <w:b w:val="1"/>
                <w:bCs w:val="1"/>
                <w:color w:val="auto"/>
                <w:w w:val="80"/>
              </w:rPr>
              <w:t>2022</w:t>
            </w:r>
          </w:p>
        </w:tc>
        <w:tc>
          <w:tcPr>
            <w:tcW w:w="50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0"/>
                <w:szCs w:val="10"/>
                <w:b w:val="1"/>
                <w:bCs w:val="1"/>
                <w:color w:val="auto"/>
                <w:w w:val="89"/>
              </w:rPr>
              <w:t>2022</w:t>
            </w:r>
          </w:p>
        </w:tc>
        <w:tc>
          <w:tcPr>
            <w:tcW w:w="4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0"/>
                <w:szCs w:val="10"/>
                <w:b w:val="1"/>
                <w:bCs w:val="1"/>
                <w:color w:val="auto"/>
                <w:w w:val="80"/>
              </w:rPr>
              <w:t>2022</w:t>
            </w:r>
          </w:p>
        </w:tc>
        <w:tc>
          <w:tcPr>
            <w:tcW w:w="5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0"/>
                <w:szCs w:val="10"/>
                <w:b w:val="1"/>
                <w:bCs w:val="1"/>
                <w:color w:val="auto"/>
                <w:w w:val="89"/>
              </w:rPr>
              <w:t>2023</w:t>
            </w: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w w:val="80"/>
              </w:rPr>
              <w:t>2023</w:t>
            </w:r>
          </w:p>
        </w:tc>
        <w:tc>
          <w:tcPr>
            <w:tcW w:w="40" w:type="dxa"/>
            <w:vAlign w:val="bottom"/>
          </w:tcPr>
          <w:p>
            <w:pPr>
              <w:spacing w:after="0"/>
              <w:rPr>
                <w:sz w:val="10"/>
                <w:szCs w:val="10"/>
                <w:color w:val="auto"/>
              </w:rPr>
            </w:pPr>
          </w:p>
        </w:tc>
      </w:tr>
      <w:tr>
        <w:trPr>
          <w:trHeight w:val="107"/>
        </w:trPr>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5"/>
          </w:tcPr>
          <w:p>
            <w:pPr>
              <w:ind w:left="140"/>
              <w:spacing w:after="0" w:line="107" w:lineRule="exact"/>
              <w:rPr>
                <w:sz w:val="20"/>
                <w:szCs w:val="20"/>
                <w:color w:val="auto"/>
              </w:rPr>
            </w:pPr>
            <w:r>
              <w:rPr>
                <w:rFonts w:ascii="Arial" w:cs="Arial" w:eastAsia="Arial" w:hAnsi="Arial"/>
                <w:sz w:val="10"/>
                <w:szCs w:val="10"/>
                <w:b w:val="1"/>
                <w:bCs w:val="1"/>
                <w:color w:val="auto"/>
              </w:rPr>
              <w:t>(in millions)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9"/>
        </w:trPr>
        <w:tc>
          <w:tcPr>
            <w:tcW w:w="15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Transaction</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33</w:t>
            </w:r>
          </w:p>
        </w:tc>
        <w:tc>
          <w:tcPr>
            <w:tcW w:w="1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w:t>
            </w:r>
          </w:p>
        </w:tc>
        <w:tc>
          <w:tcPr>
            <w:tcW w:w="18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45</w:t>
            </w: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414</w:t>
            </w:r>
          </w:p>
        </w:tc>
        <w:tc>
          <w:tcPr>
            <w:tcW w:w="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318</w:t>
            </w:r>
          </w:p>
        </w:tc>
        <w:tc>
          <w:tcPr>
            <w:tcW w:w="2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332</w:t>
            </w:r>
          </w:p>
        </w:tc>
        <w:tc>
          <w:tcPr>
            <w:tcW w:w="14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319</w:t>
            </w: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333</w:t>
            </w:r>
          </w:p>
        </w:tc>
        <w:tc>
          <w:tcPr>
            <w:tcW w:w="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309</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450</w:t>
            </w:r>
          </w:p>
        </w:tc>
        <w:tc>
          <w:tcPr>
            <w:tcW w:w="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482</w:t>
            </w:r>
          </w:p>
        </w:tc>
        <w:tc>
          <w:tcPr>
            <w:tcW w:w="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530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559</w:t>
            </w:r>
          </w:p>
        </w:tc>
        <w:tc>
          <w:tcPr>
            <w:tcW w:w="20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510</w:t>
            </w:r>
          </w:p>
        </w:tc>
        <w:tc>
          <w:tcPr>
            <w:tcW w:w="40" w:type="dxa"/>
            <w:vAlign w:val="bottom"/>
            <w:shd w:val="clear" w:color="auto" w:fill="CCEEFF"/>
          </w:tcPr>
          <w:p>
            <w:pPr>
              <w:spacing w:after="0"/>
              <w:rPr>
                <w:sz w:val="12"/>
                <w:szCs w:val="12"/>
                <w:color w:val="auto"/>
              </w:rPr>
            </w:pPr>
          </w:p>
        </w:tc>
      </w:tr>
      <w:tr>
        <w:trPr>
          <w:trHeight w:val="139"/>
        </w:trPr>
        <w:tc>
          <w:tcPr>
            <w:tcW w:w="1540" w:type="dxa"/>
            <w:vAlign w:val="bottom"/>
          </w:tcPr>
          <w:p>
            <w:pPr>
              <w:spacing w:after="0" w:line="139" w:lineRule="exact"/>
              <w:rPr>
                <w:sz w:val="20"/>
                <w:szCs w:val="20"/>
                <w:color w:val="auto"/>
              </w:rPr>
            </w:pPr>
            <w:r>
              <w:rPr>
                <w:rFonts w:ascii="Arial" w:cs="Arial" w:eastAsia="Arial" w:hAnsi="Arial"/>
                <w:sz w:val="13"/>
                <w:szCs w:val="13"/>
                <w:color w:val="auto"/>
              </w:rPr>
              <w:t>Advertising and other</w:t>
            </w:r>
          </w:p>
        </w:tc>
        <w:tc>
          <w:tcPr>
            <w:tcW w:w="8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121</w:t>
            </w: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168</w:t>
            </w: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156</w:t>
            </w: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227</w:t>
            </w:r>
          </w:p>
        </w:tc>
        <w:tc>
          <w:tcPr>
            <w:tcW w:w="6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200</w:t>
            </w:r>
          </w:p>
        </w:tc>
        <w:tc>
          <w:tcPr>
            <w:tcW w:w="20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206</w:t>
            </w:r>
          </w:p>
        </w:tc>
        <w:tc>
          <w:tcPr>
            <w:tcW w:w="40" w:type="dxa"/>
            <w:vAlign w:val="bottom"/>
          </w:tcPr>
          <w:p>
            <w:pPr>
              <w:spacing w:after="0"/>
              <w:rPr>
                <w:sz w:val="12"/>
                <w:szCs w:val="12"/>
                <w:color w:val="auto"/>
              </w:rPr>
            </w:pPr>
          </w:p>
        </w:tc>
      </w:tr>
      <w:tr>
        <w:trPr>
          <w:trHeight w:val="25"/>
        </w:trPr>
        <w:tc>
          <w:tcPr>
            <w:tcW w:w="3040" w:type="dxa"/>
            <w:vAlign w:val="bottom"/>
            <w:tcBorders>
              <w:right w:val="single" w:sz="8" w:color="auto"/>
            </w:tcBorders>
            <w:gridSpan w:val="11"/>
          </w:tcPr>
          <w:p>
            <w:pPr>
              <w:spacing w:after="0"/>
              <w:rPr>
                <w:sz w:val="2"/>
                <w:szCs w:val="2"/>
                <w:color w:val="auto"/>
              </w:rPr>
            </w:pPr>
          </w:p>
        </w:tc>
        <w:tc>
          <w:tcPr>
            <w:tcW w:w="6980" w:type="dxa"/>
            <w:vAlign w:val="bottom"/>
            <w:tcBorders>
              <w:right w:val="single" w:sz="8" w:color="auto"/>
            </w:tcBorders>
            <w:gridSpan w:val="43"/>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r>
      <w:tr>
        <w:trPr>
          <w:trHeight w:val="139"/>
        </w:trPr>
        <w:tc>
          <w:tcPr>
            <w:tcW w:w="154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46</w:t>
            </w:r>
          </w:p>
        </w:tc>
        <w:tc>
          <w:tcPr>
            <w:tcW w:w="1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59</w:t>
            </w:r>
          </w:p>
        </w:tc>
        <w:tc>
          <w:tcPr>
            <w:tcW w:w="18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68</w:t>
            </w: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476</w:t>
            </w:r>
          </w:p>
        </w:tc>
        <w:tc>
          <w:tcPr>
            <w:tcW w:w="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397</w:t>
            </w:r>
          </w:p>
        </w:tc>
        <w:tc>
          <w:tcPr>
            <w:tcW w:w="2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457</w:t>
            </w:r>
          </w:p>
        </w:tc>
        <w:tc>
          <w:tcPr>
            <w:tcW w:w="14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473</w:t>
            </w:r>
          </w:p>
        </w:tc>
        <w:tc>
          <w:tcPr>
            <w:tcW w:w="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505</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621</w:t>
            </w:r>
          </w:p>
        </w:tc>
        <w:tc>
          <w:tcPr>
            <w:tcW w:w="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668</w:t>
            </w:r>
          </w:p>
        </w:tc>
        <w:tc>
          <w:tcPr>
            <w:tcW w:w="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757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759</w:t>
            </w:r>
          </w:p>
        </w:tc>
        <w:tc>
          <w:tcPr>
            <w:tcW w:w="20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716</w:t>
            </w:r>
          </w:p>
        </w:tc>
        <w:tc>
          <w:tcPr>
            <w:tcW w:w="40" w:type="dxa"/>
            <w:vAlign w:val="bottom"/>
            <w:shd w:val="clear" w:color="auto" w:fill="CCEEFF"/>
          </w:tcPr>
          <w:p>
            <w:pPr>
              <w:spacing w:after="0"/>
              <w:rPr>
                <w:sz w:val="12"/>
                <w:szCs w:val="12"/>
                <w:color w:val="auto"/>
              </w:rPr>
            </w:pPr>
          </w:p>
        </w:tc>
      </w:tr>
      <w:tr>
        <w:trPr>
          <w:trHeight w:val="20"/>
        </w:trPr>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00"/>
          </w:cols>
          <w:pgMar w:left="320" w:top="440" w:right="77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29" w:lineRule="exact"/>
        <w:rPr>
          <w:sz w:val="20"/>
          <w:szCs w:val="20"/>
          <w:color w:val="auto"/>
        </w:rPr>
      </w:pPr>
    </w:p>
    <w:p>
      <w:pPr>
        <w:ind w:left="860" w:hanging="403"/>
        <w:spacing w:after="0"/>
        <w:tabs>
          <w:tab w:leader="none" w:pos="8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Amounts include depreciation and amortization expense as follows: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7"/>
              </w:rPr>
              <w:t>Three Months Ended</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5"/>
        </w:trPr>
        <w:tc>
          <w:tcPr>
            <w:tcW w:w="188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5"/>
              </w:rPr>
              <w:t>Jun. 30,</w:t>
            </w:r>
          </w:p>
        </w:tc>
        <w:tc>
          <w:tcPr>
            <w:tcW w:w="120" w:type="dxa"/>
            <w:vAlign w:val="bottom"/>
          </w:tcPr>
          <w:p>
            <w:pPr>
              <w:spacing w:after="0"/>
              <w:rPr>
                <w:sz w:val="8"/>
                <w:szCs w:val="8"/>
                <w:color w:val="auto"/>
              </w:rPr>
            </w:pP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6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4"/>
              </w:rPr>
              <w:t>Dec. 31,</w:t>
            </w:r>
          </w:p>
        </w:tc>
        <w:tc>
          <w:tcPr>
            <w:tcW w:w="12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1"/>
              </w:rPr>
              <w:t>Mar. 31,</w:t>
            </w:r>
          </w:p>
        </w:tc>
        <w:tc>
          <w:tcPr>
            <w:tcW w:w="120" w:type="dxa"/>
            <w:vAlign w:val="bottom"/>
          </w:tcPr>
          <w:p>
            <w:pPr>
              <w:spacing w:after="0"/>
              <w:rPr>
                <w:sz w:val="8"/>
                <w:szCs w:val="8"/>
                <w:color w:val="auto"/>
              </w:rPr>
            </w:pP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3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w w:val="82"/>
              </w:rPr>
              <w:t>Sept. 30,</w:t>
            </w:r>
          </w:p>
        </w:tc>
        <w:tc>
          <w:tcPr>
            <w:tcW w:w="120" w:type="dxa"/>
            <w:vAlign w:val="bottom"/>
          </w:tcPr>
          <w:p>
            <w:pPr>
              <w:spacing w:after="0"/>
              <w:rPr>
                <w:sz w:val="8"/>
                <w:szCs w:val="8"/>
                <w:color w:val="auto"/>
              </w:rPr>
            </w:pPr>
          </w:p>
        </w:tc>
        <w:tc>
          <w:tcPr>
            <w:tcW w:w="3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w w:val="95"/>
              </w:rPr>
              <w:t>Dec. 31,</w:t>
            </w:r>
          </w:p>
        </w:tc>
        <w:tc>
          <w:tcPr>
            <w:tcW w:w="8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9"/>
              </w:rPr>
              <w:t>Dec. 31,</w:t>
            </w:r>
          </w:p>
        </w:tc>
        <w:tc>
          <w:tcPr>
            <w:tcW w:w="10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6"/>
              </w:rPr>
              <w:t>Mar. 31,</w:t>
            </w:r>
          </w:p>
        </w:tc>
        <w:tc>
          <w:tcPr>
            <w:tcW w:w="100" w:type="dxa"/>
            <w:vAlign w:val="bottom"/>
          </w:tcPr>
          <w:p>
            <w:pPr>
              <w:spacing w:after="0"/>
              <w:rPr>
                <w:sz w:val="8"/>
                <w:szCs w:val="8"/>
                <w:color w:val="auto"/>
              </w:rPr>
            </w:pPr>
          </w:p>
        </w:tc>
        <w:tc>
          <w:tcPr>
            <w:tcW w:w="400" w:type="dxa"/>
            <w:vAlign w:val="bottom"/>
            <w:gridSpan w:val="3"/>
          </w:tcPr>
          <w:p>
            <w:pPr>
              <w:jc w:val="right"/>
              <w:ind w:right="60"/>
              <w:spacing w:after="0" w:line="95" w:lineRule="exact"/>
              <w:rPr>
                <w:sz w:val="20"/>
                <w:szCs w:val="20"/>
                <w:color w:val="auto"/>
              </w:rPr>
            </w:pPr>
            <w:r>
              <w:rPr>
                <w:rFonts w:ascii="Arial" w:cs="Arial" w:eastAsia="Arial" w:hAnsi="Arial"/>
                <w:sz w:val="10"/>
                <w:szCs w:val="10"/>
                <w:b w:val="1"/>
                <w:bCs w:val="1"/>
                <w:color w:val="auto"/>
                <w:w w:val="85"/>
              </w:rPr>
              <w:t>Jun. 30,</w:t>
            </w:r>
          </w:p>
        </w:tc>
        <w:tc>
          <w:tcPr>
            <w:tcW w:w="60" w:type="dxa"/>
            <w:vAlign w:val="bottom"/>
          </w:tcPr>
          <w:p>
            <w:pPr>
              <w:spacing w:after="0"/>
              <w:rPr>
                <w:sz w:val="8"/>
                <w:szCs w:val="8"/>
                <w:color w:val="auto"/>
              </w:rPr>
            </w:pPr>
          </w:p>
        </w:tc>
        <w:tc>
          <w:tcPr>
            <w:tcW w:w="3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87"/>
              </w:rPr>
              <w:t>Sept. 30,</w:t>
            </w:r>
          </w:p>
        </w:tc>
        <w:tc>
          <w:tcPr>
            <w:tcW w:w="12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5"/>
              </w:rPr>
              <w:t>Jun. 30,</w:t>
            </w:r>
          </w:p>
        </w:tc>
        <w:tc>
          <w:tcPr>
            <w:tcW w:w="60" w:type="dxa"/>
            <w:vAlign w:val="bottom"/>
          </w:tcPr>
          <w:p>
            <w:pPr>
              <w:spacing w:after="0"/>
              <w:rPr>
                <w:sz w:val="8"/>
                <w:szCs w:val="8"/>
                <w:color w:val="auto"/>
              </w:rPr>
            </w:pPr>
          </w:p>
        </w:tc>
      </w:tr>
      <w:tr>
        <w:trPr>
          <w:trHeight w:val="126"/>
        </w:trPr>
        <w:tc>
          <w:tcPr>
            <w:tcW w:w="1880" w:type="dxa"/>
            <w:vAlign w:val="bottom"/>
          </w:tcPr>
          <w:p>
            <w:pPr>
              <w:spacing w:after="0"/>
              <w:rPr>
                <w:sz w:val="10"/>
                <w:szCs w:val="10"/>
                <w:color w:val="auto"/>
              </w:rPr>
            </w:pPr>
          </w:p>
        </w:tc>
        <w:tc>
          <w:tcPr>
            <w:tcW w:w="5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0"/>
              </w:rPr>
              <w:t>2019</w:t>
            </w:r>
          </w:p>
        </w:tc>
        <w:tc>
          <w:tcPr>
            <w:tcW w:w="4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9"/>
              </w:rPr>
              <w:t>2019</w:t>
            </w:r>
          </w:p>
        </w:tc>
        <w:tc>
          <w:tcPr>
            <w:tcW w:w="4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0"/>
              </w:rPr>
              <w:t>2019</w:t>
            </w:r>
          </w:p>
        </w:tc>
        <w:tc>
          <w:tcPr>
            <w:tcW w:w="4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9"/>
              </w:rPr>
              <w:t>2020</w:t>
            </w:r>
          </w:p>
        </w:tc>
        <w:tc>
          <w:tcPr>
            <w:tcW w:w="46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0"/>
                <w:szCs w:val="10"/>
                <w:b w:val="1"/>
                <w:bCs w:val="1"/>
                <w:color w:val="auto"/>
                <w:w w:val="80"/>
              </w:rPr>
              <w:t>2020</w:t>
            </w:r>
          </w:p>
        </w:tc>
        <w:tc>
          <w:tcPr>
            <w:tcW w:w="4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9"/>
              </w:rPr>
              <w:t>2020</w:t>
            </w:r>
          </w:p>
        </w:tc>
        <w:tc>
          <w:tcPr>
            <w:tcW w:w="4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9"/>
              </w:rPr>
              <w:t>2020</w:t>
            </w:r>
          </w:p>
        </w:tc>
        <w:tc>
          <w:tcPr>
            <w:tcW w:w="4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0"/>
                <w:szCs w:val="10"/>
                <w:b w:val="1"/>
                <w:bCs w:val="1"/>
                <w:color w:val="auto"/>
                <w:w w:val="89"/>
              </w:rPr>
              <w:t>2021</w:t>
            </w:r>
          </w:p>
        </w:tc>
        <w:tc>
          <w:tcPr>
            <w:tcW w:w="48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0"/>
              </w:rPr>
              <w:t>2021</w:t>
            </w:r>
          </w:p>
        </w:tc>
        <w:tc>
          <w:tcPr>
            <w:tcW w:w="4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0"/>
                <w:szCs w:val="10"/>
                <w:b w:val="1"/>
                <w:bCs w:val="1"/>
                <w:color w:val="auto"/>
                <w:w w:val="80"/>
              </w:rPr>
              <w:t>2022</w:t>
            </w:r>
          </w:p>
        </w:tc>
        <w:tc>
          <w:tcPr>
            <w:tcW w:w="4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0"/>
              </w:rPr>
              <w:t>2022</w:t>
            </w:r>
          </w:p>
        </w:tc>
        <w:tc>
          <w:tcPr>
            <w:tcW w:w="4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9"/>
              </w:rPr>
              <w:t>2022</w:t>
            </w:r>
          </w:p>
        </w:tc>
        <w:tc>
          <w:tcPr>
            <w:tcW w:w="4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0"/>
                <w:szCs w:val="10"/>
                <w:b w:val="1"/>
                <w:bCs w:val="1"/>
                <w:color w:val="auto"/>
                <w:w w:val="80"/>
              </w:rPr>
              <w:t>2022</w:t>
            </w:r>
          </w:p>
        </w:tc>
        <w:tc>
          <w:tcPr>
            <w:tcW w:w="48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0"/>
              </w:rPr>
              <w:t>2023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2023</w:t>
            </w:r>
          </w:p>
        </w:tc>
        <w:tc>
          <w:tcPr>
            <w:tcW w:w="60" w:type="dxa"/>
            <w:vAlign w:val="bottom"/>
          </w:tcPr>
          <w:p>
            <w:pPr>
              <w:spacing w:after="0"/>
              <w:rPr>
                <w:sz w:val="10"/>
                <w:szCs w:val="10"/>
                <w:color w:val="auto"/>
              </w:rPr>
            </w:pPr>
          </w:p>
        </w:tc>
      </w:tr>
      <w:tr>
        <w:trPr>
          <w:trHeight w:val="183"/>
        </w:trPr>
        <w:tc>
          <w:tcPr>
            <w:tcW w:w="10340" w:type="dxa"/>
            <w:vAlign w:val="bottom"/>
            <w:gridSpan w:val="60"/>
          </w:tcPr>
          <w:p>
            <w:pPr>
              <w:spacing w:after="0"/>
              <w:rPr>
                <w:sz w:val="20"/>
                <w:szCs w:val="20"/>
                <w:color w:val="auto"/>
              </w:rPr>
            </w:pPr>
            <w:r>
              <w:rPr>
                <w:rFonts w:ascii="Arial" w:cs="Arial" w:eastAsia="Arial" w:hAnsi="Arial"/>
                <w:sz w:val="10"/>
                <w:szCs w:val="10"/>
                <w:b w:val="1"/>
                <w:bCs w:val="1"/>
                <w:color w:val="auto"/>
              </w:rPr>
              <w:t>(in millions)</w:t>
            </w:r>
          </w:p>
        </w:tc>
      </w:tr>
      <w:tr>
        <w:trPr>
          <w:trHeight w:val="139"/>
        </w:trPr>
        <w:tc>
          <w:tcPr>
            <w:tcW w:w="18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Cost of revenue</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2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16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w:t>
            </w: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4</w:t>
            </w:r>
          </w:p>
        </w:tc>
        <w:tc>
          <w:tcPr>
            <w:tcW w:w="1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w:t>
            </w:r>
          </w:p>
        </w:tc>
      </w:tr>
      <w:tr>
        <w:trPr>
          <w:trHeight w:val="139"/>
        </w:trPr>
        <w:tc>
          <w:tcPr>
            <w:tcW w:w="1880" w:type="dxa"/>
            <w:vAlign w:val="bottom"/>
          </w:tcPr>
          <w:p>
            <w:pPr>
              <w:spacing w:after="0" w:line="139" w:lineRule="exact"/>
              <w:rPr>
                <w:sz w:val="20"/>
                <w:szCs w:val="20"/>
                <w:color w:val="auto"/>
              </w:rPr>
            </w:pPr>
            <w:r>
              <w:rPr>
                <w:rFonts w:ascii="Arial" w:cs="Arial" w:eastAsia="Arial" w:hAnsi="Arial"/>
                <w:sz w:val="13"/>
                <w:szCs w:val="13"/>
                <w:color w:val="auto"/>
              </w:rPr>
              <w:t>Operations and support</w:t>
            </w: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6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w:t>
            </w:r>
          </w:p>
        </w:tc>
      </w:tr>
      <w:tr>
        <w:trPr>
          <w:trHeight w:val="139"/>
        </w:trPr>
        <w:tc>
          <w:tcPr>
            <w:tcW w:w="18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Research and development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r>
      <w:tr>
        <w:trPr>
          <w:trHeight w:val="139"/>
        </w:trPr>
        <w:tc>
          <w:tcPr>
            <w:tcW w:w="1880" w:type="dxa"/>
            <w:vAlign w:val="bottom"/>
          </w:tcPr>
          <w:p>
            <w:pPr>
              <w:spacing w:after="0" w:line="139"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6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r>
      <w:tr>
        <w:trPr>
          <w:trHeight w:val="139"/>
        </w:trPr>
        <w:tc>
          <w:tcPr>
            <w:tcW w:w="18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r>
      <w:tr>
        <w:trPr>
          <w:trHeight w:val="136"/>
        </w:trPr>
        <w:tc>
          <w:tcPr>
            <w:tcW w:w="1880" w:type="dxa"/>
            <w:vAlign w:val="bottom"/>
          </w:tcPr>
          <w:p>
            <w:pPr>
              <w:ind w:left="260"/>
              <w:spacing w:after="0" w:line="136" w:lineRule="exact"/>
              <w:rPr>
                <w:sz w:val="20"/>
                <w:szCs w:val="20"/>
                <w:color w:val="auto"/>
              </w:rPr>
            </w:pPr>
            <w:r>
              <w:rPr>
                <w:rFonts w:ascii="Arial" w:cs="Arial" w:eastAsia="Arial" w:hAnsi="Arial"/>
                <w:sz w:val="13"/>
                <w:szCs w:val="13"/>
                <w:color w:val="auto"/>
              </w:rPr>
              <w:t>Total depreciation and</w:t>
            </w:r>
          </w:p>
        </w:tc>
        <w:tc>
          <w:tcPr>
            <w:tcW w:w="38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880" w:type="dxa"/>
            <w:vAlign w:val="bottom"/>
          </w:tcPr>
          <w:p>
            <w:pPr>
              <w:ind w:left="380"/>
              <w:spacing w:after="0" w:line="148" w:lineRule="exact"/>
              <w:rPr>
                <w:sz w:val="20"/>
                <w:szCs w:val="20"/>
                <w:color w:val="auto"/>
              </w:rPr>
            </w:pPr>
            <w:r>
              <w:rPr>
                <w:rFonts w:ascii="Arial" w:cs="Arial" w:eastAsia="Arial" w:hAnsi="Arial"/>
                <w:sz w:val="13"/>
                <w:szCs w:val="13"/>
                <w:color w:val="auto"/>
              </w:rPr>
              <w:t>amortization expense</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20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w:t>
            </w:r>
          </w:p>
        </w:tc>
        <w:tc>
          <w:tcPr>
            <w:tcW w:w="120" w:type="dxa"/>
            <w:vAlign w:val="bottom"/>
            <w:gridSpan w:val="2"/>
          </w:tcPr>
          <w:p>
            <w:pPr>
              <w:ind w:left="60"/>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180" w:type="dxa"/>
            <w:vAlign w:val="bottom"/>
            <w:gridSpan w:val="2"/>
          </w:tcPr>
          <w:p>
            <w:pPr>
              <w:ind w:left="120"/>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180" w:type="dxa"/>
            <w:vAlign w:val="bottom"/>
            <w:gridSpan w:val="2"/>
          </w:tcPr>
          <w:p>
            <w:pPr>
              <w:ind w:left="120"/>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3</w:t>
            </w:r>
          </w:p>
        </w:tc>
        <w:tc>
          <w:tcPr>
            <w:tcW w:w="180" w:type="dxa"/>
            <w:vAlign w:val="bottom"/>
            <w:gridSpan w:val="2"/>
          </w:tcPr>
          <w:p>
            <w:pPr>
              <w:ind w:left="120"/>
              <w:spacing w:after="0"/>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w:t>
            </w:r>
          </w:p>
        </w:tc>
        <w:tc>
          <w:tcPr>
            <w:tcW w:w="16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w:t>
            </w:r>
          </w:p>
        </w:tc>
        <w:tc>
          <w:tcPr>
            <w:tcW w:w="1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1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1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w:t>
            </w:r>
          </w:p>
        </w:tc>
        <w:tc>
          <w:tcPr>
            <w:tcW w:w="1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8</w:t>
            </w:r>
          </w:p>
        </w:tc>
        <w:tc>
          <w:tcPr>
            <w:tcW w:w="180" w:type="dxa"/>
            <w:vAlign w:val="bottom"/>
            <w:gridSpan w:val="2"/>
          </w:tcPr>
          <w:p>
            <w:pPr>
              <w:ind w:left="120"/>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w:t>
            </w:r>
          </w:p>
        </w:tc>
        <w:tc>
          <w:tcPr>
            <w:tcW w:w="120" w:type="dxa"/>
            <w:vAlign w:val="bottom"/>
            <w:gridSpan w:val="2"/>
          </w:tcPr>
          <w:p>
            <w:pPr>
              <w:ind w:left="60"/>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w:t>
            </w:r>
          </w:p>
        </w:tc>
      </w:tr>
      <w:tr>
        <w:trPr>
          <w:trHeight w:val="20"/>
        </w:trPr>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860" w:hanging="403"/>
        <w:spacing w:after="0"/>
        <w:tabs>
          <w:tab w:leader="none" w:pos="8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Amounts include stock-based compensation expense as follows: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8160" w:type="dxa"/>
            <w:vAlign w:val="bottom"/>
            <w:tcBorders>
              <w:bottom w:val="single" w:sz="8" w:color="auto"/>
            </w:tcBorders>
            <w:gridSpan w:val="63"/>
          </w:tcPr>
          <w:p>
            <w:pPr>
              <w:spacing w:after="0"/>
              <w:rPr>
                <w:sz w:val="20"/>
                <w:szCs w:val="20"/>
                <w:color w:val="auto"/>
              </w:rPr>
            </w:pPr>
            <w:r>
              <w:rPr>
                <w:rFonts w:ascii="Arial" w:cs="Arial" w:eastAsia="Arial" w:hAnsi="Arial"/>
                <w:sz w:val="10"/>
                <w:szCs w:val="10"/>
                <w:b w:val="1"/>
                <w:bCs w:val="1"/>
                <w:color w:val="auto"/>
              </w:rPr>
              <w:t>Three Months Ended</w:t>
            </w:r>
          </w:p>
        </w:tc>
        <w:tc>
          <w:tcPr>
            <w:tcW w:w="40" w:type="dxa"/>
            <w:vAlign w:val="bottom"/>
          </w:tcPr>
          <w:p>
            <w:pPr>
              <w:spacing w:after="0"/>
              <w:rPr>
                <w:sz w:val="10"/>
                <w:szCs w:val="10"/>
                <w:color w:val="auto"/>
              </w:rPr>
            </w:pPr>
          </w:p>
        </w:tc>
      </w:tr>
      <w:tr>
        <w:trPr>
          <w:trHeight w:val="95"/>
        </w:trPr>
        <w:tc>
          <w:tcPr>
            <w:tcW w:w="214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1"/>
              </w:rPr>
              <w:t>Mar. 31,</w:t>
            </w:r>
          </w:p>
        </w:tc>
        <w:tc>
          <w:tcPr>
            <w:tcW w:w="10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5"/>
              </w:rPr>
              <w:t>Jun. 30,</w:t>
            </w:r>
          </w:p>
        </w:tc>
        <w:tc>
          <w:tcPr>
            <w:tcW w:w="100" w:type="dxa"/>
            <w:vAlign w:val="bottom"/>
          </w:tcPr>
          <w:p>
            <w:pPr>
              <w:spacing w:after="0"/>
              <w:rPr>
                <w:sz w:val="8"/>
                <w:szCs w:val="8"/>
                <w:color w:val="auto"/>
              </w:rPr>
            </w:pPr>
          </w:p>
        </w:tc>
        <w:tc>
          <w:tcPr>
            <w:tcW w:w="3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w w:val="82"/>
              </w:rPr>
              <w:t>Sept. 30,</w:t>
            </w:r>
          </w:p>
        </w:tc>
        <w:tc>
          <w:tcPr>
            <w:tcW w:w="120" w:type="dxa"/>
            <w:vAlign w:val="bottom"/>
          </w:tcPr>
          <w:p>
            <w:pPr>
              <w:spacing w:after="0"/>
              <w:rPr>
                <w:sz w:val="8"/>
                <w:szCs w:val="8"/>
                <w:color w:val="auto"/>
              </w:rPr>
            </w:pPr>
          </w:p>
        </w:tc>
        <w:tc>
          <w:tcPr>
            <w:tcW w:w="3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w w:val="95"/>
              </w:rPr>
              <w:t>Dec. 31,</w:t>
            </w:r>
          </w:p>
        </w:tc>
        <w:tc>
          <w:tcPr>
            <w:tcW w:w="6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1"/>
              </w:rPr>
              <w:t>Mar. 31,</w:t>
            </w:r>
          </w:p>
        </w:tc>
        <w:tc>
          <w:tcPr>
            <w:tcW w:w="100" w:type="dxa"/>
            <w:vAlign w:val="bottom"/>
          </w:tcPr>
          <w:p>
            <w:pPr>
              <w:spacing w:after="0"/>
              <w:rPr>
                <w:sz w:val="8"/>
                <w:szCs w:val="8"/>
                <w:color w:val="auto"/>
              </w:rPr>
            </w:pP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4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w w:val="97"/>
              </w:rPr>
              <w:t>Sept. 30,</w:t>
            </w:r>
          </w:p>
        </w:tc>
        <w:tc>
          <w:tcPr>
            <w:tcW w:w="40" w:type="dxa"/>
            <w:vAlign w:val="bottom"/>
          </w:tcPr>
          <w:p>
            <w:pPr>
              <w:spacing w:after="0"/>
              <w:rPr>
                <w:sz w:val="8"/>
                <w:szCs w:val="8"/>
                <w:color w:val="auto"/>
              </w:rPr>
            </w:pPr>
          </w:p>
        </w:tc>
        <w:tc>
          <w:tcPr>
            <w:tcW w:w="3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w w:val="95"/>
              </w:rPr>
              <w:t>Dec. 31,</w:t>
            </w:r>
          </w:p>
        </w:tc>
        <w:tc>
          <w:tcPr>
            <w:tcW w:w="60" w:type="dxa"/>
            <w:vAlign w:val="bottom"/>
          </w:tcPr>
          <w:p>
            <w:pPr>
              <w:spacing w:after="0"/>
              <w:rPr>
                <w:sz w:val="8"/>
                <w:szCs w:val="8"/>
                <w:color w:val="auto"/>
              </w:rPr>
            </w:pPr>
          </w:p>
        </w:tc>
        <w:tc>
          <w:tcPr>
            <w:tcW w:w="3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w w:val="91"/>
              </w:rPr>
              <w:t>Mar. 31,</w:t>
            </w:r>
          </w:p>
        </w:tc>
        <w:tc>
          <w:tcPr>
            <w:tcW w:w="100" w:type="dxa"/>
            <w:vAlign w:val="bottom"/>
          </w:tcPr>
          <w:p>
            <w:pPr>
              <w:spacing w:after="0"/>
              <w:rPr>
                <w:sz w:val="8"/>
                <w:szCs w:val="8"/>
                <w:color w:val="auto"/>
              </w:rPr>
            </w:pPr>
          </w:p>
        </w:tc>
        <w:tc>
          <w:tcPr>
            <w:tcW w:w="4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20" w:type="dxa"/>
            <w:vAlign w:val="bottom"/>
          </w:tcPr>
          <w:p>
            <w:pPr>
              <w:spacing w:after="0"/>
              <w:rPr>
                <w:sz w:val="8"/>
                <w:szCs w:val="8"/>
                <w:color w:val="auto"/>
              </w:rPr>
            </w:pP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0" w:type="dxa"/>
            <w:vAlign w:val="bottom"/>
          </w:tcPr>
          <w:p>
            <w:pPr>
              <w:spacing w:after="0"/>
              <w:rPr>
                <w:sz w:val="8"/>
                <w:szCs w:val="8"/>
                <w:color w:val="auto"/>
              </w:rPr>
            </w:pPr>
          </w:p>
        </w:tc>
        <w:tc>
          <w:tcPr>
            <w:tcW w:w="40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0" w:type="dxa"/>
            <w:vAlign w:val="bottom"/>
          </w:tcPr>
          <w:p>
            <w:pPr>
              <w:spacing w:after="0"/>
              <w:rPr>
                <w:sz w:val="8"/>
                <w:szCs w:val="8"/>
                <w:color w:val="auto"/>
              </w:rPr>
            </w:pPr>
          </w:p>
        </w:tc>
        <w:tc>
          <w:tcPr>
            <w:tcW w:w="42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3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w w:val="96"/>
              </w:rPr>
              <w:t>Jun. 30,</w:t>
            </w:r>
          </w:p>
        </w:tc>
        <w:tc>
          <w:tcPr>
            <w:tcW w:w="60" w:type="dxa"/>
            <w:vAlign w:val="bottom"/>
          </w:tcPr>
          <w:p>
            <w:pPr>
              <w:spacing w:after="0"/>
              <w:rPr>
                <w:sz w:val="8"/>
                <w:szCs w:val="8"/>
                <w:color w:val="auto"/>
              </w:rPr>
            </w:pPr>
          </w:p>
        </w:tc>
        <w:tc>
          <w:tcPr>
            <w:tcW w:w="4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w w:val="97"/>
              </w:rPr>
              <w:t>Sept. 30,</w:t>
            </w:r>
          </w:p>
        </w:tc>
        <w:tc>
          <w:tcPr>
            <w:tcW w:w="6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4"/>
              </w:rPr>
              <w:t>Dec. 31,</w:t>
            </w:r>
          </w:p>
        </w:tc>
        <w:tc>
          <w:tcPr>
            <w:tcW w:w="100" w:type="dxa"/>
            <w:vAlign w:val="bottom"/>
          </w:tcPr>
          <w:p>
            <w:pPr>
              <w:spacing w:after="0"/>
              <w:rPr>
                <w:sz w:val="8"/>
                <w:szCs w:val="8"/>
                <w:color w:val="auto"/>
              </w:rPr>
            </w:pPr>
          </w:p>
        </w:tc>
        <w:tc>
          <w:tcPr>
            <w:tcW w:w="4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5"/>
              </w:rPr>
              <w:t>Jun. 30,</w:t>
            </w:r>
          </w:p>
        </w:tc>
        <w:tc>
          <w:tcPr>
            <w:tcW w:w="40" w:type="dxa"/>
            <w:vAlign w:val="bottom"/>
          </w:tcPr>
          <w:p>
            <w:pPr>
              <w:spacing w:after="0"/>
              <w:rPr>
                <w:sz w:val="8"/>
                <w:szCs w:val="8"/>
                <w:color w:val="auto"/>
              </w:rPr>
            </w:pPr>
          </w:p>
        </w:tc>
      </w:tr>
      <w:tr>
        <w:trPr>
          <w:trHeight w:val="126"/>
        </w:trPr>
        <w:tc>
          <w:tcPr>
            <w:tcW w:w="2140" w:type="dxa"/>
            <w:vAlign w:val="bottom"/>
          </w:tcPr>
          <w:p>
            <w:pPr>
              <w:spacing w:after="0"/>
              <w:rPr>
                <w:sz w:val="10"/>
                <w:szCs w:val="10"/>
                <w:color w:val="auto"/>
              </w:rPr>
            </w:pPr>
          </w:p>
        </w:tc>
        <w:tc>
          <w:tcPr>
            <w:tcW w:w="54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0"/>
                <w:szCs w:val="10"/>
                <w:b w:val="1"/>
                <w:bCs w:val="1"/>
                <w:color w:val="auto"/>
                <w:w w:val="80"/>
              </w:rPr>
              <w:t>2019</w:t>
            </w:r>
          </w:p>
        </w:tc>
        <w:tc>
          <w:tcPr>
            <w:tcW w:w="4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0"/>
                <w:szCs w:val="10"/>
                <w:b w:val="1"/>
                <w:bCs w:val="1"/>
                <w:color w:val="auto"/>
                <w:w w:val="89"/>
              </w:rPr>
              <w:t>2019</w:t>
            </w:r>
          </w:p>
        </w:tc>
        <w:tc>
          <w:tcPr>
            <w:tcW w:w="44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w w:val="80"/>
              </w:rPr>
              <w:t>2019</w:t>
            </w:r>
          </w:p>
        </w:tc>
        <w:tc>
          <w:tcPr>
            <w:tcW w:w="4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0"/>
                <w:szCs w:val="10"/>
                <w:b w:val="1"/>
                <w:bCs w:val="1"/>
                <w:color w:val="auto"/>
                <w:w w:val="89"/>
              </w:rPr>
              <w:t>2020</w:t>
            </w:r>
          </w:p>
        </w:tc>
        <w:tc>
          <w:tcPr>
            <w:tcW w:w="46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0"/>
                <w:szCs w:val="10"/>
                <w:b w:val="1"/>
                <w:bCs w:val="1"/>
                <w:color w:val="auto"/>
                <w:w w:val="89"/>
              </w:rPr>
              <w:t>2020</w:t>
            </w:r>
          </w:p>
        </w:tc>
        <w:tc>
          <w:tcPr>
            <w:tcW w:w="4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9"/>
              </w:rPr>
              <w:t>2020</w:t>
            </w:r>
          </w:p>
        </w:tc>
        <w:tc>
          <w:tcPr>
            <w:tcW w:w="44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w w:val="80"/>
              </w:rPr>
              <w:t>2020</w:t>
            </w:r>
          </w:p>
        </w:tc>
        <w:tc>
          <w:tcPr>
            <w:tcW w:w="4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0"/>
                <w:szCs w:val="10"/>
                <w:b w:val="1"/>
                <w:bCs w:val="1"/>
                <w:color w:val="auto"/>
                <w:w w:val="89"/>
              </w:rPr>
              <w:t>2022</w:t>
            </w:r>
          </w:p>
        </w:tc>
        <w:tc>
          <w:tcPr>
            <w:tcW w:w="4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0"/>
              </w:rPr>
              <w:t>2022</w:t>
            </w:r>
          </w:p>
        </w:tc>
        <w:tc>
          <w:tcPr>
            <w:tcW w:w="4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0"/>
              </w:rPr>
              <w:t>2022</w:t>
            </w:r>
          </w:p>
        </w:tc>
        <w:tc>
          <w:tcPr>
            <w:tcW w:w="4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0"/>
                <w:szCs w:val="10"/>
                <w:b w:val="1"/>
                <w:bCs w:val="1"/>
                <w:color w:val="auto"/>
                <w:w w:val="89"/>
              </w:rPr>
              <w:t>2022</w:t>
            </w:r>
          </w:p>
        </w:tc>
        <w:tc>
          <w:tcPr>
            <w:tcW w:w="4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w w:val="80"/>
              </w:rPr>
              <w:t>2023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w w:val="80"/>
              </w:rPr>
              <w:t>2023</w:t>
            </w:r>
          </w:p>
        </w:tc>
        <w:tc>
          <w:tcPr>
            <w:tcW w:w="40" w:type="dxa"/>
            <w:vAlign w:val="bottom"/>
          </w:tcPr>
          <w:p>
            <w:pPr>
              <w:spacing w:after="0"/>
              <w:rPr>
                <w:sz w:val="10"/>
                <w:szCs w:val="10"/>
                <w:color w:val="auto"/>
              </w:rPr>
            </w:pPr>
          </w:p>
        </w:tc>
      </w:tr>
      <w:tr>
        <w:trPr>
          <w:trHeight w:val="107"/>
        </w:trPr>
        <w:tc>
          <w:tcPr>
            <w:tcW w:w="10340" w:type="dxa"/>
            <w:vAlign w:val="bottom"/>
            <w:gridSpan w:val="65"/>
          </w:tcPr>
          <w:p>
            <w:pPr>
              <w:spacing w:after="0"/>
              <w:rPr>
                <w:sz w:val="20"/>
                <w:szCs w:val="20"/>
                <w:color w:val="auto"/>
              </w:rPr>
            </w:pPr>
            <w:r>
              <w:rPr>
                <w:rFonts w:ascii="Arial" w:cs="Arial" w:eastAsia="Arial" w:hAnsi="Arial"/>
                <w:sz w:val="10"/>
                <w:szCs w:val="10"/>
                <w:b w:val="1"/>
                <w:bCs w:val="1"/>
                <w:color w:val="auto"/>
              </w:rPr>
              <w:t>(in millions)</w:t>
            </w:r>
          </w:p>
        </w:tc>
      </w:tr>
      <w:tr>
        <w:trPr>
          <w:trHeight w:val="139"/>
        </w:trPr>
        <w:tc>
          <w:tcPr>
            <w:tcW w:w="2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Operations and support</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14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w:t>
            </w:r>
          </w:p>
        </w:tc>
        <w:tc>
          <w:tcPr>
            <w:tcW w:w="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w:t>
            </w:r>
          </w:p>
        </w:tc>
      </w:tr>
      <w:tr>
        <w:trPr>
          <w:trHeight w:val="139"/>
        </w:trPr>
        <w:tc>
          <w:tcPr>
            <w:tcW w:w="2140" w:type="dxa"/>
            <w:vAlign w:val="bottom"/>
          </w:tcPr>
          <w:p>
            <w:pPr>
              <w:spacing w:after="0" w:line="139" w:lineRule="exact"/>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3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r>
      <w:tr>
        <w:trPr>
          <w:trHeight w:val="139"/>
        </w:trPr>
        <w:tc>
          <w:tcPr>
            <w:tcW w:w="2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Sales and marketing</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r>
      <w:tr>
        <w:trPr>
          <w:trHeight w:val="145"/>
        </w:trPr>
        <w:tc>
          <w:tcPr>
            <w:tcW w:w="2140" w:type="dxa"/>
            <w:vAlign w:val="bottom"/>
          </w:tcPr>
          <w:p>
            <w:pPr>
              <w:spacing w:after="0" w:line="139"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r>
      <w:tr>
        <w:trPr>
          <w:trHeight w:val="130"/>
        </w:trPr>
        <w:tc>
          <w:tcPr>
            <w:tcW w:w="214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w w:val="99"/>
              </w:rPr>
              <w:t>Total stock-based compensation</w:t>
            </w:r>
          </w:p>
        </w:tc>
        <w:tc>
          <w:tcPr>
            <w:tcW w:w="36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8"/>
        </w:trPr>
        <w:tc>
          <w:tcPr>
            <w:tcW w:w="2140" w:type="dxa"/>
            <w:vAlign w:val="bottom"/>
            <w:shd w:val="clear" w:color="auto" w:fill="CCEEFF"/>
          </w:tcPr>
          <w:p>
            <w:pPr>
              <w:ind w:left="380"/>
              <w:spacing w:after="0" w:line="148" w:lineRule="exact"/>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w:t>
            </w:r>
          </w:p>
        </w:tc>
        <w:tc>
          <w:tcPr>
            <w:tcW w:w="18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w:t>
            </w:r>
          </w:p>
        </w:tc>
        <w:tc>
          <w:tcPr>
            <w:tcW w:w="18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38</w:t>
            </w:r>
          </w:p>
        </w:tc>
        <w:tc>
          <w:tcPr>
            <w:tcW w:w="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w:t>
            </w:r>
          </w:p>
        </w:tc>
        <w:tc>
          <w:tcPr>
            <w:tcW w:w="1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3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5</w:t>
            </w:r>
          </w:p>
        </w:tc>
        <w:tc>
          <w:tcPr>
            <w:tcW w:w="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w:t>
            </w:r>
          </w:p>
        </w:tc>
        <w:tc>
          <w:tcPr>
            <w:tcW w:w="1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w:t>
            </w:r>
          </w:p>
        </w:tc>
        <w:tc>
          <w:tcPr>
            <w:tcW w:w="1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w:t>
            </w:r>
          </w:p>
        </w:tc>
        <w:tc>
          <w:tcPr>
            <w:tcW w:w="18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2"/>
                <w:szCs w:val="12"/>
                <w:color w:val="auto"/>
              </w:rPr>
            </w:pPr>
          </w:p>
        </w:tc>
      </w:tr>
      <w:tr>
        <w:trPr>
          <w:trHeight w:val="20"/>
        </w:trPr>
        <w:tc>
          <w:tcPr>
            <w:tcW w:w="2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800"/>
          </w:cols>
          <w:pgMar w:left="320" w:top="440" w:right="77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Percent of Revenue Data</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0"/>
                <w:szCs w:val="10"/>
                <w:b w:val="1"/>
                <w:bCs w:val="1"/>
                <w:color w:val="auto"/>
                <w:w w:val="97"/>
              </w:rPr>
              <w:t>Three Months Ended</w:t>
            </w: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gridSpan w:val="2"/>
          </w:tcPr>
          <w:p>
            <w:pPr>
              <w:jc w:val="right"/>
              <w:ind w:right="220"/>
              <w:spacing w:after="0" w:line="95" w:lineRule="exact"/>
              <w:rPr>
                <w:sz w:val="20"/>
                <w:szCs w:val="20"/>
                <w:color w:val="auto"/>
              </w:rPr>
            </w:pPr>
            <w:r>
              <w:rPr>
                <w:rFonts w:ascii="Arial" w:cs="Arial" w:eastAsia="Arial" w:hAnsi="Arial"/>
                <w:sz w:val="10"/>
                <w:szCs w:val="10"/>
                <w:b w:val="1"/>
                <w:bCs w:val="1"/>
                <w:color w:val="auto"/>
                <w:w w:val="96"/>
              </w:rPr>
              <w:t>Mar. 31,</w:t>
            </w:r>
          </w:p>
        </w:tc>
        <w:tc>
          <w:tcPr>
            <w:tcW w:w="5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w w:val="91"/>
              </w:rPr>
              <w:t>Jun. 30,</w:t>
            </w:r>
          </w:p>
        </w:tc>
        <w:tc>
          <w:tcPr>
            <w:tcW w:w="600" w:type="dxa"/>
            <w:vAlign w:val="bottom"/>
            <w:gridSpan w:val="2"/>
          </w:tcPr>
          <w:p>
            <w:pPr>
              <w:jc w:val="right"/>
              <w:ind w:right="240"/>
              <w:spacing w:after="0" w:line="95" w:lineRule="exact"/>
              <w:rPr>
                <w:sz w:val="20"/>
                <w:szCs w:val="20"/>
                <w:color w:val="auto"/>
              </w:rPr>
            </w:pPr>
            <w:r>
              <w:rPr>
                <w:rFonts w:ascii="Arial" w:cs="Arial" w:eastAsia="Arial" w:hAnsi="Arial"/>
                <w:sz w:val="10"/>
                <w:szCs w:val="10"/>
                <w:b w:val="1"/>
                <w:bCs w:val="1"/>
                <w:color w:val="auto"/>
                <w:w w:val="82"/>
              </w:rPr>
              <w:t>Sept. 30,</w:t>
            </w:r>
          </w:p>
        </w:tc>
        <w:tc>
          <w:tcPr>
            <w:tcW w:w="580" w:type="dxa"/>
            <w:vAlign w:val="bottom"/>
            <w:gridSpan w:val="2"/>
          </w:tcPr>
          <w:p>
            <w:pPr>
              <w:jc w:val="right"/>
              <w:ind w:right="240"/>
              <w:spacing w:after="0" w:line="95" w:lineRule="exact"/>
              <w:rPr>
                <w:sz w:val="20"/>
                <w:szCs w:val="20"/>
                <w:color w:val="auto"/>
              </w:rPr>
            </w:pPr>
            <w:r>
              <w:rPr>
                <w:rFonts w:ascii="Arial" w:cs="Arial" w:eastAsia="Arial" w:hAnsi="Arial"/>
                <w:sz w:val="10"/>
                <w:szCs w:val="10"/>
                <w:b w:val="1"/>
                <w:bCs w:val="1"/>
                <w:color w:val="auto"/>
                <w:w w:val="84"/>
              </w:rPr>
              <w:t>Dec. 31,</w:t>
            </w:r>
          </w:p>
        </w:tc>
        <w:tc>
          <w:tcPr>
            <w:tcW w:w="580" w:type="dxa"/>
            <w:vAlign w:val="bottom"/>
            <w:gridSpan w:val="2"/>
          </w:tcPr>
          <w:p>
            <w:pPr>
              <w:jc w:val="right"/>
              <w:ind w:right="220"/>
              <w:spacing w:after="0" w:line="95" w:lineRule="exact"/>
              <w:rPr>
                <w:sz w:val="20"/>
                <w:szCs w:val="20"/>
                <w:color w:val="auto"/>
              </w:rPr>
            </w:pPr>
            <w:r>
              <w:rPr>
                <w:rFonts w:ascii="Arial" w:cs="Arial" w:eastAsia="Arial" w:hAnsi="Arial"/>
                <w:sz w:val="10"/>
                <w:szCs w:val="10"/>
                <w:b w:val="1"/>
                <w:bCs w:val="1"/>
                <w:color w:val="auto"/>
                <w:w w:val="91"/>
              </w:rPr>
              <w:t>Mar. 31,</w:t>
            </w:r>
          </w:p>
        </w:tc>
        <w:tc>
          <w:tcPr>
            <w:tcW w:w="5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w w:val="91"/>
              </w:rPr>
              <w:t>Jun. 30,</w:t>
            </w:r>
          </w:p>
        </w:tc>
        <w:tc>
          <w:tcPr>
            <w:tcW w:w="600" w:type="dxa"/>
            <w:vAlign w:val="bottom"/>
            <w:gridSpan w:val="2"/>
          </w:tcPr>
          <w:p>
            <w:pPr>
              <w:jc w:val="right"/>
              <w:ind w:right="220"/>
              <w:spacing w:after="0" w:line="95" w:lineRule="exact"/>
              <w:rPr>
                <w:sz w:val="20"/>
                <w:szCs w:val="20"/>
                <w:color w:val="auto"/>
              </w:rPr>
            </w:pPr>
            <w:r>
              <w:rPr>
                <w:rFonts w:ascii="Arial" w:cs="Arial" w:eastAsia="Arial" w:hAnsi="Arial"/>
                <w:sz w:val="10"/>
                <w:szCs w:val="10"/>
                <w:b w:val="1"/>
                <w:bCs w:val="1"/>
                <w:color w:val="auto"/>
                <w:w w:val="87"/>
              </w:rPr>
              <w:t>Sept. 30,</w:t>
            </w:r>
          </w:p>
        </w:tc>
        <w:tc>
          <w:tcPr>
            <w:tcW w:w="520" w:type="dxa"/>
            <w:vAlign w:val="bottom"/>
            <w:gridSpan w:val="2"/>
          </w:tcPr>
          <w:p>
            <w:pPr>
              <w:jc w:val="right"/>
              <w:ind w:right="129"/>
              <w:spacing w:after="0" w:line="95" w:lineRule="exact"/>
              <w:rPr>
                <w:sz w:val="20"/>
                <w:szCs w:val="20"/>
                <w:color w:val="auto"/>
              </w:rPr>
            </w:pPr>
            <w:r>
              <w:rPr>
                <w:rFonts w:ascii="Arial" w:cs="Arial" w:eastAsia="Arial" w:hAnsi="Arial"/>
                <w:sz w:val="10"/>
                <w:szCs w:val="10"/>
                <w:b w:val="1"/>
                <w:bCs w:val="1"/>
                <w:color w:val="auto"/>
                <w:w w:val="84"/>
              </w:rPr>
              <w:t>Dec. 31,</w:t>
            </w:r>
          </w:p>
        </w:tc>
        <w:tc>
          <w:tcPr>
            <w:tcW w:w="600" w:type="dxa"/>
            <w:vAlign w:val="bottom"/>
            <w:gridSpan w:val="2"/>
          </w:tcPr>
          <w:p>
            <w:pPr>
              <w:jc w:val="right"/>
              <w:ind w:right="240"/>
              <w:spacing w:after="0" w:line="95" w:lineRule="exact"/>
              <w:rPr>
                <w:sz w:val="20"/>
                <w:szCs w:val="20"/>
                <w:color w:val="auto"/>
              </w:rPr>
            </w:pPr>
            <w:r>
              <w:rPr>
                <w:rFonts w:ascii="Arial" w:cs="Arial" w:eastAsia="Arial" w:hAnsi="Arial"/>
                <w:sz w:val="10"/>
                <w:szCs w:val="10"/>
                <w:b w:val="1"/>
                <w:bCs w:val="1"/>
                <w:color w:val="auto"/>
                <w:w w:val="91"/>
              </w:rPr>
              <w:t>Mar. 31,</w:t>
            </w:r>
          </w:p>
        </w:tc>
        <w:tc>
          <w:tcPr>
            <w:tcW w:w="52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5"/>
              </w:rPr>
              <w:t>Jun. 30,</w:t>
            </w:r>
          </w:p>
        </w:tc>
        <w:tc>
          <w:tcPr>
            <w:tcW w:w="56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7"/>
              </w:rPr>
              <w:t>Sept. 30,</w:t>
            </w:r>
          </w:p>
        </w:tc>
        <w:tc>
          <w:tcPr>
            <w:tcW w:w="560" w:type="dxa"/>
            <w:vAlign w:val="bottom"/>
            <w:gridSpan w:val="2"/>
          </w:tcPr>
          <w:p>
            <w:pPr>
              <w:jc w:val="right"/>
              <w:ind w:right="220"/>
              <w:spacing w:after="0" w:line="95" w:lineRule="exact"/>
              <w:rPr>
                <w:sz w:val="20"/>
                <w:szCs w:val="20"/>
                <w:color w:val="auto"/>
              </w:rPr>
            </w:pPr>
            <w:r>
              <w:rPr>
                <w:rFonts w:ascii="Arial" w:cs="Arial" w:eastAsia="Arial" w:hAnsi="Arial"/>
                <w:sz w:val="10"/>
                <w:szCs w:val="10"/>
                <w:b w:val="1"/>
                <w:bCs w:val="1"/>
                <w:color w:val="auto"/>
                <w:w w:val="84"/>
              </w:rPr>
              <w:t>Dec. 31,</w:t>
            </w:r>
          </w:p>
        </w:tc>
        <w:tc>
          <w:tcPr>
            <w:tcW w:w="600" w:type="dxa"/>
            <w:vAlign w:val="bottom"/>
            <w:gridSpan w:val="2"/>
          </w:tcPr>
          <w:p>
            <w:pPr>
              <w:jc w:val="right"/>
              <w:ind w:right="240"/>
              <w:spacing w:after="0" w:line="95" w:lineRule="exact"/>
              <w:rPr>
                <w:sz w:val="20"/>
                <w:szCs w:val="20"/>
                <w:color w:val="auto"/>
              </w:rPr>
            </w:pPr>
            <w:r>
              <w:rPr>
                <w:rFonts w:ascii="Arial" w:cs="Arial" w:eastAsia="Arial" w:hAnsi="Arial"/>
                <w:sz w:val="10"/>
                <w:szCs w:val="10"/>
                <w:b w:val="1"/>
                <w:bCs w:val="1"/>
                <w:color w:val="auto"/>
                <w:w w:val="91"/>
              </w:rPr>
              <w:t>Mar. 31,</w:t>
            </w:r>
          </w:p>
        </w:tc>
        <w:tc>
          <w:tcPr>
            <w:tcW w:w="5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1"/>
              </w:rPr>
              <w:t>Jun. 30,</w:t>
            </w:r>
          </w:p>
        </w:tc>
        <w:tc>
          <w:tcPr>
            <w:tcW w:w="5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2"/>
              </w:rPr>
              <w:t>Sept. 30,</w:t>
            </w:r>
          </w:p>
        </w:tc>
        <w:tc>
          <w:tcPr>
            <w:tcW w:w="52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4"/>
              </w:rPr>
              <w:t>Dec. 31,</w:t>
            </w:r>
          </w:p>
        </w:tc>
        <w:tc>
          <w:tcPr>
            <w:tcW w:w="54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91"/>
              </w:rPr>
              <w:t>Mar. 31,</w:t>
            </w:r>
          </w:p>
        </w:tc>
        <w:tc>
          <w:tcPr>
            <w:tcW w:w="120" w:type="dxa"/>
            <w:vAlign w:val="bottom"/>
          </w:tcPr>
          <w:p>
            <w:pPr>
              <w:jc w:val="right"/>
              <w:spacing w:after="0" w:line="95" w:lineRule="exact"/>
              <w:rPr>
                <w:sz w:val="20"/>
                <w:szCs w:val="20"/>
                <w:color w:val="auto"/>
              </w:rPr>
            </w:pPr>
            <w:r>
              <w:rPr>
                <w:rFonts w:ascii="Arial" w:cs="Arial" w:eastAsia="Arial" w:hAnsi="Arial"/>
                <w:sz w:val="9"/>
                <w:szCs w:val="9"/>
                <w:b w:val="1"/>
                <w:bCs w:val="1"/>
                <w:color w:val="auto"/>
                <w:w w:val="75"/>
              </w:rPr>
              <w:t>Ju</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2022</w:t>
            </w: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2023</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gridSpan w:val="6"/>
          </w:tcPr>
          <w:p>
            <w:pPr>
              <w:ind w:left="300"/>
              <w:spacing w:after="0" w:line="107" w:lineRule="exact"/>
              <w:rPr>
                <w:sz w:val="20"/>
                <w:szCs w:val="20"/>
                <w:color w:val="auto"/>
              </w:rPr>
            </w:pPr>
            <w:r>
              <w:rPr>
                <w:rFonts w:ascii="Arial" w:cs="Arial" w:eastAsia="Arial" w:hAnsi="Arial"/>
                <w:sz w:val="8"/>
                <w:szCs w:val="8"/>
                <w:b w:val="1"/>
                <w:bCs w:val="1"/>
                <w:color w:val="auto"/>
              </w:rPr>
              <w:t>(as a percent of revenue)</w:t>
            </w:r>
            <w:r>
              <w:rPr>
                <w:rFonts w:ascii="Arial" w:cs="Arial" w:eastAsia="Arial" w:hAnsi="Arial"/>
                <w:sz w:val="12"/>
                <w:szCs w:val="12"/>
                <w:b w:val="1"/>
                <w:bCs w:val="1"/>
                <w:color w:val="auto"/>
                <w:vertAlign w:val="superscript"/>
              </w:rPr>
              <w:t>(1)</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shd w:val="clear" w:color="auto" w:fill="CCEEFF"/>
          </w:tcPr>
          <w:p>
            <w:pPr>
              <w:spacing w:after="0" w:line="139" w:lineRule="exact"/>
              <w:rPr>
                <w:sz w:val="20"/>
                <w:szCs w:val="20"/>
                <w:color w:val="auto"/>
              </w:rPr>
            </w:pPr>
            <w:r>
              <w:rPr>
                <w:rFonts w:ascii="Arial" w:cs="Arial" w:eastAsia="Arial" w:hAnsi="Arial"/>
                <w:sz w:val="11"/>
                <w:szCs w:val="11"/>
                <w:color w:val="auto"/>
              </w:rPr>
              <w:t>Revenue</w:t>
            </w:r>
            <w:r>
              <w:rPr>
                <w:rFonts w:ascii="Arial" w:cs="Arial" w:eastAsia="Arial" w:hAnsi="Arial"/>
                <w:sz w:val="16"/>
                <w:szCs w:val="16"/>
                <w:color w:val="auto"/>
                <w:vertAlign w:val="superscript"/>
              </w:rPr>
              <w:t>(2)</w:t>
            </w:r>
          </w:p>
        </w:tc>
        <w:tc>
          <w:tcPr>
            <w:tcW w:w="6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6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6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3"/>
                <w:szCs w:val="13"/>
                <w:color w:val="auto"/>
              </w:rPr>
              <w:t>100%</w:t>
            </w:r>
          </w:p>
        </w:tc>
        <w:tc>
          <w:tcPr>
            <w:tcW w:w="6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6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line="139" w:lineRule="exact"/>
              <w:rPr>
                <w:sz w:val="20"/>
                <w:szCs w:val="20"/>
                <w:color w:val="auto"/>
              </w:rPr>
            </w:pPr>
            <w:r>
              <w:rPr>
                <w:rFonts w:ascii="Arial" w:cs="Arial" w:eastAsia="Arial" w:hAnsi="Arial"/>
                <w:sz w:val="13"/>
                <w:szCs w:val="13"/>
                <w:color w:val="auto"/>
              </w:rPr>
              <w:t>Cost of revenue</w:t>
            </w: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112</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124</w:t>
            </w: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103</w:t>
            </w: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auto"/>
              </w:rPr>
              <w:t>100</w:t>
            </w:r>
          </w:p>
        </w:tc>
        <w:tc>
          <w:tcPr>
            <w:tcW w:w="24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61</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42</w:t>
            </w: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39</w:t>
            </w:r>
          </w:p>
        </w:tc>
        <w:tc>
          <w:tcPr>
            <w:tcW w:w="340" w:type="dxa"/>
            <w:vAlign w:val="bottom"/>
          </w:tcPr>
          <w:p>
            <w:pPr>
              <w:ind w:left="220"/>
              <w:spacing w:after="0"/>
              <w:rPr>
                <w:sz w:val="20"/>
                <w:szCs w:val="20"/>
                <w:color w:val="auto"/>
              </w:rPr>
            </w:pPr>
            <w:r>
              <w:rPr>
                <w:rFonts w:ascii="Arial" w:cs="Arial" w:eastAsia="Arial" w:hAnsi="Arial"/>
                <w:sz w:val="12"/>
                <w:szCs w:val="12"/>
                <w:color w:val="auto"/>
                <w:w w:val="74"/>
              </w:rPr>
              <w:t>34</w:t>
            </w:r>
          </w:p>
        </w:tc>
        <w:tc>
          <w:tcPr>
            <w:tcW w:w="180" w:type="dxa"/>
            <w:vAlign w:val="bottom"/>
          </w:tcPr>
          <w:p>
            <w:pPr>
              <w:spacing w:after="0"/>
              <w:rPr>
                <w:sz w:val="12"/>
                <w:szCs w:val="12"/>
                <w:color w:val="auto"/>
              </w:rPr>
            </w:pP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37</w:t>
            </w: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auto"/>
              </w:rPr>
              <w:t>32</w:t>
            </w:r>
          </w:p>
        </w:tc>
        <w:tc>
          <w:tcPr>
            <w:tcW w:w="18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31</w:t>
            </w:r>
          </w:p>
        </w:tc>
        <w:tc>
          <w:tcPr>
            <w:tcW w:w="18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auto"/>
              </w:rPr>
              <w:t>33</w:t>
            </w:r>
          </w:p>
        </w:tc>
        <w:tc>
          <w:tcPr>
            <w:tcW w:w="22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35</w:t>
            </w:r>
          </w:p>
        </w:tc>
        <w:tc>
          <w:tcPr>
            <w:tcW w:w="220" w:type="dxa"/>
            <w:vAlign w:val="bottom"/>
          </w:tcPr>
          <w:p>
            <w:pPr>
              <w:spacing w:after="0"/>
              <w:rPr>
                <w:sz w:val="12"/>
                <w:szCs w:val="12"/>
                <w:color w:val="auto"/>
              </w:rPr>
            </w:pPr>
          </w:p>
        </w:tc>
        <w:tc>
          <w:tcPr>
            <w:tcW w:w="5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29</w:t>
            </w:r>
          </w:p>
        </w:tc>
        <w:tc>
          <w:tcPr>
            <w:tcW w:w="56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27</w:t>
            </w:r>
          </w:p>
        </w:tc>
        <w:tc>
          <w:tcPr>
            <w:tcW w:w="5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24</w:t>
            </w: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1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Gross profit (loss)</w:t>
            </w:r>
          </w:p>
        </w:tc>
        <w:tc>
          <w:tcPr>
            <w:tcW w:w="60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(12)</w:t>
            </w:r>
          </w:p>
        </w:tc>
        <w:tc>
          <w:tcPr>
            <w:tcW w:w="5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(24)</w:t>
            </w:r>
          </w:p>
        </w:tc>
        <w:tc>
          <w:tcPr>
            <w:tcW w:w="60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(3)</w:t>
            </w:r>
          </w:p>
        </w:tc>
        <w:tc>
          <w:tcPr>
            <w:tcW w:w="58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58</w:t>
            </w:r>
          </w:p>
        </w:tc>
        <w:tc>
          <w:tcPr>
            <w:tcW w:w="60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61</w:t>
            </w:r>
          </w:p>
        </w:tc>
        <w:tc>
          <w:tcPr>
            <w:tcW w:w="3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74"/>
              </w:rPr>
              <w:t>66</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63</w:t>
            </w: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69</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67</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65</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71</w:t>
            </w:r>
          </w:p>
        </w:tc>
        <w:tc>
          <w:tcPr>
            <w:tcW w:w="5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73</w:t>
            </w:r>
          </w:p>
        </w:tc>
        <w:tc>
          <w:tcPr>
            <w:tcW w:w="5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76</w:t>
            </w:r>
          </w:p>
        </w:tc>
        <w:tc>
          <w:tcPr>
            <w:tcW w:w="3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line="139" w:lineRule="exact"/>
              <w:rPr>
                <w:sz w:val="20"/>
                <w:szCs w:val="20"/>
                <w:color w:val="auto"/>
              </w:rPr>
            </w:pPr>
            <w:r>
              <w:rPr>
                <w:rFonts w:ascii="Arial" w:cs="Arial" w:eastAsia="Arial" w:hAnsi="Arial"/>
                <w:sz w:val="13"/>
                <w:szCs w:val="13"/>
                <w:color w:val="auto"/>
                <w:w w:val="91"/>
              </w:rPr>
              <w:t>Operating expenses: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CCEEFF"/>
          </w:tcPr>
          <w:p>
            <w:pPr>
              <w:ind w:left="240"/>
              <w:spacing w:after="0" w:line="131" w:lineRule="exact"/>
              <w:rPr>
                <w:sz w:val="20"/>
                <w:szCs w:val="20"/>
                <w:color w:val="auto"/>
              </w:rPr>
            </w:pPr>
            <w:r>
              <w:rPr>
                <w:rFonts w:ascii="Arial" w:cs="Arial" w:eastAsia="Arial" w:hAnsi="Arial"/>
                <w:sz w:val="13"/>
                <w:szCs w:val="13"/>
                <w:color w:val="auto"/>
                <w:w w:val="96"/>
              </w:rPr>
              <w:t>Operations and</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support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102</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75</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75</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30</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3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74"/>
              </w:rPr>
              <w:t>14</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5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9</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9</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240"/>
              <w:spacing w:after="0" w:line="131" w:lineRule="exact"/>
              <w:rPr>
                <w:sz w:val="20"/>
                <w:szCs w:val="20"/>
                <w:color w:val="auto"/>
              </w:rPr>
            </w:pPr>
            <w:r>
              <w:rPr>
                <w:rFonts w:ascii="Arial" w:cs="Arial" w:eastAsia="Arial" w:hAnsi="Arial"/>
                <w:sz w:val="13"/>
                <w:szCs w:val="13"/>
                <w:color w:val="auto"/>
              </w:rPr>
              <w:t>Research and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tcPr>
          <w:p>
            <w:pPr>
              <w:ind w:left="360"/>
              <w:spacing w:after="0" w:line="148" w:lineRule="exact"/>
              <w:rPr>
                <w:sz w:val="20"/>
                <w:szCs w:val="20"/>
                <w:color w:val="auto"/>
              </w:rPr>
            </w:pPr>
            <w:r>
              <w:rPr>
                <w:rFonts w:ascii="Arial" w:cs="Arial" w:eastAsia="Arial" w:hAnsi="Arial"/>
                <w:sz w:val="13"/>
                <w:szCs w:val="13"/>
                <w:color w:val="auto"/>
                <w:w w:val="99"/>
              </w:rPr>
              <w:t>development</w:t>
            </w: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63</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65</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56</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56</w:t>
            </w:r>
          </w:p>
        </w:tc>
        <w:tc>
          <w:tcPr>
            <w:tcW w:w="24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26</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9</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340" w:type="dxa"/>
            <w:vAlign w:val="bottom"/>
          </w:tcPr>
          <w:p>
            <w:pPr>
              <w:ind w:left="220"/>
              <w:spacing w:after="0"/>
              <w:rPr>
                <w:sz w:val="20"/>
                <w:szCs w:val="20"/>
                <w:color w:val="auto"/>
              </w:rPr>
            </w:pPr>
            <w:r>
              <w:rPr>
                <w:rFonts w:ascii="Arial" w:cs="Arial" w:eastAsia="Arial" w:hAnsi="Arial"/>
                <w:sz w:val="12"/>
                <w:szCs w:val="12"/>
                <w:color w:val="auto"/>
                <w:w w:val="74"/>
              </w:rPr>
              <w:t>12</w:t>
            </w:r>
          </w:p>
        </w:tc>
        <w:tc>
          <w:tcPr>
            <w:tcW w:w="180" w:type="dxa"/>
            <w:vAlign w:val="bottom"/>
          </w:tcPr>
          <w:p>
            <w:pPr>
              <w:spacing w:after="0"/>
              <w:rPr>
                <w:sz w:val="12"/>
                <w:szCs w:val="12"/>
                <w:color w:val="auto"/>
              </w:rPr>
            </w:pP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21</w:t>
            </w:r>
          </w:p>
        </w:tc>
        <w:tc>
          <w:tcPr>
            <w:tcW w:w="180" w:type="dxa"/>
            <w:vAlign w:val="bottom"/>
          </w:tcPr>
          <w:p>
            <w:pPr>
              <w:spacing w:after="0"/>
              <w:rPr>
                <w:sz w:val="12"/>
                <w:szCs w:val="12"/>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24</w:t>
            </w:r>
          </w:p>
        </w:tc>
        <w:tc>
          <w:tcPr>
            <w:tcW w:w="22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23</w:t>
            </w:r>
          </w:p>
        </w:tc>
        <w:tc>
          <w:tcPr>
            <w:tcW w:w="220" w:type="dxa"/>
            <w:vAlign w:val="bottom"/>
          </w:tcPr>
          <w:p>
            <w:pPr>
              <w:spacing w:after="0"/>
              <w:rPr>
                <w:sz w:val="12"/>
                <w:szCs w:val="12"/>
                <w:color w:val="auto"/>
              </w:rPr>
            </w:pP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21</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19</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CCEEFF"/>
          </w:tcPr>
          <w:p>
            <w:pPr>
              <w:ind w:left="240"/>
              <w:spacing w:after="0" w:line="131" w:lineRule="exact"/>
              <w:rPr>
                <w:sz w:val="20"/>
                <w:szCs w:val="20"/>
                <w:color w:val="auto"/>
              </w:rPr>
            </w:pPr>
            <w:r>
              <w:rPr>
                <w:rFonts w:ascii="Arial" w:cs="Arial" w:eastAsia="Arial" w:hAnsi="Arial"/>
                <w:sz w:val="13"/>
                <w:szCs w:val="13"/>
                <w:color w:val="auto"/>
              </w:rPr>
              <w:t>Sales and</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marketing</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48</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37</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4</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w:t>
            </w:r>
          </w:p>
        </w:tc>
        <w:tc>
          <w:tcPr>
            <w:tcW w:w="3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74"/>
              </w:rPr>
              <w:t>16</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21</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27</w:t>
            </w:r>
          </w:p>
        </w:tc>
        <w:tc>
          <w:tcPr>
            <w:tcW w:w="5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26</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23</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240"/>
              <w:spacing w:after="0" w:line="131" w:lineRule="exact"/>
              <w:rPr>
                <w:sz w:val="20"/>
                <w:szCs w:val="20"/>
                <w:color w:val="auto"/>
              </w:rPr>
            </w:pPr>
            <w:r>
              <w:rPr>
                <w:rFonts w:ascii="Arial" w:cs="Arial" w:eastAsia="Arial" w:hAnsi="Arial"/>
                <w:sz w:val="13"/>
                <w:szCs w:val="13"/>
                <w:color w:val="auto"/>
              </w:rPr>
              <w:t>General and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360"/>
              <w:spacing w:after="0" w:line="148" w:lineRule="exact"/>
              <w:rPr>
                <w:sz w:val="20"/>
                <w:szCs w:val="20"/>
                <w:color w:val="auto"/>
              </w:rPr>
            </w:pPr>
            <w:r>
              <w:rPr>
                <w:rFonts w:ascii="Arial" w:cs="Arial" w:eastAsia="Arial" w:hAnsi="Arial"/>
                <w:sz w:val="13"/>
                <w:szCs w:val="13"/>
                <w:color w:val="auto"/>
                <w:w w:val="92"/>
              </w:rPr>
              <w:t>administrative</w:t>
            </w: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49</w:t>
            </w:r>
          </w:p>
        </w:tc>
        <w:tc>
          <w:tcPr>
            <w:tcW w:w="220" w:type="dxa"/>
            <w:vAlign w:val="bottom"/>
          </w:tcPr>
          <w:p>
            <w:pPr>
              <w:spacing w:after="0"/>
              <w:rPr>
                <w:sz w:val="13"/>
                <w:szCs w:val="13"/>
                <w:color w:val="auto"/>
              </w:rPr>
            </w:pP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83</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42</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72</w:t>
            </w:r>
          </w:p>
        </w:tc>
        <w:tc>
          <w:tcPr>
            <w:tcW w:w="240" w:type="dxa"/>
            <w:vAlign w:val="bottom"/>
          </w:tcPr>
          <w:p>
            <w:pPr>
              <w:spacing w:after="0"/>
              <w:rPr>
                <w:sz w:val="13"/>
                <w:szCs w:val="13"/>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3"/>
                <w:szCs w:val="13"/>
                <w:color w:val="auto"/>
              </w:rPr>
            </w:pP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16</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24</w:t>
            </w:r>
          </w:p>
        </w:tc>
        <w:tc>
          <w:tcPr>
            <w:tcW w:w="340" w:type="dxa"/>
            <w:vAlign w:val="bottom"/>
          </w:tcPr>
          <w:p>
            <w:pPr>
              <w:ind w:left="220"/>
              <w:spacing w:after="0"/>
              <w:rPr>
                <w:sz w:val="20"/>
                <w:szCs w:val="20"/>
                <w:color w:val="auto"/>
              </w:rPr>
            </w:pPr>
            <w:r>
              <w:rPr>
                <w:rFonts w:ascii="Arial" w:cs="Arial" w:eastAsia="Arial" w:hAnsi="Arial"/>
                <w:sz w:val="12"/>
                <w:szCs w:val="12"/>
                <w:color w:val="auto"/>
                <w:w w:val="74"/>
              </w:rPr>
              <w:t>15</w:t>
            </w:r>
          </w:p>
        </w:tc>
        <w:tc>
          <w:tcPr>
            <w:tcW w:w="180" w:type="dxa"/>
            <w:vAlign w:val="bottom"/>
          </w:tcPr>
          <w:p>
            <w:pPr>
              <w:spacing w:after="0"/>
              <w:rPr>
                <w:sz w:val="13"/>
                <w:szCs w:val="13"/>
                <w:color w:val="auto"/>
              </w:rPr>
            </w:pP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21</w:t>
            </w:r>
          </w:p>
        </w:tc>
        <w:tc>
          <w:tcPr>
            <w:tcW w:w="220" w:type="dxa"/>
            <w:vAlign w:val="bottom"/>
          </w:tcPr>
          <w:p>
            <w:pPr>
              <w:spacing w:after="0"/>
              <w:rPr>
                <w:sz w:val="13"/>
                <w:szCs w:val="13"/>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3"/>
                <w:szCs w:val="13"/>
                <w:color w:val="auto"/>
              </w:rPr>
            </w:pP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12</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14</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12</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CCEEFF"/>
          </w:tcPr>
          <w:p>
            <w:pPr>
              <w:ind w:left="480"/>
              <w:spacing w:after="0" w:line="131" w:lineRule="exact"/>
              <w:rPr>
                <w:sz w:val="20"/>
                <w:szCs w:val="20"/>
                <w:color w:val="auto"/>
              </w:rPr>
            </w:pPr>
            <w:r>
              <w:rPr>
                <w:rFonts w:ascii="Arial" w:cs="Arial" w:eastAsia="Arial" w:hAnsi="Arial"/>
                <w:sz w:val="13"/>
                <w:szCs w:val="13"/>
                <w:color w:val="auto"/>
              </w:rPr>
              <w:t>Total</w:t>
            </w: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shd w:val="clear" w:color="auto" w:fill="CCEEFF"/>
          </w:tcPr>
          <w:p>
            <w:pPr>
              <w:ind w:left="620"/>
              <w:spacing w:after="0" w:line="139" w:lineRule="exact"/>
              <w:rPr>
                <w:sz w:val="20"/>
                <w:szCs w:val="20"/>
                <w:color w:val="auto"/>
              </w:rPr>
            </w:pPr>
            <w:r>
              <w:rPr>
                <w:rFonts w:ascii="Arial" w:cs="Arial" w:eastAsia="Arial" w:hAnsi="Arial"/>
                <w:sz w:val="13"/>
                <w:szCs w:val="13"/>
                <w:color w:val="auto"/>
                <w:w w:val="88"/>
              </w:rPr>
              <w:t>operating</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shd w:val="clear" w:color="auto" w:fill="CCEEFF"/>
          </w:tcPr>
          <w:p>
            <w:pPr>
              <w:ind w:left="620"/>
              <w:spacing w:after="0" w:line="148" w:lineRule="exact"/>
              <w:rPr>
                <w:sz w:val="20"/>
                <w:szCs w:val="20"/>
                <w:color w:val="auto"/>
              </w:rPr>
            </w:pPr>
            <w:r>
              <w:rPr>
                <w:rFonts w:ascii="Arial" w:cs="Arial" w:eastAsia="Arial" w:hAnsi="Arial"/>
                <w:sz w:val="13"/>
                <w:szCs w:val="13"/>
                <w:color w:val="auto"/>
                <w:w w:val="86"/>
              </w:rPr>
              <w:t>expenses</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283</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298</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210</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237</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105</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59</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65</w:t>
            </w:r>
          </w:p>
        </w:tc>
        <w:tc>
          <w:tcPr>
            <w:tcW w:w="3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74"/>
              </w:rPr>
              <w:t>57</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67</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66</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70</w:t>
            </w:r>
          </w:p>
        </w:tc>
        <w:tc>
          <w:tcPr>
            <w:tcW w:w="5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68</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63</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40" w:type="dxa"/>
            <w:vAlign w:val="bottom"/>
            <w:gridSpan w:val="2"/>
          </w:tcPr>
          <w:p>
            <w:pPr>
              <w:spacing w:after="0" w:line="136" w:lineRule="exact"/>
              <w:rPr>
                <w:sz w:val="20"/>
                <w:szCs w:val="20"/>
                <w:color w:val="auto"/>
              </w:rPr>
            </w:pPr>
            <w:r>
              <w:rPr>
                <w:rFonts w:ascii="Arial" w:cs="Arial" w:eastAsia="Arial" w:hAnsi="Arial"/>
                <w:sz w:val="13"/>
                <w:szCs w:val="13"/>
                <w:color w:val="auto"/>
              </w:rPr>
              <w:t>Income (loss) from</w:t>
            </w: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tcPr>
          <w:p>
            <w:pPr>
              <w:ind w:left="100"/>
              <w:spacing w:after="0" w:line="148" w:lineRule="exact"/>
              <w:rPr>
                <w:sz w:val="20"/>
                <w:szCs w:val="20"/>
                <w:color w:val="auto"/>
              </w:rPr>
            </w:pPr>
            <w:r>
              <w:rPr>
                <w:rFonts w:ascii="Arial" w:cs="Arial" w:eastAsia="Arial" w:hAnsi="Arial"/>
                <w:sz w:val="13"/>
                <w:szCs w:val="13"/>
                <w:color w:val="auto"/>
              </w:rPr>
              <w:t>operations</w:t>
            </w: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(295)</w:t>
            </w: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(322)</w:t>
            </w: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(214)</w:t>
            </w: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(237)</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(65)</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w:t>
            </w: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9</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1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3</w:t>
            </w:r>
          </w:p>
        </w:tc>
        <w:tc>
          <w:tcPr>
            <w:tcW w:w="180" w:type="dxa"/>
            <w:vAlign w:val="bottom"/>
          </w:tcPr>
          <w:p>
            <w:pPr>
              <w:spacing w:after="0"/>
              <w:rPr>
                <w:sz w:val="12"/>
                <w:szCs w:val="12"/>
                <w:color w:val="auto"/>
              </w:rPr>
            </w:pP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(23)</w:t>
            </w: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(16)</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Other income</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(expense), net</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line="139" w:lineRule="exact"/>
              <w:rPr>
                <w:sz w:val="20"/>
                <w:szCs w:val="20"/>
                <w:color w:val="auto"/>
              </w:rPr>
            </w:pPr>
            <w:r>
              <w:rPr>
                <w:rFonts w:ascii="Arial" w:cs="Arial" w:eastAsia="Arial" w:hAnsi="Arial"/>
                <w:sz w:val="13"/>
                <w:szCs w:val="13"/>
                <w:color w:val="auto"/>
              </w:rPr>
              <w:t>Interest income</w:t>
            </w:r>
          </w:p>
        </w:tc>
        <w:tc>
          <w:tcPr>
            <w:tcW w:w="380" w:type="dxa"/>
            <w:vAlign w:val="bottom"/>
          </w:tcPr>
          <w:p>
            <w:pPr>
              <w:jc w:val="right"/>
              <w:spacing w:after="0" w:line="139" w:lineRule="exact"/>
              <w:rPr>
                <w:sz w:val="20"/>
                <w:szCs w:val="20"/>
                <w:color w:val="auto"/>
              </w:rPr>
            </w:pPr>
            <w:r>
              <w:rPr>
                <w:rFonts w:ascii="Arial" w:cs="Arial" w:eastAsia="Arial" w:hAnsi="Arial"/>
                <w:sz w:val="13"/>
                <w:szCs w:val="13"/>
                <w:color w:val="auto"/>
              </w:rPr>
              <w:t>20</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15</w:t>
            </w: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10</w:t>
            </w: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auto"/>
              </w:rPr>
              <w:t>6</w:t>
            </w:r>
          </w:p>
        </w:tc>
        <w:tc>
          <w:tcPr>
            <w:tcW w:w="24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20"/>
              <w:spacing w:after="0" w:line="139"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1</w:t>
            </w:r>
          </w:p>
        </w:tc>
        <w:tc>
          <w:tcPr>
            <w:tcW w:w="5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1</w:t>
            </w: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2"/>
              </w:rPr>
              <w:t>Income (loss) before</w:t>
            </w: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provision for</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(benefit from)</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income taxes</w:t>
            </w:r>
          </w:p>
        </w:tc>
        <w:tc>
          <w:tcPr>
            <w:tcW w:w="6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(276)</w:t>
            </w: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(307)</w:t>
            </w:r>
          </w:p>
        </w:tc>
        <w:tc>
          <w:tcPr>
            <w:tcW w:w="6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(203)</w:t>
            </w: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(231)</w:t>
            </w: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(64)</w:t>
            </w:r>
          </w:p>
        </w:tc>
        <w:tc>
          <w:tcPr>
            <w:tcW w:w="58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(21)</w:t>
            </w:r>
          </w:p>
        </w:tc>
        <w:tc>
          <w:tcPr>
            <w:tcW w:w="6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(16)</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w:t>
            </w:r>
          </w:p>
        </w:tc>
        <w:tc>
          <w:tcPr>
            <w:tcW w:w="5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w:t>
            </w:r>
          </w:p>
        </w:tc>
        <w:tc>
          <w:tcPr>
            <w:tcW w:w="5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15</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3"/>
                <w:szCs w:val="13"/>
                <w:color w:val="auto"/>
                <w:w w:val="92"/>
              </w:rPr>
              <w:t>Provision for (benefit</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tcPr>
          <w:p>
            <w:pPr>
              <w:ind w:left="100"/>
              <w:spacing w:after="0" w:line="148" w:lineRule="exact"/>
              <w:rPr>
                <w:sz w:val="20"/>
                <w:szCs w:val="20"/>
                <w:color w:val="auto"/>
              </w:rPr>
            </w:pPr>
            <w:r>
              <w:rPr>
                <w:rFonts w:ascii="Arial" w:cs="Arial" w:eastAsia="Arial" w:hAnsi="Arial"/>
                <w:sz w:val="13"/>
                <w:szCs w:val="13"/>
                <w:color w:val="auto"/>
                <w:w w:val="90"/>
              </w:rPr>
              <w:t>from) income taxes</w:t>
            </w: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2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(47)</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1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Net income (loss)</w:t>
            </w:r>
          </w:p>
        </w:tc>
        <w:tc>
          <w:tcPr>
            <w:tcW w:w="6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(276)%</w:t>
            </w:r>
          </w:p>
        </w:tc>
        <w:tc>
          <w:tcPr>
            <w:tcW w:w="5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(307)%</w:t>
            </w:r>
          </w:p>
        </w:tc>
        <w:tc>
          <w:tcPr>
            <w:tcW w:w="6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(203)%</w:t>
            </w:r>
          </w:p>
        </w:tc>
        <w:tc>
          <w:tcPr>
            <w:tcW w:w="5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(231)%</w:t>
            </w:r>
          </w:p>
        </w:tc>
        <w:tc>
          <w:tcPr>
            <w:tcW w:w="5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(64)%</w:t>
            </w:r>
          </w:p>
        </w:tc>
        <w:tc>
          <w:tcPr>
            <w:tcW w:w="5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w:t>
            </w:r>
          </w:p>
        </w:tc>
        <w:tc>
          <w:tcPr>
            <w:tcW w:w="5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3"/>
                <w:szCs w:val="13"/>
                <w:color w:val="auto"/>
              </w:rPr>
              <w:t>10%</w:t>
            </w:r>
          </w:p>
        </w:tc>
        <w:tc>
          <w:tcPr>
            <w:tcW w:w="6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3%</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(21)%</w:t>
            </w:r>
          </w:p>
        </w:tc>
        <w:tc>
          <w:tcPr>
            <w:tcW w:w="60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(16)%</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5%</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62%</w:t>
            </w:r>
          </w:p>
        </w:tc>
        <w:tc>
          <w:tcPr>
            <w:tcW w:w="5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4" w:lineRule="exact"/>
        <w:rPr>
          <w:sz w:val="20"/>
          <w:szCs w:val="20"/>
          <w:color w:val="auto"/>
        </w:rPr>
      </w:pPr>
    </w:p>
    <w:p>
      <w:pPr>
        <w:ind w:left="860" w:hanging="403"/>
        <w:spacing w:after="0"/>
        <w:tabs>
          <w:tab w:leader="none" w:pos="8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Totals of percent of revenue may not foot due to rounding.</w:t>
      </w:r>
    </w:p>
    <w:p>
      <w:pPr>
        <w:spacing w:after="0" w:line="217" w:lineRule="exact"/>
        <w:rPr>
          <w:rFonts w:ascii="Arial" w:cs="Arial" w:eastAsia="Arial" w:hAnsi="Arial"/>
          <w:sz w:val="13"/>
          <w:szCs w:val="13"/>
          <w:color w:val="auto"/>
        </w:rPr>
      </w:pPr>
    </w:p>
    <w:p>
      <w:pPr>
        <w:ind w:left="860" w:hanging="403"/>
        <w:spacing w:after="0"/>
        <w:tabs>
          <w:tab w:leader="none" w:pos="8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Revenue by type is disaggregated as follows: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8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w w:val="92"/>
              </w:rPr>
              <w:t>Three Months Ended</w:t>
            </w: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5"/>
        </w:trPr>
        <w:tc>
          <w:tcPr>
            <w:tcW w:w="820" w:type="dxa"/>
            <w:vAlign w:val="bottom"/>
          </w:tcPr>
          <w:p>
            <w:pPr>
              <w:spacing w:after="0"/>
              <w:rPr>
                <w:sz w:val="8"/>
                <w:szCs w:val="8"/>
                <w:color w:val="auto"/>
              </w:rPr>
            </w:pPr>
          </w:p>
        </w:tc>
        <w:tc>
          <w:tcPr>
            <w:tcW w:w="54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6"/>
              </w:rPr>
              <w:t>Mar. 31,</w:t>
            </w:r>
          </w:p>
        </w:tc>
        <w:tc>
          <w:tcPr>
            <w:tcW w:w="52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5"/>
              </w:rPr>
              <w:t>Jun. 30,</w:t>
            </w:r>
          </w:p>
        </w:tc>
        <w:tc>
          <w:tcPr>
            <w:tcW w:w="56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7"/>
              </w:rPr>
              <w:t>Sept. 30,</w:t>
            </w:r>
          </w:p>
        </w:tc>
        <w:tc>
          <w:tcPr>
            <w:tcW w:w="52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4"/>
              </w:rPr>
              <w:t>Dec. 31,</w:t>
            </w:r>
          </w:p>
        </w:tc>
        <w:tc>
          <w:tcPr>
            <w:tcW w:w="54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6"/>
              </w:rPr>
              <w:t>Mar. 31,</w:t>
            </w:r>
          </w:p>
        </w:tc>
        <w:tc>
          <w:tcPr>
            <w:tcW w:w="5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1"/>
              </w:rPr>
              <w:t>Jun. 30,</w:t>
            </w:r>
          </w:p>
        </w:tc>
        <w:tc>
          <w:tcPr>
            <w:tcW w:w="56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2"/>
              </w:rPr>
              <w:t>Sept. 30,</w:t>
            </w:r>
          </w:p>
        </w:tc>
        <w:tc>
          <w:tcPr>
            <w:tcW w:w="480" w:type="dxa"/>
            <w:vAlign w:val="bottom"/>
            <w:gridSpan w:val="2"/>
          </w:tcPr>
          <w:p>
            <w:pPr>
              <w:jc w:val="center"/>
              <w:ind w:right="98"/>
              <w:spacing w:after="0" w:line="95" w:lineRule="exact"/>
              <w:rPr>
                <w:sz w:val="20"/>
                <w:szCs w:val="20"/>
                <w:color w:val="auto"/>
              </w:rPr>
            </w:pPr>
            <w:r>
              <w:rPr>
                <w:rFonts w:ascii="Arial" w:cs="Arial" w:eastAsia="Arial" w:hAnsi="Arial"/>
                <w:sz w:val="10"/>
                <w:szCs w:val="10"/>
                <w:b w:val="1"/>
                <w:bCs w:val="1"/>
                <w:color w:val="auto"/>
                <w:w w:val="89"/>
              </w:rPr>
              <w:t>Dec. 31,</w:t>
            </w:r>
          </w:p>
        </w:tc>
        <w:tc>
          <w:tcPr>
            <w:tcW w:w="40" w:type="dxa"/>
            <w:vAlign w:val="bottom"/>
          </w:tcPr>
          <w:p>
            <w:pPr>
              <w:spacing w:after="0"/>
              <w:rPr>
                <w:sz w:val="8"/>
                <w:szCs w:val="8"/>
                <w:color w:val="auto"/>
              </w:rPr>
            </w:pPr>
          </w:p>
        </w:tc>
        <w:tc>
          <w:tcPr>
            <w:tcW w:w="54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6"/>
              </w:rPr>
              <w:t>Mar. 31,</w:t>
            </w:r>
          </w:p>
        </w:tc>
        <w:tc>
          <w:tcPr>
            <w:tcW w:w="52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85"/>
              </w:rPr>
              <w:t>Jun. 30,</w:t>
            </w:r>
          </w:p>
        </w:tc>
        <w:tc>
          <w:tcPr>
            <w:tcW w:w="56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87"/>
              </w:rPr>
              <w:t>Sept. 30,</w:t>
            </w:r>
          </w:p>
        </w:tc>
        <w:tc>
          <w:tcPr>
            <w:tcW w:w="5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89"/>
              </w:rPr>
              <w:t>Dec. 31,</w:t>
            </w:r>
          </w:p>
        </w:tc>
        <w:tc>
          <w:tcPr>
            <w:tcW w:w="54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91"/>
              </w:rPr>
              <w:t>Mar. 31,</w:t>
            </w:r>
          </w:p>
        </w:tc>
        <w:tc>
          <w:tcPr>
            <w:tcW w:w="5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1"/>
              </w:rPr>
              <w:t>Jun. 30,</w:t>
            </w:r>
          </w:p>
        </w:tc>
        <w:tc>
          <w:tcPr>
            <w:tcW w:w="56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87"/>
              </w:rPr>
              <w:t>Sept. 30,</w:t>
            </w:r>
          </w:p>
        </w:tc>
        <w:tc>
          <w:tcPr>
            <w:tcW w:w="5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89"/>
              </w:rPr>
              <w:t>Dec. 31,</w:t>
            </w:r>
          </w:p>
        </w:tc>
        <w:tc>
          <w:tcPr>
            <w:tcW w:w="540" w:type="dxa"/>
            <w:vAlign w:val="bottom"/>
            <w:gridSpan w:val="2"/>
          </w:tcPr>
          <w:p>
            <w:pPr>
              <w:jc w:val="right"/>
              <w:ind w:right="180"/>
              <w:spacing w:after="0" w:line="95" w:lineRule="exact"/>
              <w:rPr>
                <w:sz w:val="20"/>
                <w:szCs w:val="20"/>
                <w:color w:val="auto"/>
              </w:rPr>
            </w:pPr>
            <w:r>
              <w:rPr>
                <w:rFonts w:ascii="Arial" w:cs="Arial" w:eastAsia="Arial" w:hAnsi="Arial"/>
                <w:sz w:val="10"/>
                <w:szCs w:val="10"/>
                <w:b w:val="1"/>
                <w:bCs w:val="1"/>
                <w:color w:val="auto"/>
                <w:w w:val="91"/>
              </w:rPr>
              <w:t>Mar. 31,</w:t>
            </w:r>
          </w:p>
        </w:tc>
        <w:tc>
          <w:tcPr>
            <w:tcW w:w="340" w:type="dxa"/>
            <w:vAlign w:val="bottom"/>
          </w:tcPr>
          <w:p>
            <w:pPr>
              <w:jc w:val="right"/>
              <w:spacing w:after="0" w:line="95" w:lineRule="exact"/>
              <w:rPr>
                <w:sz w:val="20"/>
                <w:szCs w:val="20"/>
                <w:color w:val="auto"/>
              </w:rPr>
            </w:pPr>
            <w:r>
              <w:rPr>
                <w:rFonts w:ascii="Arial" w:cs="Arial" w:eastAsia="Arial" w:hAnsi="Arial"/>
                <w:sz w:val="10"/>
                <w:szCs w:val="10"/>
                <w:b w:val="1"/>
                <w:bCs w:val="1"/>
                <w:color w:val="auto"/>
                <w:w w:val="85"/>
              </w:rPr>
              <w:t>Jun. 30,</w:t>
            </w:r>
          </w:p>
        </w:tc>
        <w:tc>
          <w:tcPr>
            <w:tcW w:w="140" w:type="dxa"/>
            <w:vAlign w:val="bottom"/>
          </w:tcPr>
          <w:p>
            <w:pPr>
              <w:spacing w:after="0"/>
              <w:rPr>
                <w:sz w:val="8"/>
                <w:szCs w:val="8"/>
                <w:color w:val="auto"/>
              </w:rPr>
            </w:pPr>
          </w:p>
        </w:tc>
      </w:tr>
      <w:tr>
        <w:trPr>
          <w:trHeight w:val="126"/>
        </w:trPr>
        <w:tc>
          <w:tcPr>
            <w:tcW w:w="820" w:type="dxa"/>
            <w:vAlign w:val="bottom"/>
          </w:tcPr>
          <w:p>
            <w:pPr>
              <w:spacing w:after="0"/>
              <w:rPr>
                <w:sz w:val="10"/>
                <w:szCs w:val="10"/>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2023</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2023</w:t>
            </w:r>
          </w:p>
        </w:tc>
        <w:tc>
          <w:tcPr>
            <w:tcW w:w="140" w:type="dxa"/>
            <w:vAlign w:val="bottom"/>
          </w:tcPr>
          <w:p>
            <w:pPr>
              <w:spacing w:after="0"/>
              <w:rPr>
                <w:sz w:val="10"/>
                <w:szCs w:val="10"/>
                <w:color w:val="auto"/>
              </w:rPr>
            </w:pPr>
          </w:p>
        </w:tc>
      </w:tr>
      <w:tr>
        <w:trPr>
          <w:trHeight w:val="107"/>
        </w:trPr>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6"/>
          </w:tcPr>
          <w:p>
            <w:pPr>
              <w:jc w:val="right"/>
              <w:ind w:right="40"/>
              <w:spacing w:after="0" w:line="107" w:lineRule="exact"/>
              <w:rPr>
                <w:sz w:val="20"/>
                <w:szCs w:val="20"/>
                <w:color w:val="auto"/>
              </w:rPr>
            </w:pPr>
            <w:r>
              <w:rPr>
                <w:rFonts w:ascii="Arial" w:cs="Arial" w:eastAsia="Arial" w:hAnsi="Arial"/>
                <w:sz w:val="8"/>
                <w:szCs w:val="8"/>
                <w:b w:val="1"/>
                <w:bCs w:val="1"/>
                <w:color w:val="auto"/>
              </w:rPr>
              <w:t>(as a percent of revenue)</w:t>
            </w:r>
            <w:r>
              <w:rPr>
                <w:rFonts w:ascii="Arial" w:cs="Arial" w:eastAsia="Arial" w:hAnsi="Arial"/>
                <w:sz w:val="12"/>
                <w:szCs w:val="12"/>
                <w:b w:val="1"/>
                <w:bCs w:val="1"/>
                <w:color w:val="auto"/>
                <w:vertAlign w:val="superscript"/>
              </w:rPr>
              <w:t>(1)</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820" w:type="dxa"/>
            <w:vAlign w:val="bottom"/>
            <w:shd w:val="clear" w:color="auto" w:fill="CCEEFF"/>
          </w:tcPr>
          <w:p>
            <w:pPr>
              <w:jc w:val="right"/>
              <w:ind w:right="157"/>
              <w:spacing w:after="0" w:line="139" w:lineRule="exact"/>
              <w:rPr>
                <w:sz w:val="20"/>
                <w:szCs w:val="20"/>
                <w:color w:val="auto"/>
              </w:rPr>
            </w:pPr>
            <w:r>
              <w:rPr>
                <w:rFonts w:ascii="Arial" w:cs="Arial" w:eastAsia="Arial" w:hAnsi="Arial"/>
                <w:sz w:val="13"/>
                <w:szCs w:val="13"/>
                <w:color w:val="auto"/>
                <w:w w:val="85"/>
              </w:rPr>
              <w:t>Transaction</w:t>
            </w:r>
          </w:p>
        </w:tc>
        <w:tc>
          <w:tcPr>
            <w:tcW w:w="5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73%</w:t>
            </w:r>
          </w:p>
        </w:tc>
        <w:tc>
          <w:tcPr>
            <w:tcW w:w="5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72%</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66%</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66%</w:t>
            </w:r>
          </w:p>
        </w:tc>
        <w:tc>
          <w:tcPr>
            <w:tcW w:w="5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80%</w:t>
            </w:r>
          </w:p>
        </w:tc>
        <w:tc>
          <w:tcPr>
            <w:tcW w:w="5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87%</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80%</w:t>
            </w:r>
          </w:p>
        </w:tc>
        <w:tc>
          <w:tcPr>
            <w:tcW w:w="4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73%</w:t>
            </w:r>
          </w:p>
        </w:tc>
        <w:tc>
          <w:tcPr>
            <w:tcW w:w="58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73%</w:t>
            </w:r>
          </w:p>
        </w:tc>
        <w:tc>
          <w:tcPr>
            <w:tcW w:w="5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68%</w:t>
            </w:r>
          </w:p>
        </w:tc>
        <w:tc>
          <w:tcPr>
            <w:tcW w:w="5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70%</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65%</w:t>
            </w:r>
          </w:p>
        </w:tc>
        <w:tc>
          <w:tcPr>
            <w:tcW w:w="5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69%</w:t>
            </w:r>
          </w:p>
        </w:tc>
        <w:tc>
          <w:tcPr>
            <w:tcW w:w="5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72%</w:t>
            </w:r>
          </w:p>
        </w:tc>
        <w:tc>
          <w:tcPr>
            <w:tcW w:w="56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72%</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70%</w:t>
            </w:r>
          </w:p>
        </w:tc>
        <w:tc>
          <w:tcPr>
            <w:tcW w:w="5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74%</w:t>
            </w:r>
          </w:p>
        </w:tc>
        <w:tc>
          <w:tcPr>
            <w:tcW w:w="4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71%</w:t>
            </w:r>
          </w:p>
        </w:tc>
      </w:tr>
      <w:tr>
        <w:trPr>
          <w:trHeight w:val="130"/>
        </w:trPr>
        <w:tc>
          <w:tcPr>
            <w:tcW w:w="820" w:type="dxa"/>
            <w:vAlign w:val="bottom"/>
          </w:tcPr>
          <w:p>
            <w:pPr>
              <w:jc w:val="right"/>
              <w:ind w:right="157"/>
              <w:spacing w:after="0" w:line="131" w:lineRule="exact"/>
              <w:rPr>
                <w:sz w:val="20"/>
                <w:szCs w:val="20"/>
                <w:color w:val="auto"/>
              </w:rPr>
            </w:pPr>
            <w:r>
              <w:rPr>
                <w:rFonts w:ascii="Arial" w:cs="Arial" w:eastAsia="Arial" w:hAnsi="Arial"/>
                <w:sz w:val="13"/>
                <w:szCs w:val="13"/>
                <w:color w:val="auto"/>
                <w:w w:val="90"/>
              </w:rPr>
              <w:t>Advertising</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820" w:type="dxa"/>
            <w:vAlign w:val="bottom"/>
          </w:tcPr>
          <w:p>
            <w:pPr>
              <w:jc w:val="right"/>
              <w:ind w:right="157"/>
              <w:spacing w:after="0" w:line="148" w:lineRule="exact"/>
              <w:rPr>
                <w:sz w:val="20"/>
                <w:szCs w:val="20"/>
                <w:color w:val="auto"/>
              </w:rPr>
            </w:pPr>
            <w:r>
              <w:rPr>
                <w:rFonts w:ascii="Arial" w:cs="Arial" w:eastAsia="Arial" w:hAnsi="Arial"/>
                <w:sz w:val="13"/>
                <w:szCs w:val="13"/>
                <w:color w:val="auto"/>
              </w:rPr>
              <w:t>and other</w:t>
            </w:r>
          </w:p>
        </w:tc>
        <w:tc>
          <w:tcPr>
            <w:tcW w:w="5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27</w:t>
            </w: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28</w:t>
            </w:r>
          </w:p>
        </w:tc>
        <w:tc>
          <w:tcPr>
            <w:tcW w:w="180" w:type="dxa"/>
            <w:vAlign w:val="bottom"/>
          </w:tcPr>
          <w:p>
            <w:pPr>
              <w:spacing w:after="0"/>
              <w:rPr>
                <w:sz w:val="13"/>
                <w:szCs w:val="13"/>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34</w:t>
            </w:r>
          </w:p>
        </w:tc>
        <w:tc>
          <w:tcPr>
            <w:tcW w:w="180" w:type="dxa"/>
            <w:vAlign w:val="bottom"/>
          </w:tcPr>
          <w:p>
            <w:pPr>
              <w:spacing w:after="0"/>
              <w:rPr>
                <w:sz w:val="13"/>
                <w:szCs w:val="13"/>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34</w:t>
            </w:r>
          </w:p>
        </w:tc>
        <w:tc>
          <w:tcPr>
            <w:tcW w:w="180" w:type="dxa"/>
            <w:vAlign w:val="bottom"/>
          </w:tcPr>
          <w:p>
            <w:pPr>
              <w:spacing w:after="0"/>
              <w:rPr>
                <w:sz w:val="13"/>
                <w:szCs w:val="13"/>
                <w:color w:val="auto"/>
              </w:rPr>
            </w:pPr>
          </w:p>
        </w:tc>
        <w:tc>
          <w:tcPr>
            <w:tcW w:w="5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w:t>
            </w:r>
          </w:p>
        </w:tc>
        <w:tc>
          <w:tcPr>
            <w:tcW w:w="480" w:type="dxa"/>
            <w:vAlign w:val="bottom"/>
            <w:gridSpan w:val="2"/>
          </w:tcPr>
          <w:p>
            <w:pPr>
              <w:jc w:val="right"/>
              <w:ind w:right="98"/>
              <w:spacing w:after="0" w:line="148" w:lineRule="exact"/>
              <w:rPr>
                <w:sz w:val="20"/>
                <w:szCs w:val="20"/>
                <w:color w:val="auto"/>
              </w:rPr>
            </w:pPr>
            <w:r>
              <w:rPr>
                <w:rFonts w:ascii="Arial" w:cs="Arial" w:eastAsia="Arial" w:hAnsi="Arial"/>
                <w:sz w:val="13"/>
                <w:szCs w:val="13"/>
                <w:color w:val="auto"/>
              </w:rPr>
              <w:t>27</w:t>
            </w:r>
          </w:p>
        </w:tc>
        <w:tc>
          <w:tcPr>
            <w:tcW w:w="5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28</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32</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30</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35</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31</w:t>
            </w:r>
          </w:p>
        </w:tc>
        <w:tc>
          <w:tcPr>
            <w:tcW w:w="180" w:type="dxa"/>
            <w:vAlign w:val="bottom"/>
          </w:tcPr>
          <w:p>
            <w:pPr>
              <w:spacing w:after="0"/>
              <w:rPr>
                <w:sz w:val="13"/>
                <w:szCs w:val="13"/>
                <w:color w:val="auto"/>
              </w:rPr>
            </w:pP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w:t>
            </w:r>
          </w:p>
        </w:tc>
        <w:tc>
          <w:tcPr>
            <w:tcW w:w="5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w:t>
            </w:r>
          </w:p>
        </w:tc>
        <w:tc>
          <w:tcPr>
            <w:tcW w:w="5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30</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26</w:t>
            </w:r>
          </w:p>
        </w:tc>
        <w:tc>
          <w:tcPr>
            <w:tcW w:w="180" w:type="dxa"/>
            <w:vAlign w:val="bottom"/>
          </w:tcPr>
          <w:p>
            <w:pPr>
              <w:spacing w:after="0"/>
              <w:rPr>
                <w:sz w:val="13"/>
                <w:szCs w:val="13"/>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3"/>
                <w:szCs w:val="13"/>
                <w:color w:val="auto"/>
              </w:rPr>
            </w:pPr>
          </w:p>
        </w:tc>
      </w:tr>
      <w:tr>
        <w:trPr>
          <w:trHeight w:val="130"/>
        </w:trPr>
        <w:tc>
          <w:tcPr>
            <w:tcW w:w="820" w:type="dxa"/>
            <w:vAlign w:val="bottom"/>
            <w:shd w:val="clear" w:color="auto" w:fill="CCEEFF"/>
          </w:tcPr>
          <w:p>
            <w:pPr>
              <w:jc w:val="right"/>
              <w:ind w:right="257"/>
              <w:spacing w:after="0" w:line="131" w:lineRule="exact"/>
              <w:rPr>
                <w:sz w:val="20"/>
                <w:szCs w:val="20"/>
                <w:color w:val="auto"/>
              </w:rPr>
            </w:pPr>
            <w:r>
              <w:rPr>
                <w:rFonts w:ascii="Arial" w:cs="Arial" w:eastAsia="Arial" w:hAnsi="Arial"/>
                <w:sz w:val="13"/>
                <w:szCs w:val="13"/>
                <w:color w:val="auto"/>
              </w:rPr>
              <w:t>Total</w:t>
            </w: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8"/>
        </w:trPr>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revenue</w:t>
            </w:r>
          </w:p>
        </w:tc>
        <w:tc>
          <w:tcPr>
            <w:tcW w:w="5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4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4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100%</w:t>
            </w:r>
          </w:p>
        </w:tc>
      </w:tr>
      <w:tr>
        <w:trPr>
          <w:trHeight w:val="20"/>
        </w:trPr>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1" w:lineRule="exact"/>
        <w:rPr>
          <w:sz w:val="20"/>
          <w:szCs w:val="20"/>
          <w:color w:val="auto"/>
        </w:rPr>
      </w:pPr>
    </w:p>
    <w:p>
      <w:pPr>
        <w:ind w:left="760" w:hanging="303"/>
        <w:spacing w:after="0"/>
        <w:tabs>
          <w:tab w:leader="none" w:pos="7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Totals of percent of revenue may not foot due to rounding.</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340"/>
          </w:cols>
          <w:pgMar w:left="320" w:top="440"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Quarterly Trends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Revenue</w:t>
      </w:r>
    </w:p>
    <w:p>
      <w:pPr>
        <w:spacing w:after="0" w:line="10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On a quarterly basis, our total revenue increased sequentially for all periods presented, with the exception of the third quarter of 2020, the first quarter of 2021, and the second quarter of 2023, as a result of increases in GTV and orders.</w:t>
      </w:r>
    </w:p>
    <w:p>
      <w:pPr>
        <w:spacing w:after="0" w:line="165"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On a quarterly basis, transaction revenue increased sequentially quarter over quarter for all periods presented with the exception of the third quarter of 2020, the first, second, and fourth quarters of 2021, and the second quarter of 2023. The overall increase in transaction revenue was primarily driven by attracting and engaging customers, optimization of retailer and customer fees, the addition of more retail partners, and the introduction of new fulfillment options. The COVID-19 pandemic accelerated these trends beginning in the first quarter of 2020. In 2021, the effects of the COVID-19 pandemic started to subside and average order values began to normalize as consumers returned to pre-COVID grocery shopping behaviors. Commencing in the first half of 2022, average grocery prices on Instacart increased due to higher inflation, which has had a positive effect on GTV and average order values. However, customers have also been purchasing fewer items on average per order and shifting toward lower-price product categories on Instacart, partially offsetting the effects of inflation and driving average order values back down. While we do not expect our future growth rates to approach levels experienced during the COVID-19 pandemic and its variant outbreaks, we are focused on continuing to grow our transaction revenue over time. In the near term, we expect our transaction revenue, GTV, and average order values to also be impacted by the factors described in the section titled “—Our Financial Model—Core Principals of Our Financial Model—Grow Relationships with Brands,” including ongoing macroeconomic uncertainty and recession risks as well as the cessation of government stimulus programs (including the termination of certain EBT SNAP benefits in March 2023).</w:t>
      </w:r>
    </w:p>
    <w:p>
      <w:pPr>
        <w:spacing w:after="0" w:line="176"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On a quarterly basis, advertising and other revenue increased sequentially quarter over quarter for all periods presented with the exception of the first and third quarters of 2021, the first quarter of 2022, and the first quarter of 2023, primarily due to the seasonality of our brand partners’ advertising budgets. The overall increase in advertising and other revenue was primarily driven by interrelated factors including the launch of new advertising features and products, an increased number of brands on Instacart, continued utilization of our Sponsored Product ads offering, and growth in orders and GTV.</w:t>
      </w:r>
    </w:p>
    <w:p>
      <w:pPr>
        <w:spacing w:after="0" w:line="181"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Advertising and other revenue was generally high in the fourth quarter and low in the first quarter of a given year due to the seasonality in advertising and other revenue as a result of how advertisers deploy their budgets. In 2022 and the first six months of 2023, we continued seeing strong growth in our advertising and other revenue, driven by increased spend by our emerging brand partners and growth in our display ads offerings. However, in the first six months of 2023 our advertising performance was impacted by changes in spend by certain brand partners due to macroeconomic uncertainty and changes in our brand partners’ businesses and performance. In addition, we expect our advertising and other revenue to be negatively impacted over the near term due to the factors described in the section titled “—Our Financial Model—Core Principals of Our Financial Model—Grow Relationships with Brands.” Moreover, demand in the future may be further impacted if such factors persist and depending on market acceptance of our Ads offerings.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Cost of Revenue</w:t>
      </w:r>
    </w:p>
    <w:p>
      <w:pPr>
        <w:spacing w:after="0" w:line="108"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On a quarterly basis, cost of revenue increased sequentially for all quarters presented with the exception of the third quarter of 2020, the second quarter of 2021, the fourth quarter of 2022, and the first quarter of 2023, primarily driven by the growth of activity on Instacart. Cost of revenue as a percent of revenue primarily trended downward for the quarters presented due to increases in total revenue, increasing operational efficiencies, benefits resulting from economies of scale, and decreasing headcount costs as a result of a decrease in in-store shoppers.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760"/>
          </w:cols>
          <w:pgMar w:left="320" w:top="440" w:right="81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Operations and Support</w:t>
      </w:r>
    </w:p>
    <w:p>
      <w:pPr>
        <w:spacing w:after="0" w:line="108" w:lineRule="exact"/>
        <w:rPr>
          <w:sz w:val="20"/>
          <w:szCs w:val="20"/>
          <w:color w:val="auto"/>
        </w:rPr>
      </w:pPr>
    </w:p>
    <w:p>
      <w:pPr>
        <w:ind w:left="460" w:right="220" w:firstLine="413"/>
        <w:spacing w:after="0" w:line="274" w:lineRule="auto"/>
        <w:rPr>
          <w:sz w:val="20"/>
          <w:szCs w:val="20"/>
          <w:color w:val="auto"/>
        </w:rPr>
      </w:pPr>
      <w:r>
        <w:rPr>
          <w:rFonts w:ascii="Arial" w:cs="Arial" w:eastAsia="Arial" w:hAnsi="Arial"/>
          <w:sz w:val="16"/>
          <w:szCs w:val="16"/>
          <w:color w:val="auto"/>
        </w:rPr>
        <w:t>On a quarterly basis, operations and support expense fluctuated primarily due to growth of activity on Instacart, increase in employees and outsourced customer experience agents, and level of full-service shopper acquisition costs. The significant increase in the second quarter of 2020 was due to increased demand for full-service shoppers and supplies for sanitation and safety due to the COVID-19 pandemic. Operations and support expense as a percent of revenue decreased through the second quarter of 2020 before stabilizing due to business process improvement, decreased reliance on outsourced customer experience agents, and benefits resulting from economies of scale.</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Research and Development</w:t>
      </w:r>
    </w:p>
    <w:p>
      <w:pPr>
        <w:spacing w:after="0" w:line="108"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On a quarterly basis, research and development expense increased sequentially for all quarters compared to the corresponding prior year period primarily driven by increased compensation costs as a result of additional headcount to support continued innovation, increased fees for engineering tools and subscriptions, and increased consulting costs. In the fourth quarter of 2022 and the first and second quarter of 2023, the increase in research and development expense was primarily driven by bonus expense, including employee elections to receive cash in lieu of a portion of their equity awards. In 2021 and the first half of 2022, our research and development expense increased primarily as a result of rapid scaling of headcount. In the second half of 2022, our focus shifted toward driving more efficiencies in our research and development function. Research and development expense as a percent of revenue has generally stabilized since the third quarter of 2020 as costs have scaled with revenue growth due to ongoing improvements and maintenance of our offerings, including the hiring of engineering, product development, and design employees to support these efforts. We expect that research and development expense will increase on an absolute dollar basis for the foreseeable future.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Sales and Marketing</w:t>
      </w:r>
    </w:p>
    <w:p>
      <w:pPr>
        <w:spacing w:after="0" w:line="108" w:lineRule="exact"/>
        <w:rPr>
          <w:sz w:val="20"/>
          <w:szCs w:val="20"/>
          <w:color w:val="auto"/>
        </w:rPr>
      </w:pPr>
    </w:p>
    <w:p>
      <w:pPr>
        <w:ind w:left="460" w:right="80" w:firstLine="413"/>
        <w:spacing w:after="0" w:line="268" w:lineRule="auto"/>
        <w:rPr>
          <w:sz w:val="20"/>
          <w:szCs w:val="20"/>
          <w:color w:val="auto"/>
        </w:rPr>
      </w:pPr>
      <w:r>
        <w:rPr>
          <w:rFonts w:ascii="Arial" w:cs="Arial" w:eastAsia="Arial" w:hAnsi="Arial"/>
          <w:sz w:val="16"/>
          <w:szCs w:val="16"/>
          <w:color w:val="auto"/>
        </w:rPr>
        <w:t>On a quarterly basis, sales and marketing expense has increased sequentially for all quarters since the third quarter of 2020 compared to the corresponding prior year period, with the exception of the second quarter of 2023, primarily driven by an increase in marketing programs intended to drive revenue growth, increased compensation costs due to additional headcount in our sales and marketing organization, and costs related to marketing projects and campaigns. Sales and marketing expense as a percent of revenue trended downward until the third quarter of 2020 and has since fluctuated but generally trended upward, primarily due to an increased focus on marketing programs following a reduction in our marketing spend during the second and third quarters of 2021 as we re-assessed our investment goals, which increased focus has been driven by greater confidence in our ability to drive growth through sales and marketing spend. In the second half of 2022 and continuing in the first half of 2023, we began to optimize our sales and marketing expense across a variety of channels intended to focus on customer acquisition spend where we believe we can earn positive return on investment across categories, including performance marketing, demand generation partnerships, and brand development to attract new customers, reengage customers that have stopped using Instacart, and increase customer engagement. However, we are still early in our opportunity and intend to continue to increase our customer acquisition spend across categories.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General and Administrative</w:t>
      </w:r>
    </w:p>
    <w:p>
      <w:pPr>
        <w:spacing w:after="0" w:line="108" w:lineRule="exact"/>
        <w:rPr>
          <w:sz w:val="20"/>
          <w:szCs w:val="20"/>
          <w:color w:val="auto"/>
        </w:rPr>
      </w:pPr>
    </w:p>
    <w:p>
      <w:pPr>
        <w:ind w:left="460" w:right="120" w:firstLine="413"/>
        <w:spacing w:after="0" w:line="291" w:lineRule="auto"/>
        <w:rPr>
          <w:sz w:val="20"/>
          <w:szCs w:val="20"/>
          <w:color w:val="auto"/>
        </w:rPr>
      </w:pPr>
      <w:r>
        <w:rPr>
          <w:rFonts w:ascii="Arial" w:cs="Arial" w:eastAsia="Arial" w:hAnsi="Arial"/>
          <w:sz w:val="15"/>
          <w:szCs w:val="15"/>
          <w:color w:val="auto"/>
        </w:rPr>
        <w:t>On a quarterly basis, general and administrative expense fluctuated in the quarters presented but generally trended upward on an absolute dollar basis primarily due to increased compensation costs as a result of additional headcount; increased consulting and professional fees related to legal, tax, and recruiting professional services; increased reserves for sales and indirect taxes and legal matters and settlements; policy spend; and increased focus on systems and controls to scale our internal support functions alongside our business. General and administrative expense as a percent of revenue initially fluctuated in the quarters presented but has generally stabilized since the first quarter of 2020 as costs continue to scale with the growth of the business with certain periods experiencing fluctuations due to legal settlements. In the first and second quarters of 2023, general and administrative expense decreased from the prior period primarily as a result of lower fees related to legal matters and settlements.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80"/>
          </w:cols>
          <w:pgMar w:left="320" w:top="440" w:right="79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Income (Expense), Net</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Other income (expense), net was not material for the quarters presented with the exception of the fourth quarter of 2021, which was primarily due to income related to legal settlements.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Interest Income</w:t>
      </w:r>
    </w:p>
    <w:p>
      <w:pPr>
        <w:spacing w:after="0" w:line="108" w:lineRule="exact"/>
        <w:rPr>
          <w:sz w:val="20"/>
          <w:szCs w:val="20"/>
          <w:color w:val="auto"/>
        </w:rPr>
      </w:pPr>
    </w:p>
    <w:p>
      <w:pPr>
        <w:jc w:val="both"/>
        <w:ind w:left="460" w:right="40" w:firstLine="413"/>
        <w:spacing w:after="0" w:line="260" w:lineRule="auto"/>
        <w:rPr>
          <w:sz w:val="20"/>
          <w:szCs w:val="20"/>
          <w:color w:val="auto"/>
        </w:rPr>
      </w:pPr>
      <w:r>
        <w:rPr>
          <w:rFonts w:ascii="Arial" w:cs="Arial" w:eastAsia="Arial" w:hAnsi="Arial"/>
          <w:sz w:val="17"/>
          <w:szCs w:val="17"/>
          <w:color w:val="auto"/>
        </w:rPr>
        <w:t>Interest income generally decreased as a result of a change in mix of investments, including interest-bearing marketable securities. Starting in the second quarter of 2022, interest income increased primarily due to higher average interest rates earned on our cash and cash equivalents and short-term investments.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Provision for (Benefit from) Income Taxes</w:t>
      </w:r>
    </w:p>
    <w:p>
      <w:pPr>
        <w:spacing w:after="0" w:line="108" w:lineRule="exact"/>
        <w:rPr>
          <w:sz w:val="20"/>
          <w:szCs w:val="20"/>
          <w:color w:val="auto"/>
        </w:rPr>
      </w:pPr>
    </w:p>
    <w:p>
      <w:pPr>
        <w:jc w:val="both"/>
        <w:ind w:left="460" w:right="40" w:firstLine="413"/>
        <w:spacing w:after="0" w:line="260" w:lineRule="auto"/>
        <w:rPr>
          <w:sz w:val="20"/>
          <w:szCs w:val="20"/>
          <w:color w:val="auto"/>
        </w:rPr>
      </w:pPr>
      <w:r>
        <w:rPr>
          <w:rFonts w:ascii="Arial" w:cs="Arial" w:eastAsia="Arial" w:hAnsi="Arial"/>
          <w:sz w:val="17"/>
          <w:szCs w:val="17"/>
          <w:color w:val="auto"/>
        </w:rPr>
        <w:t>Provision for (benefit from) income taxes was not material for the quarters presented with the exception of the fourth quarter of 2022 due to a tax benefit, which was primarily driven by a $358 million release of our valuation allowance in the United States and the first and second quarters of 2023, which was primarily due to pre-tax income in the United States.</w:t>
      </w:r>
    </w:p>
    <w:p>
      <w:pPr>
        <w:spacing w:after="0" w:line="11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720"/>
          </w:cols>
          <w:pgMar w:left="320" w:top="440" w:right="85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Reconciliations of Non-GAAP Financial Measures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Reconciliation of Net Income (Loss) to Adjusted EBITDA and Calculation of Adjusted EBITDA as a Percent of GTV and Adjusted EBITDA Margin</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35"/>
        </w:trPr>
        <w:tc>
          <w:tcPr>
            <w:tcW w:w="800" w:type="dxa"/>
            <w:vAlign w:val="bottom"/>
            <w:gridSpan w:val="2"/>
          </w:tcPr>
          <w:p>
            <w:pPr>
              <w:spacing w:after="0"/>
              <w:rPr>
                <w:sz w:val="11"/>
                <w:szCs w:val="11"/>
                <w:color w:val="auto"/>
              </w:rPr>
            </w:pPr>
          </w:p>
        </w:tc>
        <w:tc>
          <w:tcPr>
            <w:tcW w:w="9980" w:type="dxa"/>
            <w:vAlign w:val="bottom"/>
            <w:tcBorders>
              <w:bottom w:val="single" w:sz="8" w:color="auto"/>
            </w:tcBorders>
            <w:gridSpan w:val="60"/>
          </w:tcPr>
          <w:p>
            <w:pPr>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9"/>
                <w:szCs w:val="9"/>
                <w:color w:val="auto"/>
              </w:rPr>
            </w:pPr>
          </w:p>
        </w:tc>
        <w:tc>
          <w:tcPr>
            <w:tcW w:w="46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Jun. 30,</w:t>
            </w:r>
          </w:p>
        </w:tc>
        <w:tc>
          <w:tcPr>
            <w:tcW w:w="40" w:type="dxa"/>
            <w:vAlign w:val="bottom"/>
          </w:tcPr>
          <w:p>
            <w:pPr>
              <w:spacing w:after="0"/>
              <w:rPr>
                <w:sz w:val="9"/>
                <w:szCs w:val="9"/>
                <w:color w:val="auto"/>
              </w:rPr>
            </w:pPr>
          </w:p>
        </w:tc>
        <w:tc>
          <w:tcPr>
            <w:tcW w:w="56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Sept. 30,</w:t>
            </w:r>
          </w:p>
        </w:tc>
        <w:tc>
          <w:tcPr>
            <w:tcW w:w="100" w:type="dxa"/>
            <w:vAlign w:val="bottom"/>
          </w:tcPr>
          <w:p>
            <w:pPr>
              <w:spacing w:after="0"/>
              <w:rPr>
                <w:sz w:val="9"/>
                <w:szCs w:val="9"/>
                <w:color w:val="auto"/>
              </w:rPr>
            </w:pPr>
          </w:p>
        </w:tc>
        <w:tc>
          <w:tcPr>
            <w:tcW w:w="50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Dec. 31,</w:t>
            </w:r>
          </w:p>
        </w:tc>
        <w:tc>
          <w:tcPr>
            <w:tcW w:w="56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Mar. 31,</w:t>
            </w:r>
          </w:p>
        </w:tc>
        <w:tc>
          <w:tcPr>
            <w:tcW w:w="20" w:type="dxa"/>
            <w:vAlign w:val="bottom"/>
          </w:tcPr>
          <w:p>
            <w:pPr>
              <w:spacing w:after="0"/>
              <w:rPr>
                <w:sz w:val="9"/>
                <w:szCs w:val="9"/>
                <w:color w:val="auto"/>
              </w:rPr>
            </w:pPr>
          </w:p>
        </w:tc>
        <w:tc>
          <w:tcPr>
            <w:tcW w:w="580" w:type="dxa"/>
            <w:vAlign w:val="bottom"/>
            <w:gridSpan w:val="3"/>
          </w:tcPr>
          <w:p>
            <w:pPr>
              <w:ind w:left="20"/>
              <w:spacing w:after="0" w:line="111" w:lineRule="exact"/>
              <w:rPr>
                <w:sz w:val="20"/>
                <w:szCs w:val="20"/>
                <w:color w:val="auto"/>
              </w:rPr>
            </w:pPr>
            <w:r>
              <w:rPr>
                <w:rFonts w:ascii="Arial" w:cs="Arial" w:eastAsia="Arial" w:hAnsi="Arial"/>
                <w:sz w:val="11"/>
                <w:szCs w:val="11"/>
                <w:b w:val="1"/>
                <w:bCs w:val="1"/>
                <w:color w:val="auto"/>
              </w:rPr>
              <w:t>Jun. 30,</w:t>
            </w:r>
          </w:p>
        </w:tc>
        <w:tc>
          <w:tcPr>
            <w:tcW w:w="60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Sept. 30,</w:t>
            </w:r>
          </w:p>
        </w:tc>
        <w:tc>
          <w:tcPr>
            <w:tcW w:w="50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Dec. 31,</w:t>
            </w:r>
          </w:p>
        </w:tc>
        <w:tc>
          <w:tcPr>
            <w:tcW w:w="20" w:type="dxa"/>
            <w:vAlign w:val="bottom"/>
          </w:tcPr>
          <w:p>
            <w:pPr>
              <w:spacing w:after="0"/>
              <w:rPr>
                <w:sz w:val="9"/>
                <w:szCs w:val="9"/>
                <w:color w:val="auto"/>
              </w:rPr>
            </w:pPr>
          </w:p>
        </w:tc>
        <w:tc>
          <w:tcPr>
            <w:tcW w:w="58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Mar. 31,</w:t>
            </w:r>
          </w:p>
        </w:tc>
        <w:tc>
          <w:tcPr>
            <w:tcW w:w="500" w:type="dxa"/>
            <w:vAlign w:val="bottom"/>
            <w:gridSpan w:val="3"/>
          </w:tcPr>
          <w:p>
            <w:pPr>
              <w:ind w:left="20"/>
              <w:spacing w:after="0" w:line="111" w:lineRule="exact"/>
              <w:rPr>
                <w:sz w:val="20"/>
                <w:szCs w:val="20"/>
                <w:color w:val="auto"/>
              </w:rPr>
            </w:pPr>
            <w:r>
              <w:rPr>
                <w:rFonts w:ascii="Arial" w:cs="Arial" w:eastAsia="Arial" w:hAnsi="Arial"/>
                <w:sz w:val="11"/>
                <w:szCs w:val="11"/>
                <w:b w:val="1"/>
                <w:bCs w:val="1"/>
                <w:color w:val="auto"/>
              </w:rPr>
              <w:t>Jun. 30,</w:t>
            </w:r>
          </w:p>
        </w:tc>
        <w:tc>
          <w:tcPr>
            <w:tcW w:w="40" w:type="dxa"/>
            <w:vAlign w:val="bottom"/>
          </w:tcPr>
          <w:p>
            <w:pPr>
              <w:spacing w:after="0"/>
              <w:rPr>
                <w:sz w:val="9"/>
                <w:szCs w:val="9"/>
                <w:color w:val="auto"/>
              </w:rPr>
            </w:pPr>
          </w:p>
        </w:tc>
        <w:tc>
          <w:tcPr>
            <w:tcW w:w="52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Sept. 30,</w:t>
            </w:r>
          </w:p>
        </w:tc>
        <w:tc>
          <w:tcPr>
            <w:tcW w:w="100" w:type="dxa"/>
            <w:vAlign w:val="bottom"/>
          </w:tcPr>
          <w:p>
            <w:pPr>
              <w:spacing w:after="0"/>
              <w:rPr>
                <w:sz w:val="9"/>
                <w:szCs w:val="9"/>
                <w:color w:val="auto"/>
              </w:rPr>
            </w:pPr>
          </w:p>
        </w:tc>
        <w:tc>
          <w:tcPr>
            <w:tcW w:w="48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Dec. 31,</w:t>
            </w:r>
          </w:p>
        </w:tc>
        <w:tc>
          <w:tcPr>
            <w:tcW w:w="20" w:type="dxa"/>
            <w:vAlign w:val="bottom"/>
          </w:tcPr>
          <w:p>
            <w:pPr>
              <w:spacing w:after="0"/>
              <w:rPr>
                <w:sz w:val="9"/>
                <w:szCs w:val="9"/>
                <w:color w:val="auto"/>
              </w:rPr>
            </w:pPr>
          </w:p>
        </w:tc>
        <w:tc>
          <w:tcPr>
            <w:tcW w:w="56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Mar. 31,</w:t>
            </w:r>
          </w:p>
        </w:tc>
        <w:tc>
          <w:tcPr>
            <w:tcW w:w="20" w:type="dxa"/>
            <w:vAlign w:val="bottom"/>
          </w:tcPr>
          <w:p>
            <w:pPr>
              <w:spacing w:after="0"/>
              <w:rPr>
                <w:sz w:val="9"/>
                <w:szCs w:val="9"/>
                <w:color w:val="auto"/>
              </w:rPr>
            </w:pPr>
          </w:p>
        </w:tc>
        <w:tc>
          <w:tcPr>
            <w:tcW w:w="500" w:type="dxa"/>
            <w:vAlign w:val="bottom"/>
            <w:gridSpan w:val="3"/>
          </w:tcPr>
          <w:p>
            <w:pPr>
              <w:ind w:left="20"/>
              <w:spacing w:after="0" w:line="111" w:lineRule="exact"/>
              <w:rPr>
                <w:sz w:val="20"/>
                <w:szCs w:val="20"/>
                <w:color w:val="auto"/>
              </w:rPr>
            </w:pPr>
            <w:r>
              <w:rPr>
                <w:rFonts w:ascii="Arial" w:cs="Arial" w:eastAsia="Arial" w:hAnsi="Arial"/>
                <w:sz w:val="11"/>
                <w:szCs w:val="11"/>
                <w:b w:val="1"/>
                <w:bCs w:val="1"/>
                <w:color w:val="auto"/>
              </w:rPr>
              <w:t>Jun. 30,</w:t>
            </w:r>
          </w:p>
        </w:tc>
        <w:tc>
          <w:tcPr>
            <w:tcW w:w="40" w:type="dxa"/>
            <w:vAlign w:val="bottom"/>
          </w:tcPr>
          <w:p>
            <w:pPr>
              <w:spacing w:after="0"/>
              <w:rPr>
                <w:sz w:val="9"/>
                <w:szCs w:val="9"/>
                <w:color w:val="auto"/>
              </w:rPr>
            </w:pPr>
          </w:p>
        </w:tc>
        <w:tc>
          <w:tcPr>
            <w:tcW w:w="52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Sept. 30,</w:t>
            </w:r>
          </w:p>
        </w:tc>
        <w:tc>
          <w:tcPr>
            <w:tcW w:w="100" w:type="dxa"/>
            <w:vAlign w:val="bottom"/>
          </w:tcPr>
          <w:p>
            <w:pPr>
              <w:spacing w:after="0"/>
              <w:rPr>
                <w:sz w:val="9"/>
                <w:szCs w:val="9"/>
                <w:color w:val="auto"/>
              </w:rPr>
            </w:pPr>
          </w:p>
        </w:tc>
        <w:tc>
          <w:tcPr>
            <w:tcW w:w="46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Dec. 31,</w:t>
            </w:r>
          </w:p>
        </w:tc>
        <w:tc>
          <w:tcPr>
            <w:tcW w:w="560" w:type="dxa"/>
            <w:vAlign w:val="bottom"/>
            <w:gridSpan w:val="3"/>
          </w:tcPr>
          <w:p>
            <w:pPr>
              <w:ind w:left="20"/>
              <w:spacing w:after="0" w:line="111" w:lineRule="exact"/>
              <w:rPr>
                <w:sz w:val="20"/>
                <w:szCs w:val="20"/>
                <w:color w:val="auto"/>
              </w:rPr>
            </w:pPr>
            <w:r>
              <w:rPr>
                <w:rFonts w:ascii="Arial" w:cs="Arial" w:eastAsia="Arial" w:hAnsi="Arial"/>
                <w:sz w:val="11"/>
                <w:szCs w:val="11"/>
                <w:b w:val="1"/>
                <w:bCs w:val="1"/>
                <w:color w:val="auto"/>
              </w:rPr>
              <w:t>Mar. 31,</w:t>
            </w:r>
          </w:p>
        </w:tc>
        <w:tc>
          <w:tcPr>
            <w:tcW w:w="38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w w:val="87"/>
              </w:rPr>
              <w:t>Jun.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0" w:type="dxa"/>
            <w:vAlign w:val="bottom"/>
            <w:gridSpan w:val="2"/>
          </w:tcPr>
          <w:p>
            <w:pPr>
              <w:spacing w:after="0"/>
              <w:rPr>
                <w:sz w:val="11"/>
                <w:szCs w:val="11"/>
                <w:color w:val="auto"/>
              </w:rPr>
            </w:pPr>
          </w:p>
        </w:tc>
        <w:tc>
          <w:tcPr>
            <w:tcW w:w="6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1"/>
                <w:szCs w:val="11"/>
                <w:b w:val="1"/>
                <w:bCs w:val="1"/>
                <w:color w:val="auto"/>
                <w:w w:val="81"/>
              </w:rPr>
              <w:t>2019</w:t>
            </w:r>
          </w:p>
        </w:tc>
        <w:tc>
          <w:tcPr>
            <w:tcW w:w="5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1"/>
                <w:szCs w:val="11"/>
                <w:b w:val="1"/>
                <w:bCs w:val="1"/>
                <w:color w:val="auto"/>
                <w:w w:val="89"/>
              </w:rPr>
              <w:t>2019</w:t>
            </w:r>
          </w:p>
        </w:tc>
        <w:tc>
          <w:tcPr>
            <w:tcW w:w="58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w w:val="89"/>
              </w:rPr>
              <w:t>2019</w:t>
            </w:r>
          </w:p>
        </w:tc>
        <w:tc>
          <w:tcPr>
            <w:tcW w:w="5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1"/>
                <w:szCs w:val="11"/>
                <w:b w:val="1"/>
                <w:bCs w:val="1"/>
                <w:color w:val="auto"/>
                <w:w w:val="89"/>
              </w:rPr>
              <w:t>2020</w:t>
            </w: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w w:val="89"/>
              </w:rPr>
              <w:t>2020</w:t>
            </w:r>
          </w:p>
        </w:tc>
        <w:tc>
          <w:tcPr>
            <w:tcW w:w="54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1"/>
                <w:szCs w:val="11"/>
                <w:b w:val="1"/>
                <w:bCs w:val="1"/>
                <w:color w:val="auto"/>
                <w:w w:val="89"/>
              </w:rPr>
              <w:t>2020</w:t>
            </w:r>
          </w:p>
        </w:tc>
        <w:tc>
          <w:tcPr>
            <w:tcW w:w="58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w w:val="89"/>
              </w:rPr>
              <w:t>2021</w:t>
            </w:r>
          </w:p>
        </w:tc>
        <w:tc>
          <w:tcPr>
            <w:tcW w:w="54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1"/>
                <w:szCs w:val="11"/>
                <w:b w:val="1"/>
                <w:bCs w:val="1"/>
                <w:color w:val="auto"/>
                <w:w w:val="81"/>
              </w:rPr>
              <w:t>2021</w:t>
            </w:r>
          </w:p>
        </w:tc>
        <w:tc>
          <w:tcPr>
            <w:tcW w:w="5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w w:val="89"/>
              </w:rPr>
              <w:t>2021</w:t>
            </w:r>
          </w:p>
        </w:tc>
        <w:tc>
          <w:tcPr>
            <w:tcW w:w="5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1"/>
                <w:szCs w:val="11"/>
                <w:b w:val="1"/>
                <w:bCs w:val="1"/>
                <w:color w:val="auto"/>
                <w:w w:val="89"/>
              </w:rPr>
              <w:t>2021</w:t>
            </w:r>
          </w:p>
        </w:tc>
        <w:tc>
          <w:tcPr>
            <w:tcW w:w="5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1"/>
                <w:szCs w:val="11"/>
                <w:b w:val="1"/>
                <w:bCs w:val="1"/>
                <w:color w:val="auto"/>
                <w:w w:val="89"/>
              </w:rPr>
              <w:t>2022</w:t>
            </w:r>
          </w:p>
        </w:tc>
        <w:tc>
          <w:tcPr>
            <w:tcW w:w="54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1"/>
                <w:szCs w:val="11"/>
                <w:b w:val="1"/>
                <w:bCs w:val="1"/>
                <w:color w:val="auto"/>
                <w:w w:val="81"/>
              </w:rPr>
              <w:t>2022</w:t>
            </w:r>
          </w:p>
        </w:tc>
        <w:tc>
          <w:tcPr>
            <w:tcW w:w="5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1"/>
                <w:szCs w:val="11"/>
                <w:b w:val="1"/>
                <w:bCs w:val="1"/>
                <w:color w:val="auto"/>
                <w:w w:val="89"/>
              </w:rPr>
              <w:t>2022</w:t>
            </w:r>
          </w:p>
        </w:tc>
        <w:tc>
          <w:tcPr>
            <w:tcW w:w="54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1"/>
                <w:szCs w:val="11"/>
                <w:b w:val="1"/>
                <w:bCs w:val="1"/>
                <w:color w:val="auto"/>
                <w:w w:val="89"/>
              </w:rPr>
              <w:t>2022</w:t>
            </w:r>
          </w:p>
        </w:tc>
        <w:tc>
          <w:tcPr>
            <w:tcW w:w="54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1"/>
                <w:szCs w:val="11"/>
                <w:b w:val="1"/>
                <w:bCs w:val="1"/>
                <w:color w:val="auto"/>
                <w:w w:val="89"/>
              </w:rPr>
              <w:t>2023</w:t>
            </w:r>
          </w:p>
        </w:tc>
        <w:tc>
          <w:tcPr>
            <w:tcW w:w="320" w:type="dxa"/>
            <w:vAlign w:val="bottom"/>
            <w:tcBorders>
              <w:bottom w:val="single" w:sz="8" w:color="auto"/>
            </w:tcBorders>
          </w:tcPr>
          <w:p>
            <w:pPr>
              <w:jc w:val="right"/>
              <w:ind w:right="29"/>
              <w:spacing w:after="0"/>
              <w:rPr>
                <w:sz w:val="20"/>
                <w:szCs w:val="20"/>
                <w:color w:val="auto"/>
              </w:rPr>
            </w:pPr>
            <w:r>
              <w:rPr>
                <w:rFonts w:ascii="Arial" w:cs="Arial" w:eastAsia="Arial" w:hAnsi="Arial"/>
                <w:sz w:val="11"/>
                <w:szCs w:val="11"/>
                <w:b w:val="1"/>
                <w:bCs w:val="1"/>
                <w:color w:val="auto"/>
                <w:w w:val="89"/>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11"/>
          </w:tcPr>
          <w:p>
            <w:pPr>
              <w:ind w:left="100"/>
              <w:spacing w:after="0" w:line="120" w:lineRule="exact"/>
              <w:rPr>
                <w:sz w:val="20"/>
                <w:szCs w:val="20"/>
                <w:color w:val="auto"/>
              </w:rPr>
            </w:pPr>
            <w:r>
              <w:rPr>
                <w:rFonts w:ascii="Arial" w:cs="Arial" w:eastAsia="Arial" w:hAnsi="Arial"/>
                <w:sz w:val="11"/>
                <w:szCs w:val="11"/>
                <w:b w:val="1"/>
                <w:bCs w:val="1"/>
                <w:color w:val="auto"/>
                <w:w w:val="90"/>
              </w:rPr>
              <w:t>(in millions, except percentages)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78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97"/>
              </w:rPr>
              <w:t>Net income (loss)</w:t>
            </w:r>
          </w:p>
        </w:tc>
        <w:tc>
          <w:tcPr>
            <w:tcW w:w="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(113)</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(141)</w:t>
            </w:r>
          </w:p>
        </w:tc>
        <w:tc>
          <w:tcPr>
            <w:tcW w:w="12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(120)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(157)</w:t>
            </w:r>
          </w:p>
        </w:tc>
        <w:tc>
          <w:tcPr>
            <w:tcW w:w="8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(94)</w:t>
            </w:r>
          </w:p>
        </w:tc>
        <w:tc>
          <w:tcPr>
            <w:tcW w:w="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(17)</w:t>
            </w: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44</w:t>
            </w:r>
          </w:p>
        </w:tc>
        <w:tc>
          <w:tcPr>
            <w:tcW w:w="120" w:type="dxa"/>
            <w:vAlign w:val="bottom"/>
            <w:shd w:val="clear" w:color="auto" w:fill="CCEEFF"/>
          </w:tcPr>
          <w:p>
            <w:pPr>
              <w:spacing w:after="0"/>
              <w:rPr>
                <w:sz w:val="9"/>
                <w:szCs w:val="9"/>
                <w:color w:val="auto"/>
              </w:rPr>
            </w:pPr>
          </w:p>
        </w:tc>
        <w:tc>
          <w:tcPr>
            <w:tcW w:w="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40"/>
              <w:spacing w:after="0" w:line="114" w:lineRule="exact"/>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9"/>
                <w:szCs w:val="9"/>
                <w:color w:val="auto"/>
              </w:rPr>
            </w:pPr>
          </w:p>
        </w:tc>
        <w:tc>
          <w:tcPr>
            <w:tcW w:w="12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40"/>
              <w:spacing w:after="0" w:line="114" w:lineRule="exact"/>
              <w:rPr>
                <w:sz w:val="20"/>
                <w:szCs w:val="20"/>
                <w:color w:val="auto"/>
              </w:rPr>
            </w:pPr>
            <w:r>
              <w:rPr>
                <w:rFonts w:ascii="Arial" w:cs="Arial" w:eastAsia="Arial" w:hAnsi="Arial"/>
                <w:sz w:val="10"/>
                <w:szCs w:val="10"/>
                <w:color w:val="auto"/>
              </w:rPr>
              <w:t>(99)</w:t>
            </w:r>
          </w:p>
        </w:tc>
        <w:tc>
          <w:tcPr>
            <w:tcW w:w="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(82)</w:t>
            </w:r>
          </w:p>
        </w:tc>
        <w:tc>
          <w:tcPr>
            <w:tcW w:w="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8</w:t>
            </w:r>
          </w:p>
        </w:tc>
        <w:tc>
          <w:tcPr>
            <w:tcW w:w="12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36</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466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128</w:t>
            </w: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114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80" w:type="dxa"/>
            <w:vAlign w:val="bottom"/>
            <w:gridSpan w:val="63"/>
          </w:tcPr>
          <w:p>
            <w:pPr>
              <w:ind w:left="100"/>
              <w:spacing w:after="0" w:line="104" w:lineRule="exact"/>
              <w:rPr>
                <w:sz w:val="20"/>
                <w:szCs w:val="20"/>
                <w:color w:val="auto"/>
              </w:rPr>
            </w:pPr>
            <w:r>
              <w:rPr>
                <w:rFonts w:ascii="Arial" w:cs="Arial" w:eastAsia="Arial" w:hAnsi="Arial"/>
                <w:sz w:val="10"/>
                <w:szCs w:val="10"/>
                <w:color w:val="auto"/>
              </w:rPr>
              <w:t>Provision for</w:t>
            </w:r>
          </w:p>
        </w:tc>
        <w:tc>
          <w:tcPr>
            <w:tcW w:w="0" w:type="dxa"/>
            <w:vAlign w:val="bottom"/>
          </w:tcPr>
          <w:p>
            <w:pPr>
              <w:spacing w:after="0"/>
              <w:rPr>
                <w:sz w:val="1"/>
                <w:szCs w:val="1"/>
                <w:color w:val="auto"/>
              </w:rPr>
            </w:pPr>
          </w:p>
        </w:tc>
      </w:tr>
      <w:tr>
        <w:trPr>
          <w:trHeight w:val="114"/>
        </w:trPr>
        <w:tc>
          <w:tcPr>
            <w:tcW w:w="10880" w:type="dxa"/>
            <w:vAlign w:val="bottom"/>
            <w:gridSpan w:val="63"/>
          </w:tcPr>
          <w:p>
            <w:pPr>
              <w:ind w:left="200"/>
              <w:spacing w:after="0" w:line="114" w:lineRule="exact"/>
              <w:rPr>
                <w:sz w:val="20"/>
                <w:szCs w:val="20"/>
                <w:color w:val="auto"/>
              </w:rPr>
            </w:pPr>
            <w:r>
              <w:rPr>
                <w:rFonts w:ascii="Arial" w:cs="Arial" w:eastAsia="Arial" w:hAnsi="Arial"/>
                <w:sz w:val="10"/>
                <w:szCs w:val="10"/>
                <w:color w:val="auto"/>
              </w:rPr>
              <w:t>(benefit</w:t>
            </w:r>
          </w:p>
        </w:tc>
        <w:tc>
          <w:tcPr>
            <w:tcW w:w="0" w:type="dxa"/>
            <w:vAlign w:val="bottom"/>
          </w:tcPr>
          <w:p>
            <w:pPr>
              <w:spacing w:after="0"/>
              <w:rPr>
                <w:sz w:val="1"/>
                <w:szCs w:val="1"/>
                <w:color w:val="auto"/>
              </w:rPr>
            </w:pPr>
          </w:p>
        </w:tc>
      </w:tr>
      <w:tr>
        <w:trPr>
          <w:trHeight w:val="114"/>
        </w:trPr>
        <w:tc>
          <w:tcPr>
            <w:tcW w:w="10880" w:type="dxa"/>
            <w:vAlign w:val="bottom"/>
            <w:gridSpan w:val="63"/>
          </w:tcPr>
          <w:p>
            <w:pPr>
              <w:ind w:left="200"/>
              <w:spacing w:after="0" w:line="114" w:lineRule="exact"/>
              <w:rPr>
                <w:sz w:val="20"/>
                <w:szCs w:val="20"/>
                <w:color w:val="auto"/>
              </w:rPr>
            </w:pPr>
            <w:r>
              <w:rPr>
                <w:rFonts w:ascii="Arial" w:cs="Arial" w:eastAsia="Arial" w:hAnsi="Arial"/>
                <w:sz w:val="10"/>
                <w:szCs w:val="10"/>
                <w:color w:val="auto"/>
                <w:w w:val="95"/>
              </w:rPr>
              <w:t>from) income</w:t>
            </w:r>
          </w:p>
        </w:tc>
        <w:tc>
          <w:tcPr>
            <w:tcW w:w="0" w:type="dxa"/>
            <w:vAlign w:val="bottom"/>
          </w:tcPr>
          <w:p>
            <w:pPr>
              <w:spacing w:after="0"/>
              <w:rPr>
                <w:sz w:val="1"/>
                <w:szCs w:val="1"/>
                <w:color w:val="auto"/>
              </w:rPr>
            </w:pPr>
          </w:p>
        </w:tc>
      </w:tr>
      <w:tr>
        <w:trPr>
          <w:trHeight w:val="124"/>
        </w:trPr>
        <w:tc>
          <w:tcPr>
            <w:tcW w:w="780" w:type="dxa"/>
            <w:vAlign w:val="bottom"/>
          </w:tcPr>
          <w:p>
            <w:pPr>
              <w:ind w:left="200"/>
              <w:spacing w:after="0"/>
              <w:rPr>
                <w:sz w:val="20"/>
                <w:szCs w:val="20"/>
                <w:color w:val="auto"/>
              </w:rPr>
            </w:pPr>
            <w:r>
              <w:rPr>
                <w:rFonts w:ascii="Arial" w:cs="Arial" w:eastAsia="Arial" w:hAnsi="Arial"/>
                <w:sz w:val="10"/>
                <w:szCs w:val="10"/>
                <w:color w:val="auto"/>
              </w:rPr>
              <w:t>taxes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(355)</w:t>
            </w: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36</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780" w:type="dxa"/>
            <w:vAlign w:val="bottom"/>
            <w:shd w:val="clear" w:color="auto" w:fill="CCEEFF"/>
          </w:tcPr>
          <w:p>
            <w:pPr>
              <w:ind w:left="100"/>
              <w:spacing w:after="0" w:line="114" w:lineRule="exact"/>
              <w:rPr>
                <w:sz w:val="20"/>
                <w:szCs w:val="20"/>
                <w:color w:val="auto"/>
              </w:rPr>
            </w:pPr>
            <w:r>
              <w:rPr>
                <w:rFonts w:ascii="Arial" w:cs="Arial" w:eastAsia="Arial" w:hAnsi="Arial"/>
                <w:sz w:val="10"/>
                <w:szCs w:val="10"/>
                <w:color w:val="auto"/>
                <w:w w:val="96"/>
              </w:rPr>
              <w:t>Interest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(8)</w:t>
            </w:r>
          </w:p>
        </w:tc>
        <w:tc>
          <w:tcPr>
            <w:tcW w:w="100" w:type="dxa"/>
            <w:vAlign w:val="bottom"/>
            <w:tcBorders>
              <w:right w:val="single" w:sz="8" w:color="CCEEFF"/>
            </w:tcBorders>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(7)</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(6)</w:t>
            </w: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4"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(1)</w:t>
            </w:r>
          </w:p>
        </w:tc>
        <w:tc>
          <w:tcPr>
            <w:tcW w:w="100" w:type="dxa"/>
            <w:vAlign w:val="bottom"/>
            <w:tcBorders>
              <w:right w:val="single" w:sz="8" w:color="CCEEFF"/>
            </w:tcBorders>
            <w:shd w:val="clear" w:color="auto" w:fill="CCEEFF"/>
          </w:tcPr>
          <w:p>
            <w:pPr>
              <w:spacing w:after="0"/>
              <w:rPr>
                <w:sz w:val="9"/>
                <w:szCs w:val="9"/>
                <w:color w:val="auto"/>
              </w:rPr>
            </w:pPr>
          </w:p>
        </w:tc>
        <w:tc>
          <w:tcPr>
            <w:tcW w:w="4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(2)</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(5)</w:t>
            </w:r>
          </w:p>
        </w:tc>
        <w:tc>
          <w:tcPr>
            <w:tcW w:w="100" w:type="dxa"/>
            <w:vAlign w:val="bottom"/>
            <w:tcBorders>
              <w:right w:val="single" w:sz="8" w:color="CCEEFF"/>
            </w:tcBorders>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04"/>
        </w:trPr>
        <w:tc>
          <w:tcPr>
            <w:tcW w:w="10880" w:type="dxa"/>
            <w:vAlign w:val="bottom"/>
            <w:gridSpan w:val="63"/>
          </w:tcPr>
          <w:p>
            <w:pPr>
              <w:ind w:left="100"/>
              <w:spacing w:after="0" w:line="104" w:lineRule="exact"/>
              <w:rPr>
                <w:sz w:val="20"/>
                <w:szCs w:val="20"/>
                <w:color w:val="auto"/>
              </w:rPr>
            </w:pPr>
            <w:r>
              <w:rPr>
                <w:rFonts w:ascii="Arial" w:cs="Arial" w:eastAsia="Arial" w:hAnsi="Arial"/>
                <w:sz w:val="10"/>
                <w:szCs w:val="10"/>
                <w:color w:val="auto"/>
                <w:w w:val="98"/>
              </w:rPr>
              <w:t>Other (income)</w:t>
            </w:r>
          </w:p>
        </w:tc>
        <w:tc>
          <w:tcPr>
            <w:tcW w:w="0" w:type="dxa"/>
            <w:vAlign w:val="bottom"/>
          </w:tcPr>
          <w:p>
            <w:pPr>
              <w:spacing w:after="0"/>
              <w:rPr>
                <w:sz w:val="1"/>
                <w:szCs w:val="1"/>
                <w:color w:val="auto"/>
              </w:rPr>
            </w:pPr>
          </w:p>
        </w:tc>
      </w:tr>
      <w:tr>
        <w:trPr>
          <w:trHeight w:val="124"/>
        </w:trPr>
        <w:tc>
          <w:tcPr>
            <w:tcW w:w="780" w:type="dxa"/>
            <w:vAlign w:val="bottom"/>
          </w:tcPr>
          <w:p>
            <w:pPr>
              <w:ind w:left="200"/>
              <w:spacing w:after="0"/>
              <w:rPr>
                <w:sz w:val="20"/>
                <w:szCs w:val="20"/>
                <w:color w:val="auto"/>
              </w:rPr>
            </w:pPr>
            <w:r>
              <w:rPr>
                <w:rFonts w:ascii="Arial" w:cs="Arial" w:eastAsia="Arial" w:hAnsi="Arial"/>
                <w:sz w:val="10"/>
                <w:szCs w:val="10"/>
                <w:color w:val="auto"/>
                <w:w w:val="97"/>
              </w:rPr>
              <w:t>expense, net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4"/>
        </w:trPr>
        <w:tc>
          <w:tcPr>
            <w:tcW w:w="1460" w:type="dxa"/>
            <w:vAlign w:val="bottom"/>
            <w:tcBorders>
              <w:right w:val="single" w:sz="8" w:color="CCEEFF"/>
            </w:tcBorders>
            <w:gridSpan w:val="6"/>
            <w:shd w:val="clear" w:color="auto" w:fill="CCEEFF"/>
          </w:tcPr>
          <w:p>
            <w:pPr>
              <w:ind w:left="100"/>
              <w:spacing w:after="0" w:line="104" w:lineRule="exact"/>
              <w:rPr>
                <w:sz w:val="20"/>
                <w:szCs w:val="20"/>
                <w:color w:val="auto"/>
              </w:rPr>
            </w:pPr>
            <w:r>
              <w:rPr>
                <w:rFonts w:ascii="Arial" w:cs="Arial" w:eastAsia="Arial" w:hAnsi="Arial"/>
                <w:sz w:val="10"/>
                <w:szCs w:val="10"/>
                <w:color w:val="auto"/>
              </w:rPr>
              <w:t>Depreciation</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rPr>
              <w:t>and</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rPr>
              <w:t>amortization</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expense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8</w:t>
            </w:r>
          </w:p>
        </w:tc>
        <w:tc>
          <w:tcPr>
            <w:tcW w:w="1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11</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880" w:type="dxa"/>
            <w:vAlign w:val="bottom"/>
            <w:gridSpan w:val="63"/>
          </w:tcPr>
          <w:p>
            <w:pPr>
              <w:ind w:left="100"/>
              <w:spacing w:after="0" w:line="104" w:lineRule="exact"/>
              <w:rPr>
                <w:sz w:val="20"/>
                <w:szCs w:val="20"/>
                <w:color w:val="auto"/>
              </w:rPr>
            </w:pPr>
            <w:r>
              <w:rPr>
                <w:rFonts w:ascii="Arial" w:cs="Arial" w:eastAsia="Arial" w:hAnsi="Arial"/>
                <w:sz w:val="10"/>
                <w:szCs w:val="10"/>
                <w:color w:val="auto"/>
              </w:rPr>
              <w:t>Stock-based</w:t>
            </w:r>
          </w:p>
        </w:tc>
        <w:tc>
          <w:tcPr>
            <w:tcW w:w="0" w:type="dxa"/>
            <w:vAlign w:val="bottom"/>
          </w:tcPr>
          <w:p>
            <w:pPr>
              <w:spacing w:after="0"/>
              <w:rPr>
                <w:sz w:val="1"/>
                <w:szCs w:val="1"/>
                <w:color w:val="auto"/>
              </w:rPr>
            </w:pPr>
          </w:p>
        </w:tc>
      </w:tr>
      <w:tr>
        <w:trPr>
          <w:trHeight w:val="114"/>
        </w:trPr>
        <w:tc>
          <w:tcPr>
            <w:tcW w:w="10880" w:type="dxa"/>
            <w:vAlign w:val="bottom"/>
            <w:gridSpan w:val="63"/>
          </w:tcPr>
          <w:p>
            <w:pPr>
              <w:ind w:left="200"/>
              <w:spacing w:after="0" w:line="114" w:lineRule="exact"/>
              <w:rPr>
                <w:sz w:val="20"/>
                <w:szCs w:val="20"/>
                <w:color w:val="auto"/>
              </w:rPr>
            </w:pPr>
            <w:r>
              <w:rPr>
                <w:rFonts w:ascii="Arial" w:cs="Arial" w:eastAsia="Arial" w:hAnsi="Arial"/>
                <w:sz w:val="10"/>
                <w:szCs w:val="10"/>
                <w:color w:val="auto"/>
                <w:w w:val="89"/>
              </w:rPr>
              <w:t>compensation</w:t>
            </w:r>
          </w:p>
        </w:tc>
        <w:tc>
          <w:tcPr>
            <w:tcW w:w="0" w:type="dxa"/>
            <w:vAlign w:val="bottom"/>
          </w:tcPr>
          <w:p>
            <w:pPr>
              <w:spacing w:after="0"/>
              <w:rPr>
                <w:sz w:val="1"/>
                <w:szCs w:val="1"/>
                <w:color w:val="auto"/>
              </w:rPr>
            </w:pPr>
          </w:p>
        </w:tc>
      </w:tr>
      <w:tr>
        <w:trPr>
          <w:trHeight w:val="124"/>
        </w:trPr>
        <w:tc>
          <w:tcPr>
            <w:tcW w:w="780" w:type="dxa"/>
            <w:vAlign w:val="bottom"/>
          </w:tcPr>
          <w:p>
            <w:pPr>
              <w:ind w:left="200"/>
              <w:spacing w:after="0"/>
              <w:rPr>
                <w:sz w:val="20"/>
                <w:szCs w:val="20"/>
                <w:color w:val="auto"/>
              </w:rPr>
            </w:pPr>
            <w:r>
              <w:rPr>
                <w:rFonts w:ascii="Arial" w:cs="Arial" w:eastAsia="Arial" w:hAnsi="Arial"/>
                <w:sz w:val="10"/>
                <w:szCs w:val="10"/>
                <w:color w:val="auto"/>
              </w:rPr>
              <w:t>expense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11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15</w:t>
            </w:r>
          </w:p>
        </w:tc>
        <w:tc>
          <w:tcPr>
            <w:tcW w:w="6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38</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460" w:type="dxa"/>
            <w:vAlign w:val="bottom"/>
            <w:tcBorders>
              <w:right w:val="single" w:sz="8" w:color="CCEEFF"/>
            </w:tcBorders>
            <w:gridSpan w:val="6"/>
            <w:shd w:val="clear" w:color="auto" w:fill="CCEEFF"/>
          </w:tcPr>
          <w:p>
            <w:pPr>
              <w:ind w:left="100"/>
              <w:spacing w:after="0" w:line="104" w:lineRule="exact"/>
              <w:rPr>
                <w:sz w:val="20"/>
                <w:szCs w:val="20"/>
                <w:color w:val="auto"/>
              </w:rPr>
            </w:pPr>
            <w:r>
              <w:rPr>
                <w:rFonts w:ascii="Arial" w:cs="Arial" w:eastAsia="Arial" w:hAnsi="Arial"/>
                <w:sz w:val="10"/>
                <w:szCs w:val="10"/>
                <w:color w:val="auto"/>
              </w:rPr>
              <w:t>Certain legal</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rPr>
              <w:t>and</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rPr>
              <w:t>regulatory</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w w:val="98"/>
              </w:rPr>
              <w:t>accruals and</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rPr>
              <w:t>settlements,</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ind w:left="200"/>
              <w:spacing w:after="0" w:line="125" w:lineRule="exact"/>
              <w:rPr>
                <w:sz w:val="20"/>
                <w:szCs w:val="20"/>
                <w:color w:val="auto"/>
              </w:rPr>
            </w:pPr>
            <w:r>
              <w:rPr>
                <w:rFonts w:ascii="Arial" w:cs="Arial" w:eastAsia="Arial" w:hAnsi="Arial"/>
                <w:sz w:val="10"/>
                <w:szCs w:val="10"/>
                <w:color w:val="auto"/>
              </w:rPr>
              <w:t>net</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21</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18</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32</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18</w:t>
            </w:r>
          </w:p>
        </w:tc>
        <w:tc>
          <w:tcPr>
            <w:tcW w:w="1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4"/>
        </w:trPr>
        <w:tc>
          <w:tcPr>
            <w:tcW w:w="10880" w:type="dxa"/>
            <w:vAlign w:val="bottom"/>
            <w:gridSpan w:val="63"/>
          </w:tcPr>
          <w:p>
            <w:pPr>
              <w:ind w:left="100"/>
              <w:spacing w:after="0" w:line="104" w:lineRule="exact"/>
              <w:rPr>
                <w:sz w:val="20"/>
                <w:szCs w:val="20"/>
                <w:color w:val="auto"/>
              </w:rPr>
            </w:pPr>
            <w:r>
              <w:rPr>
                <w:rFonts w:ascii="Arial" w:cs="Arial" w:eastAsia="Arial" w:hAnsi="Arial"/>
                <w:sz w:val="10"/>
                <w:szCs w:val="10"/>
                <w:color w:val="auto"/>
              </w:rPr>
              <w:t>Reserves for</w:t>
            </w:r>
          </w:p>
        </w:tc>
        <w:tc>
          <w:tcPr>
            <w:tcW w:w="0" w:type="dxa"/>
            <w:vAlign w:val="bottom"/>
          </w:tcPr>
          <w:p>
            <w:pPr>
              <w:spacing w:after="0"/>
              <w:rPr>
                <w:sz w:val="1"/>
                <w:szCs w:val="1"/>
                <w:color w:val="auto"/>
              </w:rPr>
            </w:pPr>
          </w:p>
        </w:tc>
      </w:tr>
      <w:tr>
        <w:trPr>
          <w:trHeight w:val="114"/>
        </w:trPr>
        <w:tc>
          <w:tcPr>
            <w:tcW w:w="10880" w:type="dxa"/>
            <w:vAlign w:val="bottom"/>
            <w:gridSpan w:val="63"/>
          </w:tcPr>
          <w:p>
            <w:pPr>
              <w:ind w:left="200"/>
              <w:spacing w:after="0" w:line="114" w:lineRule="exact"/>
              <w:rPr>
                <w:sz w:val="20"/>
                <w:szCs w:val="20"/>
                <w:color w:val="auto"/>
              </w:rPr>
            </w:pPr>
            <w:r>
              <w:rPr>
                <w:rFonts w:ascii="Arial" w:cs="Arial" w:eastAsia="Arial" w:hAnsi="Arial"/>
                <w:sz w:val="10"/>
                <w:szCs w:val="10"/>
                <w:color w:val="auto"/>
              </w:rPr>
              <w:t>sales and</w:t>
            </w:r>
          </w:p>
        </w:tc>
        <w:tc>
          <w:tcPr>
            <w:tcW w:w="0" w:type="dxa"/>
            <w:vAlign w:val="bottom"/>
          </w:tcPr>
          <w:p>
            <w:pPr>
              <w:spacing w:after="0"/>
              <w:rPr>
                <w:sz w:val="1"/>
                <w:szCs w:val="1"/>
                <w:color w:val="auto"/>
              </w:rPr>
            </w:pPr>
          </w:p>
        </w:tc>
      </w:tr>
      <w:tr>
        <w:trPr>
          <w:trHeight w:val="113"/>
        </w:trPr>
        <w:tc>
          <w:tcPr>
            <w:tcW w:w="10880" w:type="dxa"/>
            <w:vAlign w:val="bottom"/>
            <w:gridSpan w:val="63"/>
          </w:tcPr>
          <w:p>
            <w:pPr>
              <w:ind w:left="200"/>
              <w:spacing w:after="0" w:line="114" w:lineRule="exact"/>
              <w:rPr>
                <w:sz w:val="20"/>
                <w:szCs w:val="20"/>
                <w:color w:val="auto"/>
              </w:rPr>
            </w:pPr>
            <w:r>
              <w:rPr>
                <w:rFonts w:ascii="Arial" w:cs="Arial" w:eastAsia="Arial" w:hAnsi="Arial"/>
                <w:sz w:val="10"/>
                <w:szCs w:val="10"/>
                <w:color w:val="auto"/>
                <w:w w:val="96"/>
              </w:rPr>
              <w:t>other indirect</w:t>
            </w:r>
          </w:p>
        </w:tc>
        <w:tc>
          <w:tcPr>
            <w:tcW w:w="0" w:type="dxa"/>
            <w:vAlign w:val="bottom"/>
          </w:tcPr>
          <w:p>
            <w:pPr>
              <w:spacing w:after="0"/>
              <w:rPr>
                <w:sz w:val="1"/>
                <w:szCs w:val="1"/>
                <w:color w:val="auto"/>
              </w:rPr>
            </w:pPr>
          </w:p>
        </w:tc>
      </w:tr>
      <w:tr>
        <w:trPr>
          <w:trHeight w:val="124"/>
        </w:trPr>
        <w:tc>
          <w:tcPr>
            <w:tcW w:w="780" w:type="dxa"/>
            <w:vAlign w:val="bottom"/>
          </w:tcPr>
          <w:p>
            <w:pPr>
              <w:ind w:left="200"/>
              <w:spacing w:after="0" w:line="125" w:lineRule="exact"/>
              <w:rPr>
                <w:sz w:val="20"/>
                <w:szCs w:val="20"/>
                <w:color w:val="auto"/>
              </w:rPr>
            </w:pPr>
            <w:r>
              <w:rPr>
                <w:rFonts w:ascii="Arial" w:cs="Arial" w:eastAsia="Arial" w:hAnsi="Arial"/>
                <w:sz w:val="10"/>
                <w:szCs w:val="10"/>
                <w:color w:val="auto"/>
              </w:rPr>
              <w:t>taxes</w:t>
            </w:r>
            <w:r>
              <w:rPr>
                <w:rFonts w:ascii="Arial" w:cs="Arial" w:eastAsia="Arial" w:hAnsi="Arial"/>
                <w:sz w:val="14"/>
                <w:szCs w:val="14"/>
                <w:color w:val="auto"/>
                <w:vertAlign w:val="superscript"/>
              </w:rPr>
              <w:t>(2)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12</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04"/>
        </w:trPr>
        <w:tc>
          <w:tcPr>
            <w:tcW w:w="1460" w:type="dxa"/>
            <w:vAlign w:val="bottom"/>
            <w:tcBorders>
              <w:right w:val="single" w:sz="8" w:color="CCEEFF"/>
            </w:tcBorders>
            <w:gridSpan w:val="6"/>
            <w:shd w:val="clear" w:color="auto" w:fill="CCEEFF"/>
          </w:tcPr>
          <w:p>
            <w:pPr>
              <w:ind w:left="100"/>
              <w:spacing w:after="0" w:line="104" w:lineRule="exact"/>
              <w:rPr>
                <w:sz w:val="20"/>
                <w:szCs w:val="20"/>
                <w:color w:val="auto"/>
              </w:rPr>
            </w:pPr>
            <w:r>
              <w:rPr>
                <w:rFonts w:ascii="Arial" w:cs="Arial" w:eastAsia="Arial" w:hAnsi="Arial"/>
                <w:sz w:val="10"/>
                <w:szCs w:val="10"/>
                <w:color w:val="auto"/>
              </w:rPr>
              <w:t>COVID-19</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60" w:type="dxa"/>
            <w:vAlign w:val="bottom"/>
            <w:tcBorders>
              <w:right w:val="single" w:sz="8" w:color="CCEEFF"/>
            </w:tcBorders>
            <w:gridSpan w:val="6"/>
            <w:shd w:val="clear" w:color="auto" w:fill="CCEEFF"/>
          </w:tcPr>
          <w:p>
            <w:pPr>
              <w:ind w:left="200"/>
              <w:spacing w:after="0" w:line="114" w:lineRule="exact"/>
              <w:rPr>
                <w:sz w:val="20"/>
                <w:szCs w:val="20"/>
                <w:color w:val="auto"/>
              </w:rPr>
            </w:pPr>
            <w:r>
              <w:rPr>
                <w:rFonts w:ascii="Arial" w:cs="Arial" w:eastAsia="Arial" w:hAnsi="Arial"/>
                <w:sz w:val="10"/>
                <w:szCs w:val="10"/>
                <w:color w:val="auto"/>
              </w:rPr>
              <w:t>response</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ind w:left="200"/>
              <w:spacing w:after="0" w:line="125" w:lineRule="exact"/>
              <w:rPr>
                <w:sz w:val="20"/>
                <w:szCs w:val="20"/>
                <w:color w:val="auto"/>
              </w:rPr>
            </w:pPr>
            <w:r>
              <w:rPr>
                <w:rFonts w:ascii="Arial" w:cs="Arial" w:eastAsia="Arial" w:hAnsi="Arial"/>
                <w:sz w:val="10"/>
                <w:szCs w:val="10"/>
                <w:color w:val="auto"/>
              </w:rPr>
              <w:t>initiatives</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10880" w:type="dxa"/>
            <w:vAlign w:val="bottom"/>
            <w:gridSpan w:val="63"/>
          </w:tcPr>
          <w:p>
            <w:pPr>
              <w:ind w:left="100"/>
              <w:spacing w:after="0" w:line="104" w:lineRule="exact"/>
              <w:rPr>
                <w:sz w:val="20"/>
                <w:szCs w:val="20"/>
                <w:color w:val="auto"/>
              </w:rPr>
            </w:pPr>
            <w:r>
              <w:rPr>
                <w:rFonts w:ascii="Arial" w:cs="Arial" w:eastAsia="Arial" w:hAnsi="Arial"/>
                <w:sz w:val="10"/>
                <w:szCs w:val="10"/>
                <w:color w:val="auto"/>
              </w:rPr>
              <w:t>Acquisition-</w:t>
            </w:r>
          </w:p>
        </w:tc>
        <w:tc>
          <w:tcPr>
            <w:tcW w:w="0" w:type="dxa"/>
            <w:vAlign w:val="bottom"/>
          </w:tcPr>
          <w:p>
            <w:pPr>
              <w:spacing w:after="0"/>
              <w:rPr>
                <w:sz w:val="1"/>
                <w:szCs w:val="1"/>
                <w:color w:val="auto"/>
              </w:rPr>
            </w:pPr>
          </w:p>
        </w:tc>
      </w:tr>
      <w:tr>
        <w:trPr>
          <w:trHeight w:val="114"/>
        </w:trPr>
        <w:tc>
          <w:tcPr>
            <w:tcW w:w="10880" w:type="dxa"/>
            <w:vAlign w:val="bottom"/>
            <w:gridSpan w:val="63"/>
          </w:tcPr>
          <w:p>
            <w:pPr>
              <w:ind w:left="200"/>
              <w:spacing w:after="0" w:line="114" w:lineRule="exact"/>
              <w:rPr>
                <w:sz w:val="20"/>
                <w:szCs w:val="20"/>
                <w:color w:val="auto"/>
              </w:rPr>
            </w:pPr>
            <w:r>
              <w:rPr>
                <w:rFonts w:ascii="Arial" w:cs="Arial" w:eastAsia="Arial" w:hAnsi="Arial"/>
                <w:sz w:val="10"/>
                <w:szCs w:val="10"/>
                <w:color w:val="auto"/>
              </w:rPr>
              <w:t>related</w:t>
            </w:r>
          </w:p>
        </w:tc>
        <w:tc>
          <w:tcPr>
            <w:tcW w:w="0" w:type="dxa"/>
            <w:vAlign w:val="bottom"/>
          </w:tcPr>
          <w:p>
            <w:pPr>
              <w:spacing w:after="0"/>
              <w:rPr>
                <w:sz w:val="1"/>
                <w:szCs w:val="1"/>
                <w:color w:val="auto"/>
              </w:rPr>
            </w:pPr>
          </w:p>
        </w:tc>
      </w:tr>
      <w:tr>
        <w:trPr>
          <w:trHeight w:val="124"/>
        </w:trPr>
        <w:tc>
          <w:tcPr>
            <w:tcW w:w="780" w:type="dxa"/>
            <w:vAlign w:val="bottom"/>
          </w:tcPr>
          <w:p>
            <w:pPr>
              <w:ind w:left="200"/>
              <w:spacing w:after="0"/>
              <w:rPr>
                <w:sz w:val="20"/>
                <w:szCs w:val="20"/>
                <w:color w:val="auto"/>
              </w:rPr>
            </w:pPr>
            <w:r>
              <w:rPr>
                <w:rFonts w:ascii="Arial" w:cs="Arial" w:eastAsia="Arial" w:hAnsi="Arial"/>
                <w:sz w:val="10"/>
                <w:szCs w:val="10"/>
                <w:color w:val="auto"/>
              </w:rPr>
              <w:t>expenses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14"/>
        </w:trPr>
        <w:tc>
          <w:tcPr>
            <w:tcW w:w="780" w:type="dxa"/>
            <w:vAlign w:val="bottom"/>
            <w:shd w:val="clear" w:color="auto" w:fill="CCEEFF"/>
          </w:tcPr>
          <w:p>
            <w:pPr>
              <w:ind w:left="100"/>
              <w:spacing w:after="0" w:line="114" w:lineRule="exact"/>
              <w:rPr>
                <w:sz w:val="20"/>
                <w:szCs w:val="20"/>
                <w:color w:val="auto"/>
              </w:rPr>
            </w:pPr>
            <w:r>
              <w:rPr>
                <w:rFonts w:ascii="Arial" w:cs="Arial" w:eastAsia="Arial" w:hAnsi="Arial"/>
                <w:sz w:val="9"/>
                <w:szCs w:val="9"/>
                <w:color w:val="auto"/>
              </w:rPr>
              <w:t>Other</w:t>
            </w:r>
            <w:r>
              <w:rPr>
                <w:rFonts w:ascii="Arial" w:cs="Arial" w:eastAsia="Arial" w:hAnsi="Arial"/>
                <w:sz w:val="13"/>
                <w:szCs w:val="13"/>
                <w:color w:val="auto"/>
                <w:vertAlign w:val="superscript"/>
              </w:rPr>
              <w:t>(4)</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line="114"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80"/>
              <w:spacing w:after="0" w:line="114" w:lineRule="exact"/>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4</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gridSpan w:val="6"/>
          </w:tcPr>
          <w:p>
            <w:pPr>
              <w:spacing w:after="0" w:line="20" w:lineRule="exact"/>
              <w:rPr>
                <w:sz w:val="1"/>
                <w:szCs w:val="1"/>
                <w:color w:val="auto"/>
              </w:rPr>
            </w:pPr>
          </w:p>
        </w:tc>
        <w:tc>
          <w:tcPr>
            <w:tcW w:w="1160" w:type="dxa"/>
            <w:vAlign w:val="bottom"/>
            <w:tcBorders>
              <w:right w:val="single" w:sz="8" w:color="auto"/>
            </w:tcBorders>
            <w:gridSpan w:val="7"/>
            <w:shd w:val="clear" w:color="auto" w:fill="000000"/>
          </w:tcPr>
          <w:p>
            <w:pPr>
              <w:spacing w:after="0" w:line="20" w:lineRule="exact"/>
              <w:rPr>
                <w:sz w:val="1"/>
                <w:szCs w:val="1"/>
                <w:color w:val="auto"/>
              </w:rPr>
            </w:pPr>
          </w:p>
        </w:tc>
        <w:tc>
          <w:tcPr>
            <w:tcW w:w="4520" w:type="dxa"/>
            <w:vAlign w:val="bottom"/>
            <w:tcBorders>
              <w:right w:val="single" w:sz="8" w:color="auto"/>
            </w:tcBorders>
            <w:gridSpan w:val="27"/>
            <w:shd w:val="clear" w:color="auto" w:fill="000000"/>
          </w:tcPr>
          <w:p>
            <w:pPr>
              <w:spacing w:after="0" w:line="20" w:lineRule="exact"/>
              <w:rPr>
                <w:sz w:val="1"/>
                <w:szCs w:val="1"/>
                <w:color w:val="auto"/>
              </w:rPr>
            </w:pPr>
          </w:p>
        </w:tc>
        <w:tc>
          <w:tcPr>
            <w:tcW w:w="2240" w:type="dxa"/>
            <w:vAlign w:val="bottom"/>
            <w:tcBorders>
              <w:right w:val="single" w:sz="8" w:color="auto"/>
            </w:tcBorders>
            <w:gridSpan w:val="15"/>
            <w:shd w:val="clear" w:color="auto" w:fill="000000"/>
          </w:tcPr>
          <w:p>
            <w:pPr>
              <w:spacing w:after="0" w:line="20" w:lineRule="exact"/>
              <w:rPr>
                <w:sz w:val="1"/>
                <w:szCs w:val="1"/>
                <w:color w:val="auto"/>
              </w:rPr>
            </w:pPr>
          </w:p>
        </w:tc>
        <w:tc>
          <w:tcPr>
            <w:tcW w:w="1500" w:type="dxa"/>
            <w:vAlign w:val="bottom"/>
            <w:gridSpan w:val="8"/>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gridSpan w:val="3"/>
          </w:tcPr>
          <w:p>
            <w:pPr>
              <w:spacing w:after="0"/>
              <w:rPr>
                <w:sz w:val="20"/>
                <w:szCs w:val="20"/>
                <w:color w:val="auto"/>
              </w:rPr>
            </w:pPr>
            <w:r>
              <w:rPr>
                <w:rFonts w:ascii="Arial" w:cs="Arial" w:eastAsia="Arial" w:hAnsi="Arial"/>
                <w:sz w:val="10"/>
                <w:szCs w:val="10"/>
                <w:color w:val="auto"/>
                <w:w w:val="99"/>
              </w:rPr>
              <w:t>Adjusted EBITDA $</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(106)</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(117)</w:t>
            </w:r>
          </w:p>
        </w:tc>
        <w:tc>
          <w:tcPr>
            <w:tcW w:w="12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(109)</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(122)</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(74)</w:t>
            </w:r>
          </w:p>
        </w:tc>
        <w:tc>
          <w:tcPr>
            <w:tcW w:w="10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52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70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86</w:t>
            </w:r>
          </w:p>
        </w:tc>
        <w:tc>
          <w:tcPr>
            <w:tcW w:w="120" w:type="dxa"/>
            <w:vAlign w:val="bottom"/>
          </w:tcPr>
          <w:p>
            <w:pPr>
              <w:spacing w:after="0"/>
              <w:rPr>
                <w:sz w:val="10"/>
                <w:szCs w:val="10"/>
                <w:color w:val="auto"/>
              </w:rPr>
            </w:pPr>
          </w:p>
        </w:tc>
        <w:tc>
          <w:tcPr>
            <w:tcW w:w="10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51</w:t>
            </w:r>
          </w:p>
        </w:tc>
        <w:tc>
          <w:tcPr>
            <w:tcW w:w="120" w:type="dxa"/>
            <w:vAlign w:val="bottom"/>
          </w:tcPr>
          <w:p>
            <w:pPr>
              <w:spacing w:after="0"/>
              <w:rPr>
                <w:sz w:val="10"/>
                <w:szCs w:val="10"/>
                <w:color w:val="auto"/>
              </w:rPr>
            </w:pPr>
          </w:p>
        </w:tc>
        <w:tc>
          <w:tcPr>
            <w:tcW w:w="12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(52)</w:t>
            </w:r>
          </w:p>
        </w:tc>
        <w:tc>
          <w:tcPr>
            <w:tcW w:w="10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(52)</w:t>
            </w:r>
          </w:p>
        </w:tc>
        <w:tc>
          <w:tcPr>
            <w:tcW w:w="10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32</w:t>
            </w:r>
          </w:p>
        </w:tc>
        <w:tc>
          <w:tcPr>
            <w:tcW w:w="12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74</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133</w:t>
            </w:r>
          </w:p>
        </w:tc>
        <w:tc>
          <w:tcPr>
            <w:tcW w:w="140" w:type="dxa"/>
            <w:vAlign w:val="bottom"/>
          </w:tcPr>
          <w:p>
            <w:pPr>
              <w:spacing w:after="0"/>
              <w:rPr>
                <w:sz w:val="10"/>
                <w:szCs w:val="10"/>
                <w:color w:val="auto"/>
              </w:rPr>
            </w:pP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0"/>
                <w:szCs w:val="10"/>
                <w:color w:val="auto"/>
              </w:rPr>
              <w:t>169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GTV</w:t>
            </w:r>
          </w:p>
        </w:tc>
        <w:tc>
          <w:tcPr>
            <w:tcW w:w="100" w:type="dxa"/>
            <w:vAlign w:val="bottom"/>
            <w:gridSpan w:val="2"/>
            <w:shd w:val="clear" w:color="auto" w:fill="CCEEFF"/>
          </w:tcPr>
          <w:p>
            <w:pPr>
              <w:ind w:left="20"/>
              <w:spacing w:after="0" w:line="105"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1,063</w:t>
            </w:r>
          </w:p>
        </w:tc>
        <w:tc>
          <w:tcPr>
            <w:tcW w:w="1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1,184</w:t>
            </w:r>
          </w:p>
        </w:tc>
        <w:tc>
          <w:tcPr>
            <w:tcW w:w="12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1,344</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1,553</w:t>
            </w:r>
          </w:p>
        </w:tc>
        <w:tc>
          <w:tcPr>
            <w:tcW w:w="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2,387</w:t>
            </w:r>
          </w:p>
        </w:tc>
        <w:tc>
          <w:tcPr>
            <w:tcW w:w="100" w:type="dxa"/>
            <w:vAlign w:val="bottom"/>
            <w:gridSpan w:val="2"/>
            <w:shd w:val="clear" w:color="auto" w:fill="CCEEFF"/>
          </w:tcPr>
          <w:p>
            <w:pPr>
              <w:ind w:left="20"/>
              <w:spacing w:after="0" w:line="105"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6,983</w:t>
            </w:r>
          </w:p>
        </w:tc>
        <w:tc>
          <w:tcPr>
            <w:tcW w:w="6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5,446</w:t>
            </w:r>
          </w:p>
        </w:tc>
        <w:tc>
          <w:tcPr>
            <w:tcW w:w="6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5,920</w:t>
            </w:r>
          </w:p>
        </w:tc>
        <w:tc>
          <w:tcPr>
            <w:tcW w:w="120" w:type="dxa"/>
            <w:vAlign w:val="bottom"/>
            <w:shd w:val="clear" w:color="auto" w:fill="CCEEFF"/>
          </w:tcPr>
          <w:p>
            <w:pPr>
              <w:spacing w:after="0"/>
              <w:rPr>
                <w:sz w:val="9"/>
                <w:szCs w:val="9"/>
                <w:color w:val="auto"/>
              </w:rPr>
            </w:pPr>
          </w:p>
        </w:tc>
        <w:tc>
          <w:tcPr>
            <w:tcW w:w="100" w:type="dxa"/>
            <w:vAlign w:val="bottom"/>
            <w:gridSpan w:val="2"/>
            <w:shd w:val="clear" w:color="auto" w:fill="CCEEFF"/>
          </w:tcPr>
          <w:p>
            <w:pPr>
              <w:ind w:left="20"/>
              <w:spacing w:after="0" w:line="105"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6,646</w:t>
            </w:r>
          </w:p>
        </w:tc>
        <w:tc>
          <w:tcPr>
            <w:tcW w:w="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5,866</w:t>
            </w:r>
          </w:p>
        </w:tc>
        <w:tc>
          <w:tcPr>
            <w:tcW w:w="120" w:type="dxa"/>
            <w:vAlign w:val="bottom"/>
            <w:shd w:val="clear" w:color="auto" w:fill="CCEEFF"/>
          </w:tcPr>
          <w:p>
            <w:pPr>
              <w:spacing w:after="0"/>
              <w:rPr>
                <w:sz w:val="9"/>
                <w:szCs w:val="9"/>
                <w:color w:val="auto"/>
              </w:rPr>
            </w:pPr>
          </w:p>
        </w:tc>
        <w:tc>
          <w:tcPr>
            <w:tcW w:w="12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5,940</w:t>
            </w:r>
          </w:p>
        </w:tc>
        <w:tc>
          <w:tcPr>
            <w:tcW w:w="1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6,457</w:t>
            </w:r>
          </w:p>
        </w:tc>
        <w:tc>
          <w:tcPr>
            <w:tcW w:w="100" w:type="dxa"/>
            <w:vAlign w:val="bottom"/>
            <w:gridSpan w:val="2"/>
            <w:shd w:val="clear" w:color="auto" w:fill="CCEEFF"/>
          </w:tcPr>
          <w:p>
            <w:pPr>
              <w:ind w:left="20"/>
              <w:spacing w:after="0" w:line="105"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7,277</w:t>
            </w:r>
          </w:p>
        </w:tc>
        <w:tc>
          <w:tcPr>
            <w:tcW w:w="160" w:type="dxa"/>
            <w:vAlign w:val="bottom"/>
            <w:shd w:val="clear" w:color="auto" w:fill="CCEEFF"/>
          </w:tcPr>
          <w:p>
            <w:pPr>
              <w:spacing w:after="0"/>
              <w:rPr>
                <w:sz w:val="9"/>
                <w:szCs w:val="9"/>
                <w:color w:val="auto"/>
              </w:rPr>
            </w:pPr>
          </w:p>
        </w:tc>
        <w:tc>
          <w:tcPr>
            <w:tcW w:w="100" w:type="dxa"/>
            <w:vAlign w:val="bottom"/>
            <w:gridSpan w:val="2"/>
            <w:shd w:val="clear" w:color="auto" w:fill="CCEEFF"/>
          </w:tcPr>
          <w:p>
            <w:pPr>
              <w:ind w:left="20"/>
              <w:spacing w:after="0" w:line="105"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7,079</w:t>
            </w:r>
          </w:p>
        </w:tc>
        <w:tc>
          <w:tcPr>
            <w:tcW w:w="120" w:type="dxa"/>
            <w:vAlign w:val="bottom"/>
            <w:gridSpan w:val="2"/>
            <w:shd w:val="clear" w:color="auto" w:fill="CCEEFF"/>
          </w:tcPr>
          <w:p>
            <w:pPr>
              <w:ind w:left="40"/>
              <w:spacing w:after="0" w:line="105"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7,080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7,390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7,465</w:t>
            </w:r>
          </w:p>
        </w:tc>
        <w:tc>
          <w:tcPr>
            <w:tcW w:w="6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7,472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0"/>
                <w:szCs w:val="10"/>
                <w:color w:val="auto"/>
                <w:w w:val="97"/>
              </w:rPr>
              <w:t>Net income (loss)</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80" w:type="dxa"/>
            <w:vAlign w:val="bottom"/>
            <w:vMerge w:val="continue"/>
          </w:tcPr>
          <w:p>
            <w:pPr>
              <w:spacing w:after="0"/>
              <w:rPr>
                <w:sz w:val="8"/>
                <w:szCs w:val="8"/>
                <w:color w:val="auto"/>
              </w:rPr>
            </w:pPr>
          </w:p>
        </w:tc>
        <w:tc>
          <w:tcPr>
            <w:tcW w:w="10100" w:type="dxa"/>
            <w:vAlign w:val="bottom"/>
            <w:gridSpan w:val="62"/>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0880" w:type="dxa"/>
            <w:vAlign w:val="bottom"/>
            <w:gridSpan w:val="63"/>
          </w:tcPr>
          <w:p>
            <w:pPr>
              <w:ind w:left="100"/>
              <w:spacing w:after="0" w:line="114" w:lineRule="exact"/>
              <w:rPr>
                <w:sz w:val="20"/>
                <w:szCs w:val="20"/>
                <w:color w:val="auto"/>
              </w:rPr>
            </w:pPr>
            <w:r>
              <w:rPr>
                <w:rFonts w:ascii="Arial" w:cs="Arial" w:eastAsia="Arial" w:hAnsi="Arial"/>
                <w:sz w:val="10"/>
                <w:szCs w:val="10"/>
                <w:color w:val="auto"/>
                <w:w w:val="99"/>
              </w:rPr>
              <w:t>as a percent of</w:t>
            </w:r>
          </w:p>
        </w:tc>
        <w:tc>
          <w:tcPr>
            <w:tcW w:w="0" w:type="dxa"/>
            <w:vAlign w:val="bottom"/>
          </w:tcPr>
          <w:p>
            <w:pPr>
              <w:spacing w:after="0"/>
              <w:rPr>
                <w:sz w:val="1"/>
                <w:szCs w:val="1"/>
                <w:color w:val="auto"/>
              </w:rPr>
            </w:pPr>
          </w:p>
        </w:tc>
      </w:tr>
      <w:tr>
        <w:trPr>
          <w:trHeight w:val="124"/>
        </w:trPr>
        <w:tc>
          <w:tcPr>
            <w:tcW w:w="780" w:type="dxa"/>
            <w:vAlign w:val="bottom"/>
          </w:tcPr>
          <w:p>
            <w:pPr>
              <w:ind w:left="100"/>
              <w:spacing w:after="0"/>
              <w:rPr>
                <w:sz w:val="20"/>
                <w:szCs w:val="20"/>
                <w:color w:val="auto"/>
              </w:rPr>
            </w:pPr>
            <w:r>
              <w:rPr>
                <w:rFonts w:ascii="Arial" w:cs="Arial" w:eastAsia="Arial" w:hAnsi="Arial"/>
                <w:sz w:val="10"/>
                <w:szCs w:val="10"/>
                <w:color w:val="auto"/>
              </w:rPr>
              <w:t>GTV</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0"/>
                <w:szCs w:val="10"/>
                <w:color w:val="auto"/>
              </w:rPr>
              <w:t>(11.9)%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(10.1)%</w:t>
            </w: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(3.9)%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160"/>
              <w:spacing w:after="0"/>
              <w:rPr>
                <w:sz w:val="20"/>
                <w:szCs w:val="20"/>
                <w:color w:val="auto"/>
              </w:rPr>
            </w:pPr>
            <w:r>
              <w:rPr>
                <w:rFonts w:ascii="Arial" w:cs="Arial" w:eastAsia="Arial" w:hAnsi="Arial"/>
                <w:sz w:val="10"/>
                <w:szCs w:val="10"/>
                <w:color w:val="auto"/>
              </w:rPr>
              <w:t>— %</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(0.3)%</w:t>
            </w:r>
          </w:p>
        </w:tc>
        <w:tc>
          <w:tcPr>
            <w:tcW w:w="6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(0.3)%</w:t>
            </w:r>
          </w:p>
        </w:tc>
        <w:tc>
          <w:tcPr>
            <w:tcW w:w="8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(1.1)%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0.1%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6.3%</w:t>
            </w:r>
          </w:p>
        </w:tc>
        <w:tc>
          <w:tcPr>
            <w:tcW w:w="8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460" w:type="dxa"/>
            <w:vAlign w:val="bottom"/>
            <w:tcBorders>
              <w:right w:val="single" w:sz="8" w:color="CCEEFF"/>
            </w:tcBorders>
            <w:gridSpan w:val="6"/>
            <w:shd w:val="clear" w:color="auto" w:fill="CCEEFF"/>
          </w:tcPr>
          <w:p>
            <w:pPr>
              <w:spacing w:after="0" w:line="95" w:lineRule="exact"/>
              <w:rPr>
                <w:sz w:val="20"/>
                <w:szCs w:val="20"/>
                <w:color w:val="auto"/>
              </w:rPr>
            </w:pPr>
            <w:r>
              <w:rPr>
                <w:rFonts w:ascii="Arial" w:cs="Arial" w:eastAsia="Arial" w:hAnsi="Arial"/>
                <w:sz w:val="10"/>
                <w:szCs w:val="10"/>
                <w:color w:val="auto"/>
                <w:w w:val="97"/>
              </w:rPr>
              <w:t>Adjusted EBITDA</w:t>
            </w:r>
          </w:p>
        </w:tc>
        <w:tc>
          <w:tcPr>
            <w:tcW w:w="1160" w:type="dxa"/>
            <w:vAlign w:val="bottom"/>
            <w:tcBorders>
              <w:right w:val="single" w:sz="8" w:color="CCEEFF"/>
            </w:tcBorders>
            <w:gridSpan w:val="7"/>
            <w:shd w:val="clear" w:color="auto" w:fill="CCEEFF"/>
          </w:tcPr>
          <w:p>
            <w:pPr>
              <w:spacing w:after="0"/>
              <w:rPr>
                <w:sz w:val="8"/>
                <w:szCs w:val="8"/>
                <w:color w:val="auto"/>
              </w:rPr>
            </w:pPr>
          </w:p>
        </w:tc>
        <w:tc>
          <w:tcPr>
            <w:tcW w:w="4520" w:type="dxa"/>
            <w:vAlign w:val="bottom"/>
            <w:tcBorders>
              <w:right w:val="single" w:sz="8" w:color="CCEEFF"/>
            </w:tcBorders>
            <w:gridSpan w:val="27"/>
            <w:shd w:val="clear" w:color="auto" w:fill="CCEEFF"/>
          </w:tcPr>
          <w:p>
            <w:pPr>
              <w:spacing w:after="0"/>
              <w:rPr>
                <w:sz w:val="8"/>
                <w:szCs w:val="8"/>
                <w:color w:val="auto"/>
              </w:rPr>
            </w:pPr>
          </w:p>
        </w:tc>
        <w:tc>
          <w:tcPr>
            <w:tcW w:w="2240" w:type="dxa"/>
            <w:vAlign w:val="bottom"/>
            <w:tcBorders>
              <w:right w:val="single" w:sz="8" w:color="CCEEFF"/>
            </w:tcBorders>
            <w:gridSpan w:val="15"/>
            <w:shd w:val="clear" w:color="auto" w:fill="CCEEFF"/>
          </w:tcPr>
          <w:p>
            <w:pPr>
              <w:spacing w:after="0"/>
              <w:rPr>
                <w:sz w:val="8"/>
                <w:szCs w:val="8"/>
                <w:color w:val="auto"/>
              </w:rPr>
            </w:pPr>
          </w:p>
        </w:tc>
        <w:tc>
          <w:tcPr>
            <w:tcW w:w="1500" w:type="dxa"/>
            <w:vAlign w:val="bottom"/>
            <w:gridSpan w:val="8"/>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ind w:left="100"/>
              <w:spacing w:after="0" w:line="114" w:lineRule="exact"/>
              <w:rPr>
                <w:sz w:val="20"/>
                <w:szCs w:val="20"/>
                <w:color w:val="auto"/>
              </w:rPr>
            </w:pPr>
            <w:r>
              <w:rPr>
                <w:rFonts w:ascii="Arial" w:cs="Arial" w:eastAsia="Arial" w:hAnsi="Arial"/>
                <w:sz w:val="10"/>
                <w:szCs w:val="10"/>
                <w:color w:val="auto"/>
                <w:w w:val="99"/>
              </w:rPr>
              <w:t>as a percent of</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GTV</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(10.0)%</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(9.9)%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(8.1)%</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(7.9)%</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(3.1)%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1.3%</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0.2%</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0.9%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0.4%</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(0.8)%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(0.7)%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0.5%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2.3%</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0"/>
                <w:szCs w:val="10"/>
                <w:color w:val="auto"/>
              </w:rPr>
              <w:t>Revenue</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80" w:type="dxa"/>
            <w:vAlign w:val="bottom"/>
            <w:vMerge w:val="continue"/>
          </w:tcPr>
          <w:p>
            <w:pPr>
              <w:spacing w:after="0"/>
              <w:rPr>
                <w:sz w:val="9"/>
                <w:szCs w:val="9"/>
                <w:color w:val="auto"/>
              </w:rPr>
            </w:pPr>
          </w:p>
        </w:tc>
        <w:tc>
          <w:tcPr>
            <w:tcW w:w="1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41</w:t>
            </w:r>
          </w:p>
        </w:tc>
        <w:tc>
          <w:tcPr>
            <w:tcW w:w="160" w:type="dxa"/>
            <w:vAlign w:val="bottom"/>
          </w:tcPr>
          <w:p>
            <w:pPr>
              <w:spacing w:after="0"/>
              <w:rPr>
                <w:sz w:val="9"/>
                <w:szCs w:val="9"/>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46</w:t>
            </w:r>
          </w:p>
        </w:tc>
        <w:tc>
          <w:tcPr>
            <w:tcW w:w="12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59</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68</w:t>
            </w:r>
          </w:p>
        </w:tc>
        <w:tc>
          <w:tcPr>
            <w:tcW w:w="80" w:type="dxa"/>
            <w:vAlign w:val="bottom"/>
          </w:tcPr>
          <w:p>
            <w:pPr>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147</w:t>
            </w:r>
          </w:p>
        </w:tc>
        <w:tc>
          <w:tcPr>
            <w:tcW w:w="1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00"/>
              <w:spacing w:after="0" w:line="105" w:lineRule="exact"/>
              <w:rPr>
                <w:sz w:val="20"/>
                <w:szCs w:val="20"/>
                <w:color w:val="auto"/>
              </w:rPr>
            </w:pPr>
            <w:r>
              <w:rPr>
                <w:rFonts w:ascii="Arial" w:cs="Arial" w:eastAsia="Arial" w:hAnsi="Arial"/>
                <w:sz w:val="10"/>
                <w:szCs w:val="10"/>
                <w:color w:val="auto"/>
              </w:rPr>
              <w:t>476</w:t>
            </w:r>
          </w:p>
        </w:tc>
        <w:tc>
          <w:tcPr>
            <w:tcW w:w="60" w:type="dxa"/>
            <w:vAlign w:val="bottom"/>
          </w:tcPr>
          <w:p>
            <w:pPr>
              <w:spacing w:after="0" w:line="105"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0"/>
              <w:spacing w:after="0" w:line="105" w:lineRule="exact"/>
              <w:rPr>
                <w:sz w:val="20"/>
                <w:szCs w:val="20"/>
                <w:color w:val="auto"/>
              </w:rPr>
            </w:pPr>
            <w:r>
              <w:rPr>
                <w:rFonts w:ascii="Arial" w:cs="Arial" w:eastAsia="Arial" w:hAnsi="Arial"/>
                <w:sz w:val="10"/>
                <w:szCs w:val="10"/>
                <w:color w:val="auto"/>
              </w:rPr>
              <w:t>397</w:t>
            </w:r>
          </w:p>
        </w:tc>
        <w:tc>
          <w:tcPr>
            <w:tcW w:w="60" w:type="dxa"/>
            <w:vAlign w:val="bottom"/>
          </w:tcPr>
          <w:p>
            <w:pPr>
              <w:spacing w:after="0" w:line="105"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457</w:t>
            </w:r>
          </w:p>
        </w:tc>
        <w:tc>
          <w:tcPr>
            <w:tcW w:w="120" w:type="dxa"/>
            <w:vAlign w:val="bottom"/>
          </w:tcPr>
          <w:p>
            <w:pPr>
              <w:spacing w:after="0"/>
              <w:rPr>
                <w:sz w:val="9"/>
                <w:szCs w:val="9"/>
                <w:color w:val="auto"/>
              </w:rPr>
            </w:pPr>
          </w:p>
        </w:tc>
        <w:tc>
          <w:tcPr>
            <w:tcW w:w="1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440</w:t>
            </w:r>
          </w:p>
        </w:tc>
        <w:tc>
          <w:tcPr>
            <w:tcW w:w="80" w:type="dxa"/>
            <w:vAlign w:val="bottom"/>
          </w:tcPr>
          <w:p>
            <w:pPr>
              <w:spacing w:after="0" w:line="105"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444</w:t>
            </w:r>
          </w:p>
        </w:tc>
        <w:tc>
          <w:tcPr>
            <w:tcW w:w="120" w:type="dxa"/>
            <w:vAlign w:val="bottom"/>
          </w:tcPr>
          <w:p>
            <w:pPr>
              <w:spacing w:after="0"/>
              <w:rPr>
                <w:sz w:val="9"/>
                <w:szCs w:val="9"/>
                <w:color w:val="auto"/>
              </w:rPr>
            </w:pPr>
          </w:p>
        </w:tc>
        <w:tc>
          <w:tcPr>
            <w:tcW w:w="12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473</w:t>
            </w:r>
          </w:p>
        </w:tc>
        <w:tc>
          <w:tcPr>
            <w:tcW w:w="120" w:type="dxa"/>
            <w:vAlign w:val="bottom"/>
          </w:tcPr>
          <w:p>
            <w:pPr>
              <w:spacing w:after="0"/>
              <w:rPr>
                <w:sz w:val="9"/>
                <w:szCs w:val="9"/>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477</w:t>
            </w:r>
          </w:p>
        </w:tc>
        <w:tc>
          <w:tcPr>
            <w:tcW w:w="1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505</w:t>
            </w:r>
          </w:p>
        </w:tc>
        <w:tc>
          <w:tcPr>
            <w:tcW w:w="160" w:type="dxa"/>
            <w:vAlign w:val="bottom"/>
          </w:tcPr>
          <w:p>
            <w:pPr>
              <w:spacing w:after="0"/>
              <w:rPr>
                <w:sz w:val="9"/>
                <w:szCs w:val="9"/>
                <w:color w:val="auto"/>
              </w:rPr>
            </w:pPr>
          </w:p>
        </w:tc>
        <w:tc>
          <w:tcPr>
            <w:tcW w:w="100" w:type="dxa"/>
            <w:vAlign w:val="bottom"/>
            <w:gridSpan w:val="2"/>
          </w:tcPr>
          <w:p>
            <w:pPr>
              <w:ind w:left="20"/>
              <w:spacing w:after="0" w:line="105"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621</w:t>
            </w:r>
          </w:p>
        </w:tc>
        <w:tc>
          <w:tcPr>
            <w:tcW w:w="120" w:type="dxa"/>
            <w:vAlign w:val="bottom"/>
            <w:gridSpan w:val="2"/>
          </w:tcPr>
          <w:p>
            <w:pPr>
              <w:ind w:left="40"/>
              <w:spacing w:after="0" w:line="105"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668</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757</w:t>
            </w:r>
          </w:p>
        </w:tc>
        <w:tc>
          <w:tcPr>
            <w:tcW w:w="140" w:type="dxa"/>
            <w:vAlign w:val="bottom"/>
          </w:tcPr>
          <w:p>
            <w:pPr>
              <w:spacing w:after="0"/>
              <w:rPr>
                <w:sz w:val="9"/>
                <w:szCs w:val="9"/>
                <w:color w:val="auto"/>
              </w:rPr>
            </w:pPr>
          </w:p>
        </w:tc>
        <w:tc>
          <w:tcPr>
            <w:tcW w:w="80" w:type="dxa"/>
            <w:vAlign w:val="bottom"/>
          </w:tcPr>
          <w:p>
            <w:pPr>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60"/>
              <w:spacing w:after="0" w:line="105" w:lineRule="exact"/>
              <w:rPr>
                <w:sz w:val="20"/>
                <w:szCs w:val="20"/>
                <w:color w:val="auto"/>
              </w:rPr>
            </w:pPr>
            <w:r>
              <w:rPr>
                <w:rFonts w:ascii="Arial" w:cs="Arial" w:eastAsia="Arial" w:hAnsi="Arial"/>
                <w:sz w:val="10"/>
                <w:szCs w:val="10"/>
                <w:color w:val="auto"/>
              </w:rPr>
              <w:t>759</w:t>
            </w:r>
          </w:p>
        </w:tc>
        <w:tc>
          <w:tcPr>
            <w:tcW w:w="60" w:type="dxa"/>
            <w:vAlign w:val="bottom"/>
          </w:tcPr>
          <w:p>
            <w:pPr>
              <w:spacing w:after="0" w:line="105"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716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460" w:type="dxa"/>
            <w:vAlign w:val="bottom"/>
            <w:tcBorders>
              <w:right w:val="single" w:sz="8" w:color="CCEEFF"/>
            </w:tcBorders>
            <w:gridSpan w:val="6"/>
            <w:shd w:val="clear" w:color="auto" w:fill="CCEEFF"/>
          </w:tcPr>
          <w:p>
            <w:pPr>
              <w:jc w:val="right"/>
              <w:ind w:right="675"/>
              <w:spacing w:after="0" w:line="104" w:lineRule="exact"/>
              <w:rPr>
                <w:sz w:val="20"/>
                <w:szCs w:val="20"/>
                <w:color w:val="auto"/>
              </w:rPr>
            </w:pPr>
            <w:r>
              <w:rPr>
                <w:rFonts w:ascii="Arial" w:cs="Arial" w:eastAsia="Arial" w:hAnsi="Arial"/>
                <w:sz w:val="10"/>
                <w:szCs w:val="10"/>
                <w:color w:val="auto"/>
                <w:w w:val="95"/>
              </w:rPr>
              <w:t>Net income (loss)</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jc w:val="right"/>
              <w:ind w:right="675"/>
              <w:spacing w:after="0" w:line="114" w:lineRule="exact"/>
              <w:rPr>
                <w:sz w:val="20"/>
                <w:szCs w:val="20"/>
                <w:color w:val="auto"/>
              </w:rPr>
            </w:pPr>
            <w:r>
              <w:rPr>
                <w:rFonts w:ascii="Arial" w:cs="Arial" w:eastAsia="Arial" w:hAnsi="Arial"/>
                <w:sz w:val="10"/>
                <w:szCs w:val="10"/>
                <w:color w:val="auto"/>
              </w:rPr>
              <w:t>as</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60" w:type="dxa"/>
            <w:vAlign w:val="bottom"/>
            <w:tcBorders>
              <w:right w:val="single" w:sz="8" w:color="CCEEFF"/>
            </w:tcBorders>
            <w:gridSpan w:val="6"/>
            <w:shd w:val="clear" w:color="auto" w:fill="CCEEFF"/>
          </w:tcPr>
          <w:p>
            <w:pPr>
              <w:jc w:val="right"/>
              <w:ind w:right="675"/>
              <w:spacing w:after="0" w:line="114" w:lineRule="exact"/>
              <w:rPr>
                <w:sz w:val="20"/>
                <w:szCs w:val="20"/>
                <w:color w:val="auto"/>
              </w:rPr>
            </w:pPr>
            <w:r>
              <w:rPr>
                <w:rFonts w:ascii="Arial" w:cs="Arial" w:eastAsia="Arial" w:hAnsi="Arial"/>
                <w:sz w:val="10"/>
                <w:szCs w:val="10"/>
                <w:color w:val="auto"/>
              </w:rPr>
              <w:t>a percent of</w:t>
            </w:r>
          </w:p>
        </w:tc>
        <w:tc>
          <w:tcPr>
            <w:tcW w:w="1160" w:type="dxa"/>
            <w:vAlign w:val="bottom"/>
            <w:tcBorders>
              <w:right w:val="single" w:sz="8" w:color="CCEEFF"/>
            </w:tcBorders>
            <w:gridSpan w:val="7"/>
            <w:shd w:val="clear" w:color="auto" w:fill="CCEEFF"/>
          </w:tcPr>
          <w:p>
            <w:pPr>
              <w:spacing w:after="0"/>
              <w:rPr>
                <w:sz w:val="9"/>
                <w:szCs w:val="9"/>
                <w:color w:val="auto"/>
              </w:rPr>
            </w:pPr>
          </w:p>
        </w:tc>
        <w:tc>
          <w:tcPr>
            <w:tcW w:w="4520" w:type="dxa"/>
            <w:vAlign w:val="bottom"/>
            <w:tcBorders>
              <w:right w:val="single" w:sz="8" w:color="CCEEFF"/>
            </w:tcBorders>
            <w:gridSpan w:val="27"/>
            <w:shd w:val="clear" w:color="auto" w:fill="CCEEFF"/>
          </w:tcPr>
          <w:p>
            <w:pPr>
              <w:spacing w:after="0"/>
              <w:rPr>
                <w:sz w:val="9"/>
                <w:szCs w:val="9"/>
                <w:color w:val="auto"/>
              </w:rPr>
            </w:pPr>
          </w:p>
        </w:tc>
        <w:tc>
          <w:tcPr>
            <w:tcW w:w="2240" w:type="dxa"/>
            <w:vAlign w:val="bottom"/>
            <w:tcBorders>
              <w:right w:val="single" w:sz="8" w:color="CCEEFF"/>
            </w:tcBorders>
            <w:gridSpan w:val="15"/>
            <w:shd w:val="clear" w:color="auto" w:fill="CCEEFF"/>
          </w:tcPr>
          <w:p>
            <w:pPr>
              <w:spacing w:after="0"/>
              <w:rPr>
                <w:sz w:val="9"/>
                <w:szCs w:val="9"/>
                <w:color w:val="auto"/>
              </w:rPr>
            </w:pPr>
          </w:p>
        </w:tc>
        <w:tc>
          <w:tcPr>
            <w:tcW w:w="1500" w:type="dxa"/>
            <w:vAlign w:val="bottom"/>
            <w:gridSpan w:val="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revenue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(276)%</w:t>
            </w: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(307)%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(203)%</w:t>
            </w: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(231)%</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(64)%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3%</w:t>
            </w: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w:t>
            </w: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17%</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04"/>
        </w:trPr>
        <w:tc>
          <w:tcPr>
            <w:tcW w:w="10880" w:type="dxa"/>
            <w:vAlign w:val="bottom"/>
            <w:gridSpan w:val="63"/>
          </w:tcPr>
          <w:p>
            <w:pPr>
              <w:spacing w:after="0" w:line="104" w:lineRule="exact"/>
              <w:rPr>
                <w:sz w:val="20"/>
                <w:szCs w:val="20"/>
                <w:color w:val="auto"/>
              </w:rPr>
            </w:pPr>
            <w:r>
              <w:rPr>
                <w:rFonts w:ascii="Arial" w:cs="Arial" w:eastAsia="Arial" w:hAnsi="Arial"/>
                <w:sz w:val="10"/>
                <w:szCs w:val="10"/>
                <w:color w:val="auto"/>
                <w:w w:val="97"/>
              </w:rPr>
              <w:t>Adjusted EBITDA</w:t>
            </w:r>
          </w:p>
        </w:tc>
        <w:tc>
          <w:tcPr>
            <w:tcW w:w="0" w:type="dxa"/>
            <w:vAlign w:val="bottom"/>
          </w:tcPr>
          <w:p>
            <w:pPr>
              <w:spacing w:after="0"/>
              <w:rPr>
                <w:sz w:val="1"/>
                <w:szCs w:val="1"/>
                <w:color w:val="auto"/>
              </w:rPr>
            </w:pPr>
          </w:p>
        </w:tc>
      </w:tr>
      <w:tr>
        <w:trPr>
          <w:trHeight w:val="141"/>
        </w:trPr>
        <w:tc>
          <w:tcPr>
            <w:tcW w:w="780" w:type="dxa"/>
            <w:vAlign w:val="bottom"/>
          </w:tcPr>
          <w:p>
            <w:pPr>
              <w:jc w:val="right"/>
              <w:spacing w:after="0"/>
              <w:rPr>
                <w:sz w:val="20"/>
                <w:szCs w:val="20"/>
                <w:color w:val="auto"/>
              </w:rPr>
            </w:pPr>
            <w:r>
              <w:rPr>
                <w:rFonts w:ascii="Arial" w:cs="Arial" w:eastAsia="Arial" w:hAnsi="Arial"/>
                <w:sz w:val="10"/>
                <w:szCs w:val="10"/>
                <w:color w:val="auto"/>
              </w:rPr>
              <w:t>margin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(259)%</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0"/>
                <w:szCs w:val="10"/>
                <w:color w:val="auto"/>
              </w:rPr>
              <w:t>(254)%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(185)%</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(179)%</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11%</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22%</w:t>
            </w: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340"/>
          </w:cols>
          <w:pgMar w:left="320" w:top="440"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181610</wp:posOffset>
            </wp:positionV>
            <wp:extent cx="7239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07" w:lineRule="exact"/>
        <w:rPr>
          <w:sz w:val="20"/>
          <w:szCs w:val="20"/>
          <w:color w:val="auto"/>
        </w:rPr>
      </w:pPr>
    </w:p>
    <w:p>
      <w:pPr>
        <w:ind w:left="760" w:hanging="303"/>
        <w:spacing w:after="0"/>
        <w:tabs>
          <w:tab w:leader="none" w:pos="76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Represents certain legal, regulatory, and policy expenses related to worker classification matters.</w:t>
      </w:r>
    </w:p>
    <w:p>
      <w:pPr>
        <w:spacing w:after="0" w:line="6" w:lineRule="exact"/>
        <w:rPr>
          <w:rFonts w:ascii="Arial" w:cs="Arial" w:eastAsia="Arial" w:hAnsi="Arial"/>
          <w:sz w:val="10"/>
          <w:szCs w:val="10"/>
          <w:color w:val="auto"/>
        </w:rPr>
      </w:pPr>
    </w:p>
    <w:p>
      <w:pPr>
        <w:ind w:left="760" w:right="20" w:hanging="303"/>
        <w:spacing w:after="0" w:line="237" w:lineRule="auto"/>
        <w:tabs>
          <w:tab w:leader="none" w:pos="76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ind w:left="760" w:right="80" w:hanging="303"/>
        <w:spacing w:after="0" w:line="237" w:lineRule="auto"/>
        <w:tabs>
          <w:tab w:leader="none" w:pos="76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Represents the cost of personal protective equipment distributed to shoppers during the COVID-19 pandemic. We ceased excluding this cost following the first quarter of 2022 as the impact of the COVID-19 pandemic and its variant outbreaks on our business subsided.</w:t>
      </w:r>
    </w:p>
    <w:p>
      <w:pPr>
        <w:ind w:left="760" w:hanging="303"/>
        <w:spacing w:after="0"/>
        <w:tabs>
          <w:tab w:leader="none" w:pos="76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Represents (i) non-capitalizable expenses related to the public listing of our common stock and (ii) expenses related to the settlement of certain patent infringement claims.</w:t>
      </w:r>
    </w:p>
    <w:p>
      <w:pPr>
        <w:spacing w:after="0" w:line="191" w:lineRule="exact"/>
        <w:rPr>
          <w:sz w:val="20"/>
          <w:szCs w:val="20"/>
          <w:color w:val="auto"/>
        </w:rPr>
      </w:pPr>
    </w:p>
    <w:p>
      <w:pPr>
        <w:jc w:val="both"/>
        <w:ind w:left="460" w:right="360" w:firstLine="413"/>
        <w:spacing w:after="0" w:line="256" w:lineRule="auto"/>
        <w:rPr>
          <w:sz w:val="20"/>
          <w:szCs w:val="20"/>
          <w:color w:val="auto"/>
        </w:rPr>
      </w:pPr>
      <w:r>
        <w:rPr>
          <w:rFonts w:ascii="Arial" w:cs="Arial" w:eastAsia="Arial" w:hAnsi="Arial"/>
          <w:sz w:val="17"/>
          <w:szCs w:val="17"/>
          <w:color w:val="auto"/>
        </w:rPr>
        <w:t>Our calculation of Adjusted EBITDA does not adjust net income (loss) for net reductions in revenue related to equity agreements with certain retailers of $(8) million, zero, $6 million, $11 million, $5 million, $5 million, $13 million, $3 million, $2 million, $1 million, $1 million, $1 million, zero, zero, zero, $3 million, zero, and zero for each of the quarters in the years ended December 31, 2019, 2020, 2021, and 2022 and the six months ended June 30, 2023, respectively.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Cost of Revenue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provides a reconciliation of cost of revenue to adjusted cost of revenue for each of the quarterly periods for the years ended</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2019, 2020, 2021, and 2022 and the six months ended June 30, 2023:</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w w:val="94"/>
              </w:rPr>
              <w:t>Three Months Ended</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5"/>
        </w:trPr>
        <w:tc>
          <w:tcPr>
            <w:tcW w:w="1320" w:type="dxa"/>
            <w:vAlign w:val="bottom"/>
          </w:tcPr>
          <w:p>
            <w:pPr>
              <w:spacing w:after="0"/>
              <w:rPr>
                <w:sz w:val="8"/>
                <w:szCs w:val="8"/>
                <w:color w:val="auto"/>
              </w:rPr>
            </w:pPr>
          </w:p>
        </w:tc>
        <w:tc>
          <w:tcPr>
            <w:tcW w:w="50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12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5"/>
              </w:rPr>
              <w:t>Dec. 31,</w:t>
            </w:r>
          </w:p>
        </w:tc>
        <w:tc>
          <w:tcPr>
            <w:tcW w:w="40" w:type="dxa"/>
            <w:vAlign w:val="bottom"/>
          </w:tcPr>
          <w:p>
            <w:pPr>
              <w:spacing w:after="0"/>
              <w:rPr>
                <w:sz w:val="8"/>
                <w:szCs w:val="8"/>
                <w:color w:val="auto"/>
              </w:rPr>
            </w:pPr>
          </w:p>
        </w:tc>
        <w:tc>
          <w:tcPr>
            <w:tcW w:w="50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2"/>
              </w:rPr>
              <w:t>Sept. 30,</w:t>
            </w:r>
          </w:p>
        </w:tc>
        <w:tc>
          <w:tcPr>
            <w:tcW w:w="120" w:type="dxa"/>
            <w:vAlign w:val="bottom"/>
          </w:tcPr>
          <w:p>
            <w:pPr>
              <w:spacing w:after="0"/>
              <w:rPr>
                <w:sz w:val="8"/>
                <w:szCs w:val="8"/>
                <w:color w:val="auto"/>
              </w:rPr>
            </w:pPr>
          </w:p>
        </w:tc>
        <w:tc>
          <w:tcPr>
            <w:tcW w:w="4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Dec. 31,</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40" w:type="dxa"/>
            <w:vAlign w:val="bottom"/>
          </w:tcPr>
          <w:p>
            <w:pPr>
              <w:spacing w:after="0"/>
              <w:rPr>
                <w:sz w:val="8"/>
                <w:szCs w:val="8"/>
                <w:color w:val="auto"/>
              </w:rPr>
            </w:pPr>
          </w:p>
        </w:tc>
        <w:tc>
          <w:tcPr>
            <w:tcW w:w="5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Sept.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4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Jun. 30,</w:t>
            </w:r>
          </w:p>
        </w:tc>
        <w:tc>
          <w:tcPr>
            <w:tcW w:w="5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Sept.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280" w:type="dxa"/>
            <w:vAlign w:val="bottom"/>
          </w:tcPr>
          <w:p>
            <w:pPr>
              <w:spacing w:after="0" w:line="95" w:lineRule="exact"/>
              <w:rPr>
                <w:sz w:val="20"/>
                <w:szCs w:val="20"/>
                <w:color w:val="auto"/>
              </w:rPr>
            </w:pPr>
            <w:r>
              <w:rPr>
                <w:rFonts w:ascii="Arial" w:cs="Arial" w:eastAsia="Arial" w:hAnsi="Arial"/>
                <w:sz w:val="9"/>
                <w:szCs w:val="9"/>
                <w:b w:val="1"/>
                <w:bCs w:val="1"/>
                <w:color w:val="auto"/>
                <w:w w:val="77"/>
              </w:rPr>
              <w:t>Jun. 30,</w:t>
            </w:r>
          </w:p>
        </w:tc>
        <w:tc>
          <w:tcPr>
            <w:tcW w:w="80" w:type="dxa"/>
            <w:vAlign w:val="bottom"/>
          </w:tcPr>
          <w:p>
            <w:pPr>
              <w:spacing w:after="0"/>
              <w:rPr>
                <w:sz w:val="8"/>
                <w:szCs w:val="8"/>
                <w:color w:val="auto"/>
              </w:rPr>
            </w:pPr>
          </w:p>
        </w:tc>
      </w:tr>
      <w:tr>
        <w:trPr>
          <w:trHeight w:val="126"/>
        </w:trPr>
        <w:tc>
          <w:tcPr>
            <w:tcW w:w="1320" w:type="dxa"/>
            <w:vAlign w:val="bottom"/>
          </w:tcPr>
          <w:p>
            <w:pPr>
              <w:spacing w:after="0"/>
              <w:rPr>
                <w:sz w:val="10"/>
                <w:szCs w:val="10"/>
                <w:color w:val="auto"/>
              </w:rPr>
            </w:pPr>
          </w:p>
        </w:tc>
        <w:tc>
          <w:tcPr>
            <w:tcW w:w="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0"/>
                <w:szCs w:val="10"/>
                <w:b w:val="1"/>
                <w:bCs w:val="1"/>
                <w:color w:val="auto"/>
                <w:w w:val="80"/>
              </w:rPr>
              <w:t>2020</w:t>
            </w:r>
          </w:p>
        </w:tc>
        <w:tc>
          <w:tcPr>
            <w:tcW w:w="4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0"/>
              </w:rPr>
              <w:t>2020</w:t>
            </w:r>
          </w:p>
        </w:tc>
        <w:tc>
          <w:tcPr>
            <w:tcW w:w="5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2020</w:t>
            </w:r>
          </w:p>
        </w:tc>
        <w:tc>
          <w:tcPr>
            <w:tcW w:w="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0"/>
              </w:rPr>
              <w:t>2021</w:t>
            </w:r>
          </w:p>
        </w:tc>
        <w:tc>
          <w:tcPr>
            <w:tcW w:w="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9"/>
              </w:rPr>
              <w:t>2021</w:t>
            </w:r>
          </w:p>
        </w:tc>
        <w:tc>
          <w:tcPr>
            <w:tcW w:w="5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0"/>
                <w:szCs w:val="10"/>
                <w:b w:val="1"/>
                <w:bCs w:val="1"/>
                <w:color w:val="auto"/>
                <w:w w:val="80"/>
              </w:rPr>
              <w:t>2022</w:t>
            </w:r>
          </w:p>
        </w:tc>
        <w:tc>
          <w:tcPr>
            <w:tcW w:w="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9"/>
              </w:rPr>
              <w:t>2022</w:t>
            </w:r>
          </w:p>
        </w:tc>
        <w:tc>
          <w:tcPr>
            <w:tcW w:w="5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0"/>
                <w:szCs w:val="10"/>
                <w:b w:val="1"/>
                <w:bCs w:val="1"/>
                <w:color w:val="auto"/>
                <w:w w:val="89"/>
              </w:rPr>
              <w:t>2023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80"/>
              </w:rPr>
              <w:t>2023</w:t>
            </w:r>
          </w:p>
        </w:tc>
        <w:tc>
          <w:tcPr>
            <w:tcW w:w="80" w:type="dxa"/>
            <w:vAlign w:val="bottom"/>
          </w:tcPr>
          <w:p>
            <w:pPr>
              <w:spacing w:after="0"/>
              <w:rPr>
                <w:sz w:val="10"/>
                <w:szCs w:val="10"/>
                <w:color w:val="auto"/>
              </w:rPr>
            </w:pPr>
          </w:p>
        </w:tc>
      </w:tr>
      <w:tr>
        <w:trPr>
          <w:trHeight w:val="107"/>
        </w:trPr>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5"/>
          </w:tcPr>
          <w:p>
            <w:pPr>
              <w:jc w:val="right"/>
              <w:ind w:right="240"/>
              <w:spacing w:after="0" w:line="107" w:lineRule="exact"/>
              <w:rPr>
                <w:sz w:val="20"/>
                <w:szCs w:val="20"/>
                <w:color w:val="auto"/>
              </w:rPr>
            </w:pPr>
            <w:r>
              <w:rPr>
                <w:rFonts w:ascii="Arial" w:cs="Arial" w:eastAsia="Arial" w:hAnsi="Arial"/>
                <w:sz w:val="10"/>
                <w:szCs w:val="10"/>
                <w:b w:val="1"/>
                <w:bCs w:val="1"/>
                <w:color w:val="auto"/>
              </w:rPr>
              <w:t>(in millions)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Cost of revenue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61</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198</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155</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141</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145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181</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177</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80" w:type="dxa"/>
            <w:vAlign w:val="bottom"/>
            <w:shd w:val="clear" w:color="auto" w:fill="CCEEFF"/>
          </w:tcPr>
          <w:p>
            <w:pPr>
              <w:spacing w:after="0"/>
              <w:rPr>
                <w:sz w:val="11"/>
                <w:szCs w:val="11"/>
                <w:color w:val="auto"/>
              </w:rPr>
            </w:pPr>
          </w:p>
        </w:tc>
      </w:tr>
      <w:tr>
        <w:trPr>
          <w:trHeight w:val="122"/>
        </w:trPr>
        <w:tc>
          <w:tcPr>
            <w:tcW w:w="10340" w:type="dxa"/>
            <w:vAlign w:val="bottom"/>
            <w:gridSpan w:val="57"/>
          </w:tcPr>
          <w:p>
            <w:pPr>
              <w:spacing w:after="0" w:line="122" w:lineRule="exact"/>
              <w:rPr>
                <w:sz w:val="20"/>
                <w:szCs w:val="20"/>
                <w:color w:val="auto"/>
              </w:rPr>
            </w:pPr>
            <w:r>
              <w:rPr>
                <w:rFonts w:ascii="Arial" w:cs="Arial" w:eastAsia="Arial" w:hAnsi="Arial"/>
                <w:sz w:val="11"/>
                <w:szCs w:val="11"/>
                <w:color w:val="auto"/>
              </w:rPr>
              <w:t>Adjusted to exclude the</w:t>
            </w:r>
          </w:p>
        </w:tc>
      </w:tr>
      <w:tr>
        <w:trPr>
          <w:trHeight w:val="131"/>
        </w:trPr>
        <w:tc>
          <w:tcPr>
            <w:tcW w:w="10340" w:type="dxa"/>
            <w:vAlign w:val="bottom"/>
            <w:gridSpan w:val="57"/>
          </w:tcPr>
          <w:p>
            <w:pPr>
              <w:ind w:left="100"/>
              <w:spacing w:after="0"/>
              <w:rPr>
                <w:sz w:val="20"/>
                <w:szCs w:val="20"/>
                <w:color w:val="auto"/>
              </w:rPr>
            </w:pPr>
            <w:r>
              <w:rPr>
                <w:rFonts w:ascii="Arial" w:cs="Arial" w:eastAsia="Arial" w:hAnsi="Arial"/>
                <w:sz w:val="11"/>
                <w:szCs w:val="11"/>
                <w:color w:val="auto"/>
              </w:rPr>
              <w:t>following:</w:t>
            </w:r>
          </w:p>
        </w:tc>
      </w:tr>
      <w:tr>
        <w:trPr>
          <w:trHeight w:val="122"/>
        </w:trPr>
        <w:tc>
          <w:tcPr>
            <w:tcW w:w="2880" w:type="dxa"/>
            <w:vAlign w:val="bottom"/>
            <w:tcBorders>
              <w:right w:val="single" w:sz="8" w:color="CCEEFF"/>
            </w:tcBorders>
            <w:gridSpan w:val="11"/>
            <w:shd w:val="clear" w:color="auto" w:fill="CCEEFF"/>
          </w:tcPr>
          <w:p>
            <w:pPr>
              <w:ind w:left="100"/>
              <w:spacing w:after="0" w:line="122" w:lineRule="exact"/>
              <w:rPr>
                <w:sz w:val="20"/>
                <w:szCs w:val="20"/>
                <w:color w:val="auto"/>
              </w:rPr>
            </w:pPr>
            <w:r>
              <w:rPr>
                <w:rFonts w:ascii="Arial" w:cs="Arial" w:eastAsia="Arial" w:hAnsi="Arial"/>
                <w:sz w:val="11"/>
                <w:szCs w:val="11"/>
                <w:color w:val="auto"/>
              </w:rPr>
              <w:t>Depreciation and</w:t>
            </w:r>
          </w:p>
        </w:tc>
        <w:tc>
          <w:tcPr>
            <w:tcW w:w="1480" w:type="dxa"/>
            <w:vAlign w:val="bottom"/>
            <w:tcBorders>
              <w:right w:val="single" w:sz="8" w:color="CCEEFF"/>
            </w:tcBorders>
            <w:gridSpan w:val="10"/>
            <w:shd w:val="clear" w:color="auto" w:fill="CCEEFF"/>
          </w:tcPr>
          <w:p>
            <w:pPr>
              <w:spacing w:after="0"/>
              <w:rPr>
                <w:sz w:val="10"/>
                <w:szCs w:val="10"/>
                <w:color w:val="auto"/>
              </w:rPr>
            </w:pPr>
          </w:p>
        </w:tc>
        <w:tc>
          <w:tcPr>
            <w:tcW w:w="520" w:type="dxa"/>
            <w:vAlign w:val="bottom"/>
            <w:tcBorders>
              <w:right w:val="single" w:sz="8" w:color="CCEEFF"/>
            </w:tcBorders>
            <w:gridSpan w:val="3"/>
            <w:shd w:val="clear" w:color="auto" w:fill="CCEEFF"/>
          </w:tcPr>
          <w:p>
            <w:pPr>
              <w:spacing w:after="0"/>
              <w:rPr>
                <w:sz w:val="10"/>
                <w:szCs w:val="10"/>
                <w:color w:val="auto"/>
              </w:rPr>
            </w:pPr>
          </w:p>
        </w:tc>
        <w:tc>
          <w:tcPr>
            <w:tcW w:w="2540" w:type="dxa"/>
            <w:vAlign w:val="bottom"/>
            <w:tcBorders>
              <w:right w:val="single" w:sz="8" w:color="CCEEFF"/>
            </w:tcBorders>
            <w:gridSpan w:val="16"/>
            <w:shd w:val="clear" w:color="auto" w:fill="CCEEFF"/>
          </w:tcPr>
          <w:p>
            <w:pPr>
              <w:spacing w:after="0"/>
              <w:rPr>
                <w:sz w:val="10"/>
                <w:szCs w:val="10"/>
                <w:color w:val="auto"/>
              </w:rPr>
            </w:pPr>
          </w:p>
        </w:tc>
        <w:tc>
          <w:tcPr>
            <w:tcW w:w="520" w:type="dxa"/>
            <w:vAlign w:val="bottom"/>
            <w:tcBorders>
              <w:right w:val="single" w:sz="8" w:color="CCEEFF"/>
            </w:tcBorders>
            <w:gridSpan w:val="3"/>
            <w:shd w:val="clear" w:color="auto" w:fill="CCEEFF"/>
          </w:tcPr>
          <w:p>
            <w:pPr>
              <w:spacing w:after="0"/>
              <w:rPr>
                <w:sz w:val="10"/>
                <w:szCs w:val="10"/>
                <w:color w:val="auto"/>
              </w:rPr>
            </w:pPr>
          </w:p>
        </w:tc>
        <w:tc>
          <w:tcPr>
            <w:tcW w:w="1520" w:type="dxa"/>
            <w:vAlign w:val="bottom"/>
            <w:tcBorders>
              <w:right w:val="single" w:sz="8" w:color="CCEEFF"/>
            </w:tcBorders>
            <w:gridSpan w:val="9"/>
            <w:shd w:val="clear" w:color="auto" w:fill="CCEEFF"/>
          </w:tcPr>
          <w:p>
            <w:pPr>
              <w:spacing w:after="0"/>
              <w:rPr>
                <w:sz w:val="10"/>
                <w:szCs w:val="10"/>
                <w:color w:val="auto"/>
              </w:rPr>
            </w:pPr>
          </w:p>
        </w:tc>
        <w:tc>
          <w:tcPr>
            <w:tcW w:w="520" w:type="dxa"/>
            <w:vAlign w:val="bottom"/>
            <w:tcBorders>
              <w:right w:val="single" w:sz="8" w:color="CCEEFF"/>
            </w:tcBorders>
            <w:gridSpan w:val="3"/>
            <w:shd w:val="clear" w:color="auto" w:fill="CCEEFF"/>
          </w:tcPr>
          <w:p>
            <w:pPr>
              <w:spacing w:after="0"/>
              <w:rPr>
                <w:sz w:val="10"/>
                <w:szCs w:val="10"/>
                <w:color w:val="auto"/>
              </w:rPr>
            </w:pPr>
          </w:p>
        </w:tc>
        <w:tc>
          <w:tcPr>
            <w:tcW w:w="360" w:type="dxa"/>
            <w:vAlign w:val="bottom"/>
            <w:gridSpan w:val="2"/>
            <w:shd w:val="clear" w:color="auto" w:fill="CCEEFF"/>
          </w:tcPr>
          <w:p>
            <w:pPr>
              <w:spacing w:after="0"/>
              <w:rPr>
                <w:sz w:val="10"/>
                <w:szCs w:val="10"/>
                <w:color w:val="auto"/>
              </w:rPr>
            </w:pPr>
          </w:p>
        </w:tc>
      </w:tr>
      <w:tr>
        <w:trPr>
          <w:trHeight w:val="131"/>
        </w:trPr>
        <w:tc>
          <w:tcPr>
            <w:tcW w:w="1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amortization expense</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w:t>
            </w: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r>
      <w:tr>
        <w:trPr>
          <w:trHeight w:val="20"/>
        </w:trPr>
        <w:tc>
          <w:tcPr>
            <w:tcW w:w="2880" w:type="dxa"/>
            <w:vAlign w:val="bottom"/>
            <w:tcBorders>
              <w:right w:val="single" w:sz="8" w:color="auto"/>
            </w:tcBorders>
            <w:gridSpan w:val="11"/>
          </w:tcPr>
          <w:p>
            <w:pPr>
              <w:spacing w:after="0" w:line="20" w:lineRule="exact"/>
              <w:rPr>
                <w:sz w:val="1"/>
                <w:szCs w:val="1"/>
                <w:color w:val="auto"/>
              </w:rPr>
            </w:pPr>
          </w:p>
        </w:tc>
        <w:tc>
          <w:tcPr>
            <w:tcW w:w="1480" w:type="dxa"/>
            <w:vAlign w:val="bottom"/>
            <w:tcBorders>
              <w:right w:val="single" w:sz="8" w:color="auto"/>
            </w:tcBorders>
            <w:gridSpan w:val="10"/>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2540" w:type="dxa"/>
            <w:vAlign w:val="bottom"/>
            <w:tcBorders>
              <w:right w:val="single" w:sz="8" w:color="auto"/>
            </w:tcBorders>
            <w:gridSpan w:val="16"/>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1520" w:type="dxa"/>
            <w:vAlign w:val="bottom"/>
            <w:tcBorders>
              <w:right w:val="single" w:sz="8" w:color="auto"/>
            </w:tcBorders>
            <w:gridSpan w:val="9"/>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r>
      <w:tr>
        <w:trPr>
          <w:trHeight w:val="132"/>
        </w:trPr>
        <w:tc>
          <w:tcPr>
            <w:tcW w:w="1320" w:type="dxa"/>
            <w:vAlign w:val="bottom"/>
          </w:tcPr>
          <w:p>
            <w:pPr>
              <w:spacing w:after="0"/>
              <w:rPr>
                <w:sz w:val="20"/>
                <w:szCs w:val="20"/>
                <w:color w:val="auto"/>
              </w:rPr>
            </w:pPr>
            <w:r>
              <w:rPr>
                <w:rFonts w:ascii="Arial" w:cs="Arial" w:eastAsia="Arial" w:hAnsi="Arial"/>
                <w:sz w:val="11"/>
                <w:szCs w:val="11"/>
                <w:color w:val="auto"/>
              </w:rPr>
              <w:t>Adjusted cost of revenue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45</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60</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67</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196</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154</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60"/>
              <w:spacing w:after="0"/>
              <w:rPr>
                <w:sz w:val="20"/>
                <w:szCs w:val="20"/>
                <w:color w:val="auto"/>
              </w:rPr>
            </w:pPr>
            <w:r>
              <w:rPr>
                <w:rFonts w:ascii="Arial" w:cs="Arial" w:eastAsia="Arial" w:hAnsi="Arial"/>
                <w:sz w:val="11"/>
                <w:szCs w:val="11"/>
                <w:color w:val="auto"/>
              </w:rPr>
              <w:t>155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163</w:t>
            </w:r>
          </w:p>
        </w:tc>
        <w:tc>
          <w:tcPr>
            <w:tcW w:w="16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140</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rPr>
              <w:t>143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171</w:t>
            </w:r>
          </w:p>
        </w:tc>
        <w:tc>
          <w:tcPr>
            <w:tcW w:w="10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179</w:t>
            </w:r>
          </w:p>
        </w:tc>
        <w:tc>
          <w:tcPr>
            <w:tcW w:w="16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173</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171</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1"/>
                <w:szCs w:val="11"/>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Operations and Support</w:t>
      </w:r>
    </w:p>
    <w:p>
      <w:pPr>
        <w:spacing w:after="0" w:line="108" w:lineRule="exact"/>
        <w:rPr>
          <w:sz w:val="20"/>
          <w:szCs w:val="20"/>
          <w:color w:val="auto"/>
        </w:rPr>
      </w:pPr>
    </w:p>
    <w:p>
      <w:pPr>
        <w:ind w:left="460" w:right="580" w:firstLine="413"/>
        <w:spacing w:after="0" w:line="303" w:lineRule="auto"/>
        <w:rPr>
          <w:sz w:val="20"/>
          <w:szCs w:val="20"/>
          <w:color w:val="auto"/>
        </w:rPr>
      </w:pPr>
      <w:r>
        <w:rPr>
          <w:rFonts w:ascii="Arial" w:cs="Arial" w:eastAsia="Arial" w:hAnsi="Arial"/>
          <w:sz w:val="16"/>
          <w:szCs w:val="16"/>
          <w:color w:val="auto"/>
        </w:rPr>
        <w:t>The following table provides a reconciliation of operations and support expense to adjusted operations and support expense for each of the quarterly periods for the years ended December 2019, 2020, 2021, and 2022 and the six months ended June 30, 2023:</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0"/>
                <w:szCs w:val="10"/>
                <w:b w:val="1"/>
                <w:bCs w:val="1"/>
                <w:color w:val="auto"/>
                <w:w w:val="90"/>
              </w:rPr>
              <w:t>Three Months Ended</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5"/>
        </w:trPr>
        <w:tc>
          <w:tcPr>
            <w:tcW w:w="164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1"/>
              </w:rPr>
              <w:t>Jun. 30,</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2"/>
              </w:rPr>
              <w:t>Sept. 30,</w:t>
            </w:r>
          </w:p>
        </w:tc>
        <w:tc>
          <w:tcPr>
            <w:tcW w:w="120" w:type="dxa"/>
            <w:vAlign w:val="bottom"/>
          </w:tcPr>
          <w:p>
            <w:pPr>
              <w:spacing w:after="0"/>
              <w:rPr>
                <w:sz w:val="8"/>
                <w:szCs w:val="8"/>
                <w:color w:val="auto"/>
              </w:rPr>
            </w:pPr>
          </w:p>
        </w:tc>
        <w:tc>
          <w:tcPr>
            <w:tcW w:w="36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9"/>
              </w:rPr>
              <w:t>Dec. 31,</w:t>
            </w:r>
          </w:p>
        </w:tc>
        <w:tc>
          <w:tcPr>
            <w:tcW w:w="120" w:type="dxa"/>
            <w:vAlign w:val="bottom"/>
          </w:tcPr>
          <w:p>
            <w:pPr>
              <w:spacing w:after="0"/>
              <w:rPr>
                <w:sz w:val="8"/>
                <w:szCs w:val="8"/>
                <w:color w:val="auto"/>
              </w:rPr>
            </w:pPr>
          </w:p>
        </w:tc>
        <w:tc>
          <w:tcPr>
            <w:tcW w:w="340" w:type="dxa"/>
            <w:vAlign w:val="bottom"/>
            <w:gridSpan w:val="2"/>
          </w:tcPr>
          <w:p>
            <w:pPr>
              <w:jc w:val="right"/>
              <w:ind w:right="40"/>
              <w:spacing w:after="0" w:line="95" w:lineRule="exact"/>
              <w:rPr>
                <w:sz w:val="20"/>
                <w:szCs w:val="20"/>
                <w:color w:val="auto"/>
              </w:rPr>
            </w:pPr>
            <w:r>
              <w:rPr>
                <w:rFonts w:ascii="Arial" w:cs="Arial" w:eastAsia="Arial" w:hAnsi="Arial"/>
                <w:sz w:val="10"/>
                <w:szCs w:val="10"/>
                <w:b w:val="1"/>
                <w:bCs w:val="1"/>
                <w:color w:val="auto"/>
                <w:w w:val="75"/>
              </w:rPr>
              <w:t>Mar. 31,</w:t>
            </w:r>
          </w:p>
        </w:tc>
        <w:tc>
          <w:tcPr>
            <w:tcW w:w="12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6"/>
              </w:rPr>
              <w:t>Jun. 30,</w:t>
            </w:r>
          </w:p>
        </w:tc>
        <w:tc>
          <w:tcPr>
            <w:tcW w:w="4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120" w:type="dxa"/>
            <w:vAlign w:val="bottom"/>
          </w:tcPr>
          <w:p>
            <w:pPr>
              <w:spacing w:after="0"/>
              <w:rPr>
                <w:sz w:val="8"/>
                <w:szCs w:val="8"/>
                <w:color w:val="auto"/>
              </w:rPr>
            </w:pPr>
          </w:p>
        </w:tc>
        <w:tc>
          <w:tcPr>
            <w:tcW w:w="3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79"/>
              </w:rPr>
              <w:t>Dec. 31,</w:t>
            </w:r>
          </w:p>
        </w:tc>
        <w:tc>
          <w:tcPr>
            <w:tcW w:w="10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0" w:type="dxa"/>
            <w:vAlign w:val="bottom"/>
          </w:tcPr>
          <w:p>
            <w:pPr>
              <w:spacing w:after="0"/>
              <w:rPr>
                <w:sz w:val="8"/>
                <w:szCs w:val="8"/>
                <w:color w:val="auto"/>
              </w:rPr>
            </w:pP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40" w:type="dxa"/>
            <w:vAlign w:val="bottom"/>
          </w:tcPr>
          <w:p>
            <w:pPr>
              <w:spacing w:after="0"/>
              <w:rPr>
                <w:sz w:val="8"/>
                <w:szCs w:val="8"/>
                <w:color w:val="auto"/>
              </w:rPr>
            </w:pPr>
          </w:p>
        </w:tc>
        <w:tc>
          <w:tcPr>
            <w:tcW w:w="4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w w:val="97"/>
              </w:rPr>
              <w:t>Sept. 30,</w:t>
            </w:r>
          </w:p>
        </w:tc>
        <w:tc>
          <w:tcPr>
            <w:tcW w:w="12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b w:val="1"/>
                <w:bCs w:val="1"/>
                <w:color w:val="auto"/>
                <w:w w:val="76"/>
              </w:rPr>
              <w:t>Dec. 31,</w:t>
            </w:r>
          </w:p>
        </w:tc>
        <w:tc>
          <w:tcPr>
            <w:tcW w:w="160" w:type="dxa"/>
            <w:vAlign w:val="bottom"/>
          </w:tcPr>
          <w:p>
            <w:pPr>
              <w:spacing w:after="0"/>
              <w:rPr>
                <w:sz w:val="8"/>
                <w:szCs w:val="8"/>
                <w:color w:val="auto"/>
              </w:rPr>
            </w:pPr>
          </w:p>
        </w:tc>
        <w:tc>
          <w:tcPr>
            <w:tcW w:w="360" w:type="dxa"/>
            <w:vAlign w:val="bottom"/>
            <w:gridSpan w:val="2"/>
          </w:tcPr>
          <w:p>
            <w:pPr>
              <w:jc w:val="right"/>
              <w:ind w:right="60"/>
              <w:spacing w:after="0" w:line="95" w:lineRule="exact"/>
              <w:rPr>
                <w:sz w:val="20"/>
                <w:szCs w:val="20"/>
                <w:color w:val="auto"/>
              </w:rPr>
            </w:pPr>
            <w:r>
              <w:rPr>
                <w:rFonts w:ascii="Arial" w:cs="Arial" w:eastAsia="Arial" w:hAnsi="Arial"/>
                <w:sz w:val="10"/>
                <w:szCs w:val="10"/>
                <w:b w:val="1"/>
                <w:bCs w:val="1"/>
                <w:color w:val="auto"/>
                <w:w w:val="75"/>
              </w:rPr>
              <w:t>Mar. 31,</w:t>
            </w:r>
          </w:p>
        </w:tc>
        <w:tc>
          <w:tcPr>
            <w:tcW w:w="100" w:type="dxa"/>
            <w:vAlign w:val="bottom"/>
          </w:tcPr>
          <w:p>
            <w:pPr>
              <w:spacing w:after="0"/>
              <w:rPr>
                <w:sz w:val="8"/>
                <w:szCs w:val="8"/>
                <w:color w:val="auto"/>
              </w:rPr>
            </w:pPr>
          </w:p>
        </w:tc>
        <w:tc>
          <w:tcPr>
            <w:tcW w:w="4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34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84"/>
              </w:rPr>
              <w:t>Dec. 31,</w:t>
            </w:r>
          </w:p>
        </w:tc>
        <w:tc>
          <w:tcPr>
            <w:tcW w:w="100" w:type="dxa"/>
            <w:vAlign w:val="bottom"/>
          </w:tcPr>
          <w:p>
            <w:pPr>
              <w:spacing w:after="0"/>
              <w:rPr>
                <w:sz w:val="8"/>
                <w:szCs w:val="8"/>
                <w:color w:val="auto"/>
              </w:rPr>
            </w:pPr>
          </w:p>
        </w:tc>
        <w:tc>
          <w:tcPr>
            <w:tcW w:w="46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280" w:type="dxa"/>
            <w:vAlign w:val="bottom"/>
          </w:tcPr>
          <w:p>
            <w:pPr>
              <w:spacing w:after="0" w:line="95" w:lineRule="exact"/>
              <w:rPr>
                <w:sz w:val="20"/>
                <w:szCs w:val="20"/>
                <w:color w:val="auto"/>
              </w:rPr>
            </w:pPr>
            <w:r>
              <w:rPr>
                <w:rFonts w:ascii="Arial" w:cs="Arial" w:eastAsia="Arial" w:hAnsi="Arial"/>
                <w:sz w:val="9"/>
                <w:szCs w:val="9"/>
                <w:b w:val="1"/>
                <w:bCs w:val="1"/>
                <w:color w:val="auto"/>
                <w:w w:val="77"/>
              </w:rPr>
              <w:t>Jun. 30,</w:t>
            </w:r>
          </w:p>
        </w:tc>
        <w:tc>
          <w:tcPr>
            <w:tcW w:w="80" w:type="dxa"/>
            <w:vAlign w:val="bottom"/>
          </w:tcPr>
          <w:p>
            <w:pPr>
              <w:spacing w:after="0"/>
              <w:rPr>
                <w:sz w:val="8"/>
                <w:szCs w:val="8"/>
                <w:color w:val="auto"/>
              </w:rPr>
            </w:pPr>
          </w:p>
        </w:tc>
      </w:tr>
      <w:tr>
        <w:trPr>
          <w:trHeight w:val="126"/>
        </w:trPr>
        <w:tc>
          <w:tcPr>
            <w:tcW w:w="1640" w:type="dxa"/>
            <w:vAlign w:val="bottom"/>
          </w:tcPr>
          <w:p>
            <w:pPr>
              <w:spacing w:after="0"/>
              <w:rPr>
                <w:sz w:val="10"/>
                <w:szCs w:val="10"/>
                <w:color w:val="auto"/>
              </w:rPr>
            </w:pPr>
          </w:p>
        </w:tc>
        <w:tc>
          <w:tcPr>
            <w:tcW w:w="5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0"/>
              </w:rPr>
              <w:t>2019</w:t>
            </w:r>
          </w:p>
        </w:tc>
        <w:tc>
          <w:tcPr>
            <w:tcW w:w="5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0"/>
                <w:szCs w:val="10"/>
                <w:b w:val="1"/>
                <w:bCs w:val="1"/>
                <w:color w:val="auto"/>
                <w:w w:val="89"/>
              </w:rPr>
              <w:t>2019</w:t>
            </w:r>
          </w:p>
        </w:tc>
        <w:tc>
          <w:tcPr>
            <w:tcW w:w="4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0"/>
                <w:szCs w:val="10"/>
                <w:b w:val="1"/>
                <w:bCs w:val="1"/>
                <w:color w:val="auto"/>
                <w:w w:val="80"/>
              </w:rPr>
              <w:t>2019</w:t>
            </w:r>
          </w:p>
        </w:tc>
        <w:tc>
          <w:tcPr>
            <w:tcW w:w="4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2020</w:t>
            </w:r>
          </w:p>
        </w:tc>
        <w:tc>
          <w:tcPr>
            <w:tcW w:w="5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0"/>
                <w:szCs w:val="10"/>
                <w:b w:val="1"/>
                <w:bCs w:val="1"/>
                <w:color w:val="auto"/>
                <w:w w:val="89"/>
              </w:rPr>
              <w:t>2021</w:t>
            </w:r>
          </w:p>
        </w:tc>
        <w:tc>
          <w:tcPr>
            <w:tcW w:w="44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0"/>
                <w:szCs w:val="10"/>
                <w:b w:val="1"/>
                <w:bCs w:val="1"/>
                <w:color w:val="auto"/>
                <w:w w:val="80"/>
              </w:rPr>
              <w:t>2021</w:t>
            </w:r>
          </w:p>
        </w:tc>
        <w:tc>
          <w:tcPr>
            <w:tcW w:w="4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2022</w:t>
            </w:r>
          </w:p>
        </w:tc>
        <w:tc>
          <w:tcPr>
            <w:tcW w:w="4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0"/>
                <w:szCs w:val="10"/>
                <w:b w:val="1"/>
                <w:bCs w:val="1"/>
                <w:color w:val="auto"/>
                <w:w w:val="89"/>
              </w:rPr>
              <w:t>2023</w:t>
            </w: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0"/>
              </w:rPr>
              <w:t>2023</w:t>
            </w:r>
          </w:p>
        </w:tc>
        <w:tc>
          <w:tcPr>
            <w:tcW w:w="80" w:type="dxa"/>
            <w:vAlign w:val="bottom"/>
          </w:tcPr>
          <w:p>
            <w:pPr>
              <w:spacing w:after="0"/>
              <w:rPr>
                <w:sz w:val="10"/>
                <w:szCs w:val="10"/>
                <w:color w:val="auto"/>
              </w:rPr>
            </w:pPr>
          </w:p>
        </w:tc>
      </w:tr>
      <w:tr>
        <w:trPr>
          <w:trHeight w:val="107"/>
        </w:trPr>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6"/>
          </w:tcPr>
          <w:p>
            <w:pPr>
              <w:jc w:val="right"/>
              <w:ind w:right="320"/>
              <w:spacing w:after="0" w:line="107" w:lineRule="exact"/>
              <w:rPr>
                <w:sz w:val="20"/>
                <w:szCs w:val="20"/>
                <w:color w:val="auto"/>
              </w:rPr>
            </w:pPr>
            <w:r>
              <w:rPr>
                <w:rFonts w:ascii="Arial" w:cs="Arial" w:eastAsia="Arial" w:hAnsi="Arial"/>
                <w:sz w:val="10"/>
                <w:szCs w:val="10"/>
                <w:b w:val="1"/>
                <w:bCs w:val="1"/>
                <w:color w:val="auto"/>
                <w:w w:val="92"/>
              </w:rPr>
              <w:t>(in millions)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1640" w:type="dxa"/>
            <w:vAlign w:val="bottom"/>
            <w:shd w:val="clear" w:color="auto" w:fill="CCEEFF"/>
          </w:tcPr>
          <w:p>
            <w:pPr>
              <w:spacing w:after="0"/>
              <w:rPr>
                <w:sz w:val="20"/>
                <w:szCs w:val="20"/>
                <w:color w:val="auto"/>
              </w:rPr>
            </w:pPr>
            <w:r>
              <w:rPr>
                <w:rFonts w:ascii="Arial" w:cs="Arial" w:eastAsia="Arial" w:hAnsi="Arial"/>
                <w:sz w:val="11"/>
                <w:szCs w:val="11"/>
                <w:color w:val="auto"/>
              </w:rPr>
              <w:t>Operations and support</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44</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51</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57</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73</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62</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67</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1"/>
                <w:szCs w:val="11"/>
                <w:color w:val="auto"/>
              </w:rPr>
            </w:pPr>
          </w:p>
        </w:tc>
      </w:tr>
      <w:tr>
        <w:trPr>
          <w:trHeight w:val="127"/>
        </w:trPr>
        <w:tc>
          <w:tcPr>
            <w:tcW w:w="10340" w:type="dxa"/>
            <w:vAlign w:val="bottom"/>
            <w:gridSpan w:val="58"/>
          </w:tcPr>
          <w:p>
            <w:pPr>
              <w:spacing w:after="0"/>
              <w:rPr>
                <w:sz w:val="20"/>
                <w:szCs w:val="20"/>
                <w:color w:val="auto"/>
              </w:rPr>
            </w:pPr>
            <w:r>
              <w:rPr>
                <w:rFonts w:ascii="Arial" w:cs="Arial" w:eastAsia="Arial" w:hAnsi="Arial"/>
                <w:sz w:val="11"/>
                <w:szCs w:val="11"/>
                <w:color w:val="auto"/>
                <w:w w:val="99"/>
              </w:rPr>
              <w:t>Adjusted to exclude the following:</w:t>
            </w:r>
          </w:p>
        </w:tc>
      </w:tr>
      <w:tr>
        <w:trPr>
          <w:trHeight w:val="122"/>
        </w:trPr>
        <w:tc>
          <w:tcPr>
            <w:tcW w:w="2220" w:type="dxa"/>
            <w:vAlign w:val="bottom"/>
            <w:tcBorders>
              <w:right w:val="single" w:sz="8" w:color="CCEEFF"/>
            </w:tcBorders>
            <w:gridSpan w:val="5"/>
            <w:shd w:val="clear" w:color="auto" w:fill="CCEEFF"/>
          </w:tcPr>
          <w:p>
            <w:pPr>
              <w:ind w:left="220"/>
              <w:spacing w:after="0" w:line="122" w:lineRule="exact"/>
              <w:rPr>
                <w:sz w:val="20"/>
                <w:szCs w:val="20"/>
                <w:color w:val="auto"/>
              </w:rPr>
            </w:pPr>
            <w:r>
              <w:rPr>
                <w:rFonts w:ascii="Arial" w:cs="Arial" w:eastAsia="Arial" w:hAnsi="Arial"/>
                <w:sz w:val="11"/>
                <w:szCs w:val="11"/>
                <w:color w:val="auto"/>
                <w:w w:val="95"/>
              </w:rPr>
              <w:t>Depreciation and amortization</w:t>
            </w: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520" w:type="dxa"/>
            <w:vAlign w:val="bottom"/>
            <w:tcBorders>
              <w:right w:val="single" w:sz="8" w:color="CCEEFF"/>
            </w:tcBorders>
            <w:gridSpan w:val="3"/>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spacing w:after="0"/>
              <w:rPr>
                <w:sz w:val="10"/>
                <w:szCs w:val="10"/>
                <w:color w:val="auto"/>
              </w:rPr>
            </w:pPr>
          </w:p>
        </w:tc>
        <w:tc>
          <w:tcPr>
            <w:tcW w:w="1000" w:type="dxa"/>
            <w:vAlign w:val="bottom"/>
            <w:tcBorders>
              <w:right w:val="single" w:sz="8" w:color="CCEEFF"/>
            </w:tcBorders>
            <w:gridSpan w:val="7"/>
            <w:shd w:val="clear" w:color="auto" w:fill="CCEEFF"/>
          </w:tcPr>
          <w:p>
            <w:pPr>
              <w:spacing w:after="0"/>
              <w:rPr>
                <w:sz w:val="10"/>
                <w:szCs w:val="10"/>
                <w:color w:val="auto"/>
              </w:rPr>
            </w:pPr>
          </w:p>
        </w:tc>
        <w:tc>
          <w:tcPr>
            <w:tcW w:w="1960" w:type="dxa"/>
            <w:vAlign w:val="bottom"/>
            <w:tcBorders>
              <w:right w:val="single" w:sz="8" w:color="CCEEFF"/>
            </w:tcBorders>
            <w:gridSpan w:val="15"/>
            <w:shd w:val="clear" w:color="auto" w:fill="CCEEFF"/>
          </w:tcPr>
          <w:p>
            <w:pPr>
              <w:spacing w:after="0"/>
              <w:rPr>
                <w:sz w:val="10"/>
                <w:szCs w:val="10"/>
                <w:color w:val="auto"/>
              </w:rPr>
            </w:pPr>
          </w:p>
        </w:tc>
        <w:tc>
          <w:tcPr>
            <w:tcW w:w="440" w:type="dxa"/>
            <w:vAlign w:val="bottom"/>
            <w:tcBorders>
              <w:right w:val="single" w:sz="8" w:color="CCEEFF"/>
            </w:tcBorders>
            <w:gridSpan w:val="2"/>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spacing w:after="0"/>
              <w:rPr>
                <w:sz w:val="10"/>
                <w:szCs w:val="10"/>
                <w:color w:val="auto"/>
              </w:rPr>
            </w:pPr>
          </w:p>
        </w:tc>
        <w:tc>
          <w:tcPr>
            <w:tcW w:w="1960" w:type="dxa"/>
            <w:vAlign w:val="bottom"/>
            <w:tcBorders>
              <w:right w:val="single" w:sz="8" w:color="CCEEFF"/>
            </w:tcBorders>
            <w:gridSpan w:val="12"/>
            <w:shd w:val="clear" w:color="auto" w:fill="CCEEFF"/>
          </w:tcPr>
          <w:p>
            <w:pPr>
              <w:spacing w:after="0"/>
              <w:rPr>
                <w:sz w:val="10"/>
                <w:szCs w:val="10"/>
                <w:color w:val="auto"/>
              </w:rPr>
            </w:pPr>
          </w:p>
        </w:tc>
        <w:tc>
          <w:tcPr>
            <w:tcW w:w="360" w:type="dxa"/>
            <w:vAlign w:val="bottom"/>
            <w:gridSpan w:val="2"/>
            <w:shd w:val="clear" w:color="auto" w:fill="CCEEFF"/>
          </w:tcPr>
          <w:p>
            <w:pPr>
              <w:spacing w:after="0"/>
              <w:rPr>
                <w:sz w:val="10"/>
                <w:szCs w:val="10"/>
                <w:color w:val="auto"/>
              </w:rPr>
            </w:pPr>
          </w:p>
        </w:tc>
      </w:tr>
      <w:tr>
        <w:trPr>
          <w:trHeight w:val="131"/>
        </w:trPr>
        <w:tc>
          <w:tcPr>
            <w:tcW w:w="16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expense</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22"/>
        </w:trPr>
        <w:tc>
          <w:tcPr>
            <w:tcW w:w="10340" w:type="dxa"/>
            <w:vAlign w:val="bottom"/>
            <w:gridSpan w:val="58"/>
          </w:tcPr>
          <w:p>
            <w:pPr>
              <w:ind w:left="220"/>
              <w:spacing w:after="0" w:line="122" w:lineRule="exact"/>
              <w:rPr>
                <w:sz w:val="20"/>
                <w:szCs w:val="20"/>
                <w:color w:val="auto"/>
              </w:rPr>
            </w:pPr>
            <w:r>
              <w:rPr>
                <w:rFonts w:ascii="Arial" w:cs="Arial" w:eastAsia="Arial" w:hAnsi="Arial"/>
                <w:sz w:val="11"/>
                <w:szCs w:val="11"/>
                <w:color w:val="auto"/>
              </w:rPr>
              <w:t>Stock-based compensation</w:t>
            </w:r>
          </w:p>
        </w:tc>
      </w:tr>
      <w:tr>
        <w:trPr>
          <w:trHeight w:val="131"/>
        </w:trPr>
        <w:tc>
          <w:tcPr>
            <w:tcW w:w="1640" w:type="dxa"/>
            <w:vAlign w:val="bottom"/>
          </w:tcPr>
          <w:p>
            <w:pPr>
              <w:ind w:left="320"/>
              <w:spacing w:after="0"/>
              <w:rPr>
                <w:sz w:val="20"/>
                <w:szCs w:val="20"/>
                <w:color w:val="auto"/>
              </w:rPr>
            </w:pPr>
            <w:r>
              <w:rPr>
                <w:rFonts w:ascii="Arial" w:cs="Arial" w:eastAsia="Arial" w:hAnsi="Arial"/>
                <w:sz w:val="11"/>
                <w:szCs w:val="11"/>
                <w:color w:val="auto"/>
              </w:rPr>
              <w:t>expense</w:t>
            </w:r>
          </w:p>
        </w:tc>
        <w:tc>
          <w:tcPr>
            <w:tcW w:w="8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22"/>
        </w:trPr>
        <w:tc>
          <w:tcPr>
            <w:tcW w:w="2220" w:type="dxa"/>
            <w:vAlign w:val="bottom"/>
            <w:tcBorders>
              <w:right w:val="single" w:sz="8" w:color="CCEEFF"/>
            </w:tcBorders>
            <w:gridSpan w:val="5"/>
            <w:shd w:val="clear" w:color="auto" w:fill="CCEEFF"/>
          </w:tcPr>
          <w:p>
            <w:pPr>
              <w:ind w:left="220"/>
              <w:spacing w:after="0" w:line="122" w:lineRule="exact"/>
              <w:rPr>
                <w:sz w:val="20"/>
                <w:szCs w:val="20"/>
                <w:color w:val="auto"/>
              </w:rPr>
            </w:pPr>
            <w:r>
              <w:rPr>
                <w:rFonts w:ascii="Arial" w:cs="Arial" w:eastAsia="Arial" w:hAnsi="Arial"/>
                <w:sz w:val="11"/>
                <w:szCs w:val="11"/>
                <w:color w:val="auto"/>
              </w:rPr>
              <w:t>COVID-19 response</w:t>
            </w: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520" w:type="dxa"/>
            <w:vAlign w:val="bottom"/>
            <w:tcBorders>
              <w:right w:val="single" w:sz="8" w:color="CCEEFF"/>
            </w:tcBorders>
            <w:gridSpan w:val="3"/>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spacing w:after="0"/>
              <w:rPr>
                <w:sz w:val="10"/>
                <w:szCs w:val="10"/>
                <w:color w:val="auto"/>
              </w:rPr>
            </w:pPr>
          </w:p>
        </w:tc>
        <w:tc>
          <w:tcPr>
            <w:tcW w:w="1000" w:type="dxa"/>
            <w:vAlign w:val="bottom"/>
            <w:tcBorders>
              <w:right w:val="single" w:sz="8" w:color="CCEEFF"/>
            </w:tcBorders>
            <w:gridSpan w:val="7"/>
            <w:shd w:val="clear" w:color="auto" w:fill="CCEEFF"/>
          </w:tcPr>
          <w:p>
            <w:pPr>
              <w:spacing w:after="0"/>
              <w:rPr>
                <w:sz w:val="10"/>
                <w:szCs w:val="10"/>
                <w:color w:val="auto"/>
              </w:rPr>
            </w:pPr>
          </w:p>
        </w:tc>
        <w:tc>
          <w:tcPr>
            <w:tcW w:w="1960" w:type="dxa"/>
            <w:vAlign w:val="bottom"/>
            <w:tcBorders>
              <w:right w:val="single" w:sz="8" w:color="CCEEFF"/>
            </w:tcBorders>
            <w:gridSpan w:val="15"/>
            <w:shd w:val="clear" w:color="auto" w:fill="CCEEFF"/>
          </w:tcPr>
          <w:p>
            <w:pPr>
              <w:spacing w:after="0"/>
              <w:rPr>
                <w:sz w:val="10"/>
                <w:szCs w:val="10"/>
                <w:color w:val="auto"/>
              </w:rPr>
            </w:pPr>
          </w:p>
        </w:tc>
        <w:tc>
          <w:tcPr>
            <w:tcW w:w="440" w:type="dxa"/>
            <w:vAlign w:val="bottom"/>
            <w:tcBorders>
              <w:right w:val="single" w:sz="8" w:color="CCEEFF"/>
            </w:tcBorders>
            <w:gridSpan w:val="2"/>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spacing w:after="0"/>
              <w:rPr>
                <w:sz w:val="10"/>
                <w:szCs w:val="10"/>
                <w:color w:val="auto"/>
              </w:rPr>
            </w:pPr>
          </w:p>
        </w:tc>
        <w:tc>
          <w:tcPr>
            <w:tcW w:w="1960" w:type="dxa"/>
            <w:vAlign w:val="bottom"/>
            <w:tcBorders>
              <w:right w:val="single" w:sz="8" w:color="CCEEFF"/>
            </w:tcBorders>
            <w:gridSpan w:val="12"/>
            <w:shd w:val="clear" w:color="auto" w:fill="CCEEFF"/>
          </w:tcPr>
          <w:p>
            <w:pPr>
              <w:spacing w:after="0"/>
              <w:rPr>
                <w:sz w:val="10"/>
                <w:szCs w:val="10"/>
                <w:color w:val="auto"/>
              </w:rPr>
            </w:pPr>
          </w:p>
        </w:tc>
        <w:tc>
          <w:tcPr>
            <w:tcW w:w="360" w:type="dxa"/>
            <w:vAlign w:val="bottom"/>
            <w:gridSpan w:val="2"/>
            <w:shd w:val="clear" w:color="auto" w:fill="CCEEFF"/>
          </w:tcPr>
          <w:p>
            <w:pPr>
              <w:spacing w:after="0"/>
              <w:rPr>
                <w:sz w:val="10"/>
                <w:szCs w:val="10"/>
                <w:color w:val="auto"/>
              </w:rPr>
            </w:pPr>
          </w:p>
        </w:tc>
      </w:tr>
      <w:tr>
        <w:trPr>
          <w:trHeight w:val="131"/>
        </w:trPr>
        <w:tc>
          <w:tcPr>
            <w:tcW w:w="1640" w:type="dxa"/>
            <w:vAlign w:val="bottom"/>
            <w:shd w:val="clear" w:color="auto" w:fill="CCEEFF"/>
          </w:tcPr>
          <w:p>
            <w:pPr>
              <w:ind w:left="320"/>
              <w:spacing w:after="0" w:line="131" w:lineRule="exact"/>
              <w:rPr>
                <w:sz w:val="20"/>
                <w:szCs w:val="20"/>
                <w:color w:val="auto"/>
              </w:rPr>
            </w:pPr>
            <w:r>
              <w:rPr>
                <w:rFonts w:ascii="Arial" w:cs="Arial" w:eastAsia="Arial" w:hAnsi="Arial"/>
                <w:sz w:val="10"/>
                <w:szCs w:val="10"/>
                <w:color w:val="auto"/>
              </w:rPr>
              <w:t>initiatives</w:t>
            </w:r>
            <w:r>
              <w:rPr>
                <w:rFonts w:ascii="Arial" w:cs="Arial" w:eastAsia="Arial" w:hAnsi="Arial"/>
                <w:sz w:val="15"/>
                <w:szCs w:val="15"/>
                <w:color w:val="auto"/>
                <w:vertAlign w:val="superscript"/>
              </w:rPr>
              <w:t>(1)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20"/>
        </w:trPr>
        <w:tc>
          <w:tcPr>
            <w:tcW w:w="2220" w:type="dxa"/>
            <w:vAlign w:val="bottom"/>
            <w:tcBorders>
              <w:right w:val="single" w:sz="8" w:color="auto"/>
            </w:tcBorders>
            <w:gridSpan w:val="5"/>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1000" w:type="dxa"/>
            <w:vAlign w:val="bottom"/>
            <w:tcBorders>
              <w:right w:val="single" w:sz="8" w:color="auto"/>
            </w:tcBorders>
            <w:gridSpan w:val="7"/>
            <w:shd w:val="clear" w:color="auto" w:fill="000000"/>
          </w:tcPr>
          <w:p>
            <w:pPr>
              <w:spacing w:after="0" w:line="20" w:lineRule="exact"/>
              <w:rPr>
                <w:sz w:val="1"/>
                <w:szCs w:val="1"/>
                <w:color w:val="auto"/>
              </w:rPr>
            </w:pPr>
          </w:p>
        </w:tc>
        <w:tc>
          <w:tcPr>
            <w:tcW w:w="1960" w:type="dxa"/>
            <w:vAlign w:val="bottom"/>
            <w:tcBorders>
              <w:right w:val="single" w:sz="8" w:color="auto"/>
            </w:tcBorders>
            <w:gridSpan w:val="15"/>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1960" w:type="dxa"/>
            <w:vAlign w:val="bottom"/>
            <w:tcBorders>
              <w:right w:val="single" w:sz="8" w:color="auto"/>
            </w:tcBorders>
            <w:gridSpan w:val="1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r>
      <w:tr>
        <w:trPr>
          <w:trHeight w:val="132"/>
        </w:trPr>
        <w:tc>
          <w:tcPr>
            <w:tcW w:w="1640" w:type="dxa"/>
            <w:vAlign w:val="bottom"/>
          </w:tcPr>
          <w:p>
            <w:pPr>
              <w:spacing w:after="0"/>
              <w:rPr>
                <w:sz w:val="20"/>
                <w:szCs w:val="20"/>
                <w:color w:val="auto"/>
              </w:rPr>
            </w:pPr>
            <w:r>
              <w:rPr>
                <w:rFonts w:ascii="Arial" w:cs="Arial" w:eastAsia="Arial" w:hAnsi="Arial"/>
                <w:sz w:val="11"/>
                <w:szCs w:val="11"/>
                <w:color w:val="auto"/>
              </w:rPr>
              <w:t>Adjusted operations and support</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45</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43</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50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57</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58</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57</w:t>
            </w:r>
          </w:p>
        </w:tc>
        <w:tc>
          <w:tcPr>
            <w:tcW w:w="40" w:type="dxa"/>
            <w:vAlign w:val="bottom"/>
          </w:tcPr>
          <w:p>
            <w:pPr>
              <w:spacing w:after="0"/>
              <w:rPr>
                <w:sz w:val="11"/>
                <w:szCs w:val="11"/>
                <w:color w:val="auto"/>
              </w:rPr>
            </w:pP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71</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59</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63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64</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71</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58</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65</w:t>
            </w: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66</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1"/>
                <w:szCs w:val="11"/>
                <w:color w:val="auto"/>
              </w:rPr>
            </w:pPr>
          </w:p>
        </w:tc>
      </w:tr>
      <w:tr>
        <w:trPr>
          <w:trHeight w:val="20"/>
        </w:trPr>
        <w:tc>
          <w:tcPr>
            <w:tcW w:w="1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6" w:lineRule="exact"/>
        <w:rPr>
          <w:sz w:val="20"/>
          <w:szCs w:val="20"/>
          <w:color w:val="auto"/>
        </w:rPr>
      </w:pPr>
    </w:p>
    <w:p>
      <w:pPr>
        <w:ind w:left="760" w:right="240" w:hanging="303"/>
        <w:spacing w:after="0" w:line="239" w:lineRule="auto"/>
        <w:tabs>
          <w:tab w:leader="none" w:pos="7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Represents the cost of personal protective equipment distributed to shoppers during the COVID-19 pandemic. We ceased excluding this cost following the first quarter of 2022 as the impact of the COVID-19 pandemic and its variant outbreaks on our business subsided.</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00"/>
          </w:cols>
          <w:pgMar w:left="320" w:top="440" w:right="77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Research and Development</w:t>
      </w:r>
    </w:p>
    <w:p>
      <w:pPr>
        <w:spacing w:after="0" w:line="108" w:lineRule="exact"/>
        <w:rPr>
          <w:sz w:val="20"/>
          <w:szCs w:val="20"/>
          <w:color w:val="auto"/>
        </w:rPr>
      </w:pPr>
    </w:p>
    <w:p>
      <w:pPr>
        <w:ind w:left="460" w:right="120" w:firstLine="413"/>
        <w:spacing w:after="0" w:line="303" w:lineRule="auto"/>
        <w:rPr>
          <w:sz w:val="20"/>
          <w:szCs w:val="20"/>
          <w:color w:val="auto"/>
        </w:rPr>
      </w:pPr>
      <w:r>
        <w:rPr>
          <w:rFonts w:ascii="Arial" w:cs="Arial" w:eastAsia="Arial" w:hAnsi="Arial"/>
          <w:sz w:val="16"/>
          <w:szCs w:val="16"/>
          <w:color w:val="auto"/>
        </w:rPr>
        <w:t>The following table provides a reconciliation of research and development expense to adjusted research and development expense for each of the quarterly periods for the years ended December 2019, 2020, 2021, and 2022 and the six months ended June 30, 2023:</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8840" w:type="dxa"/>
            <w:vAlign w:val="bottom"/>
            <w:tcBorders>
              <w:bottom w:val="single" w:sz="8" w:color="auto"/>
            </w:tcBorders>
            <w:gridSpan w:val="59"/>
          </w:tcPr>
          <w:p>
            <w:pPr>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0"/>
                <w:szCs w:val="10"/>
                <w:color w:val="auto"/>
              </w:rPr>
            </w:pPr>
          </w:p>
        </w:tc>
      </w:tr>
      <w:tr>
        <w:trPr>
          <w:trHeight w:val="95"/>
        </w:trPr>
        <w:tc>
          <w:tcPr>
            <w:tcW w:w="142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34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w w:val="84"/>
              </w:rPr>
              <w:t>Dec. 31,</w:t>
            </w:r>
          </w:p>
        </w:tc>
        <w:tc>
          <w:tcPr>
            <w:tcW w:w="100" w:type="dxa"/>
            <w:vAlign w:val="bottom"/>
          </w:tcPr>
          <w:p>
            <w:pPr>
              <w:spacing w:after="0"/>
              <w:rPr>
                <w:sz w:val="8"/>
                <w:szCs w:val="8"/>
                <w:color w:val="auto"/>
              </w:rPr>
            </w:pPr>
          </w:p>
        </w:tc>
        <w:tc>
          <w:tcPr>
            <w:tcW w:w="50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6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40" w:type="dxa"/>
            <w:vAlign w:val="bottom"/>
            <w:gridSpan w:val="3"/>
          </w:tcPr>
          <w:p>
            <w:pPr>
              <w:jc w:val="right"/>
              <w:ind w:right="160"/>
              <w:spacing w:after="0" w:line="95" w:lineRule="exact"/>
              <w:rPr>
                <w:sz w:val="20"/>
                <w:szCs w:val="20"/>
                <w:color w:val="auto"/>
              </w:rPr>
            </w:pPr>
            <w:r>
              <w:rPr>
                <w:rFonts w:ascii="Arial" w:cs="Arial" w:eastAsia="Arial" w:hAnsi="Arial"/>
                <w:sz w:val="10"/>
                <w:szCs w:val="10"/>
                <w:b w:val="1"/>
                <w:bCs w:val="1"/>
                <w:color w:val="auto"/>
                <w:w w:val="87"/>
              </w:rPr>
              <w:t>Sept.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6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5"/>
              </w:rPr>
              <w:t>Jun. 30,</w:t>
            </w:r>
          </w:p>
        </w:tc>
        <w:tc>
          <w:tcPr>
            <w:tcW w:w="80" w:type="dxa"/>
            <w:vAlign w:val="bottom"/>
          </w:tcPr>
          <w:p>
            <w:pPr>
              <w:spacing w:after="0"/>
              <w:rPr>
                <w:sz w:val="8"/>
                <w:szCs w:val="8"/>
                <w:color w:val="auto"/>
              </w:rPr>
            </w:pPr>
          </w:p>
        </w:tc>
      </w:tr>
      <w:tr>
        <w:trPr>
          <w:trHeight w:val="126"/>
        </w:trPr>
        <w:tc>
          <w:tcPr>
            <w:tcW w:w="1420" w:type="dxa"/>
            <w:vAlign w:val="bottom"/>
          </w:tcPr>
          <w:p>
            <w:pPr>
              <w:spacing w:after="0"/>
              <w:rPr>
                <w:sz w:val="10"/>
                <w:szCs w:val="10"/>
                <w:color w:val="auto"/>
              </w:rPr>
            </w:pPr>
          </w:p>
        </w:tc>
        <w:tc>
          <w:tcPr>
            <w:tcW w:w="56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0"/>
              </w:rPr>
              <w:t>2020</w:t>
            </w:r>
          </w:p>
        </w:tc>
        <w:tc>
          <w:tcPr>
            <w:tcW w:w="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0"/>
              </w:rPr>
              <w:t>2020</w:t>
            </w:r>
          </w:p>
        </w:tc>
        <w:tc>
          <w:tcPr>
            <w:tcW w:w="52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0"/>
                <w:szCs w:val="10"/>
                <w:b w:val="1"/>
                <w:bCs w:val="1"/>
                <w:color w:val="auto"/>
                <w:w w:val="89"/>
              </w:rPr>
              <w:t>2020</w:t>
            </w:r>
          </w:p>
        </w:tc>
        <w:tc>
          <w:tcPr>
            <w:tcW w:w="44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0"/>
                <w:szCs w:val="10"/>
                <w:b w:val="1"/>
                <w:bCs w:val="1"/>
                <w:color w:val="auto"/>
                <w:w w:val="80"/>
              </w:rPr>
              <w:t>2020</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2021</w:t>
            </w:r>
          </w:p>
        </w:tc>
        <w:tc>
          <w:tcPr>
            <w:tcW w:w="5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0"/>
              </w:rPr>
              <w:t>2022</w:t>
            </w:r>
          </w:p>
        </w:tc>
        <w:tc>
          <w:tcPr>
            <w:tcW w:w="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2022</w:t>
            </w:r>
          </w:p>
        </w:tc>
        <w:tc>
          <w:tcPr>
            <w:tcW w:w="5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9"/>
              </w:rPr>
              <w:t>2023</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0"/>
              </w:rPr>
              <w:t>2023</w:t>
            </w:r>
          </w:p>
        </w:tc>
        <w:tc>
          <w:tcPr>
            <w:tcW w:w="80" w:type="dxa"/>
            <w:vAlign w:val="bottom"/>
          </w:tcPr>
          <w:p>
            <w:pPr>
              <w:spacing w:after="0"/>
              <w:rPr>
                <w:sz w:val="10"/>
                <w:szCs w:val="10"/>
                <w:color w:val="auto"/>
              </w:rPr>
            </w:pPr>
          </w:p>
        </w:tc>
      </w:tr>
      <w:tr>
        <w:trPr>
          <w:trHeight w:val="107"/>
        </w:trPr>
        <w:tc>
          <w:tcPr>
            <w:tcW w:w="10340" w:type="dxa"/>
            <w:vAlign w:val="bottom"/>
            <w:gridSpan w:val="61"/>
          </w:tcPr>
          <w:p>
            <w:pPr>
              <w:spacing w:after="0"/>
              <w:rPr>
                <w:sz w:val="20"/>
                <w:szCs w:val="20"/>
                <w:color w:val="auto"/>
              </w:rPr>
            </w:pPr>
            <w:r>
              <w:rPr>
                <w:rFonts w:ascii="Arial" w:cs="Arial" w:eastAsia="Arial" w:hAnsi="Arial"/>
                <w:sz w:val="10"/>
                <w:szCs w:val="10"/>
                <w:b w:val="1"/>
                <w:bCs w:val="1"/>
                <w:color w:val="auto"/>
              </w:rPr>
              <w:t>(in millions)</w:t>
            </w:r>
          </w:p>
        </w:tc>
      </w:tr>
      <w:tr>
        <w:trPr>
          <w:trHeight w:val="127"/>
        </w:trPr>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Research and development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38</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116</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114</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148</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127</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80" w:type="dxa"/>
            <w:vAlign w:val="bottom"/>
            <w:shd w:val="clear" w:color="auto" w:fill="CCEEFF"/>
          </w:tcPr>
          <w:p>
            <w:pPr>
              <w:spacing w:after="0"/>
              <w:rPr>
                <w:sz w:val="11"/>
                <w:szCs w:val="11"/>
                <w:color w:val="auto"/>
              </w:rPr>
            </w:pPr>
          </w:p>
        </w:tc>
      </w:tr>
      <w:tr>
        <w:trPr>
          <w:trHeight w:val="122"/>
        </w:trPr>
        <w:tc>
          <w:tcPr>
            <w:tcW w:w="10340" w:type="dxa"/>
            <w:vAlign w:val="bottom"/>
            <w:gridSpan w:val="61"/>
          </w:tcPr>
          <w:p>
            <w:pPr>
              <w:spacing w:after="0" w:line="122" w:lineRule="exact"/>
              <w:rPr>
                <w:sz w:val="20"/>
                <w:szCs w:val="20"/>
                <w:color w:val="auto"/>
              </w:rPr>
            </w:pPr>
            <w:r>
              <w:rPr>
                <w:rFonts w:ascii="Arial" w:cs="Arial" w:eastAsia="Arial" w:hAnsi="Arial"/>
                <w:sz w:val="11"/>
                <w:szCs w:val="11"/>
                <w:color w:val="auto"/>
              </w:rPr>
              <w:t>Adjusted to exclude the</w:t>
            </w:r>
          </w:p>
        </w:tc>
      </w:tr>
      <w:tr>
        <w:trPr>
          <w:trHeight w:val="131"/>
        </w:trPr>
        <w:tc>
          <w:tcPr>
            <w:tcW w:w="10340" w:type="dxa"/>
            <w:vAlign w:val="bottom"/>
            <w:gridSpan w:val="61"/>
          </w:tcPr>
          <w:p>
            <w:pPr>
              <w:ind w:left="100"/>
              <w:spacing w:after="0"/>
              <w:rPr>
                <w:sz w:val="20"/>
                <w:szCs w:val="20"/>
                <w:color w:val="auto"/>
              </w:rPr>
            </w:pPr>
            <w:r>
              <w:rPr>
                <w:rFonts w:ascii="Arial" w:cs="Arial" w:eastAsia="Arial" w:hAnsi="Arial"/>
                <w:sz w:val="11"/>
                <w:szCs w:val="11"/>
                <w:color w:val="auto"/>
              </w:rPr>
              <w:t>following:</w:t>
            </w:r>
          </w:p>
        </w:tc>
      </w:tr>
      <w:tr>
        <w:trPr>
          <w:trHeight w:val="122"/>
        </w:trPr>
        <w:tc>
          <w:tcPr>
            <w:tcW w:w="10340" w:type="dxa"/>
            <w:vAlign w:val="bottom"/>
            <w:gridSpan w:val="61"/>
            <w:shd w:val="clear" w:color="auto" w:fill="CCEEFF"/>
          </w:tcPr>
          <w:p>
            <w:pPr>
              <w:ind w:left="220"/>
              <w:spacing w:after="0" w:line="122" w:lineRule="exact"/>
              <w:rPr>
                <w:sz w:val="20"/>
                <w:szCs w:val="20"/>
                <w:color w:val="auto"/>
              </w:rPr>
            </w:pPr>
            <w:r>
              <w:rPr>
                <w:rFonts w:ascii="Arial" w:cs="Arial" w:eastAsia="Arial" w:hAnsi="Arial"/>
                <w:sz w:val="11"/>
                <w:szCs w:val="11"/>
                <w:color w:val="auto"/>
              </w:rPr>
              <w:t>Depreciation and</w:t>
            </w:r>
          </w:p>
        </w:tc>
      </w:tr>
      <w:tr>
        <w:trPr>
          <w:trHeight w:val="131"/>
        </w:trPr>
        <w:tc>
          <w:tcPr>
            <w:tcW w:w="14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amortization expense</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22"/>
        </w:trPr>
        <w:tc>
          <w:tcPr>
            <w:tcW w:w="10340" w:type="dxa"/>
            <w:vAlign w:val="bottom"/>
            <w:gridSpan w:val="61"/>
          </w:tcPr>
          <w:p>
            <w:pPr>
              <w:ind w:left="220"/>
              <w:spacing w:after="0" w:line="122" w:lineRule="exact"/>
              <w:rPr>
                <w:sz w:val="20"/>
                <w:szCs w:val="20"/>
                <w:color w:val="auto"/>
              </w:rPr>
            </w:pPr>
            <w:r>
              <w:rPr>
                <w:rFonts w:ascii="Arial" w:cs="Arial" w:eastAsia="Arial" w:hAnsi="Arial"/>
                <w:sz w:val="11"/>
                <w:szCs w:val="11"/>
                <w:color w:val="auto"/>
              </w:rPr>
              <w:t>Stock-based</w:t>
            </w:r>
          </w:p>
        </w:tc>
      </w:tr>
      <w:tr>
        <w:trPr>
          <w:trHeight w:val="131"/>
        </w:trPr>
        <w:tc>
          <w:tcPr>
            <w:tcW w:w="1420" w:type="dxa"/>
            <w:vAlign w:val="bottom"/>
          </w:tcPr>
          <w:p>
            <w:pPr>
              <w:ind w:left="320"/>
              <w:spacing w:after="0"/>
              <w:rPr>
                <w:sz w:val="20"/>
                <w:szCs w:val="20"/>
                <w:color w:val="auto"/>
              </w:rPr>
            </w:pPr>
            <w:r>
              <w:rPr>
                <w:rFonts w:ascii="Arial" w:cs="Arial" w:eastAsia="Arial" w:hAnsi="Arial"/>
                <w:sz w:val="11"/>
                <w:szCs w:val="11"/>
                <w:color w:val="auto"/>
                <w:w w:val="95"/>
              </w:rPr>
              <w:t>compensation expense</w:t>
            </w: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r>
      <w:tr>
        <w:trPr>
          <w:trHeight w:val="122"/>
        </w:trPr>
        <w:tc>
          <w:tcPr>
            <w:tcW w:w="10340" w:type="dxa"/>
            <w:vAlign w:val="bottom"/>
            <w:gridSpan w:val="61"/>
            <w:shd w:val="clear" w:color="auto" w:fill="CCEEFF"/>
          </w:tcPr>
          <w:p>
            <w:pPr>
              <w:ind w:left="220"/>
              <w:spacing w:after="0" w:line="122" w:lineRule="exact"/>
              <w:rPr>
                <w:sz w:val="20"/>
                <w:szCs w:val="20"/>
                <w:color w:val="auto"/>
              </w:rPr>
            </w:pPr>
            <w:r>
              <w:rPr>
                <w:rFonts w:ascii="Arial" w:cs="Arial" w:eastAsia="Arial" w:hAnsi="Arial"/>
                <w:sz w:val="11"/>
                <w:szCs w:val="11"/>
                <w:color w:val="auto"/>
              </w:rPr>
              <w:t>Acquisition-related</w:t>
            </w:r>
          </w:p>
        </w:tc>
      </w:tr>
      <w:tr>
        <w:trPr>
          <w:trHeight w:val="131"/>
        </w:trPr>
        <w:tc>
          <w:tcPr>
            <w:tcW w:w="14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expenses</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28"/>
        </w:trPr>
        <w:tc>
          <w:tcPr>
            <w:tcW w:w="1420" w:type="dxa"/>
            <w:vAlign w:val="bottom"/>
          </w:tcPr>
          <w:p>
            <w:pPr>
              <w:spacing w:after="0"/>
              <w:rPr>
                <w:sz w:val="20"/>
                <w:szCs w:val="20"/>
                <w:color w:val="auto"/>
              </w:rPr>
            </w:pPr>
            <w:r>
              <w:rPr>
                <w:rFonts w:ascii="Arial" w:cs="Arial" w:eastAsia="Arial" w:hAnsi="Arial"/>
                <w:sz w:val="11"/>
                <w:szCs w:val="11"/>
                <w:color w:val="auto"/>
              </w:rPr>
              <w:t>Adjusted research and</w:t>
            </w:r>
          </w:p>
        </w:tc>
        <w:tc>
          <w:tcPr>
            <w:tcW w:w="360" w:type="dxa"/>
            <w:vAlign w:val="bottom"/>
            <w:tcBorders>
              <w:top w:val="single" w:sz="8" w:color="auto"/>
            </w:tcBorders>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1420" w:type="dxa"/>
            <w:vAlign w:val="bottom"/>
          </w:tcPr>
          <w:p>
            <w:pPr>
              <w:ind w:left="100"/>
              <w:spacing w:after="0"/>
              <w:rPr>
                <w:sz w:val="20"/>
                <w:szCs w:val="20"/>
                <w:color w:val="auto"/>
              </w:rPr>
            </w:pPr>
            <w:r>
              <w:rPr>
                <w:rFonts w:ascii="Arial" w:cs="Arial" w:eastAsia="Arial" w:hAnsi="Arial"/>
                <w:sz w:val="11"/>
                <w:szCs w:val="11"/>
                <w:color w:val="auto"/>
              </w:rPr>
              <w:t>development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1"/>
                <w:szCs w:val="11"/>
                <w:color w:val="auto"/>
              </w:rPr>
            </w:pP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29</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30</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34</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44</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53</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62</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85</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98</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125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122</w:t>
            </w:r>
          </w:p>
        </w:tc>
        <w:tc>
          <w:tcPr>
            <w:tcW w:w="16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139</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124</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127</w:t>
            </w:r>
          </w:p>
        </w:tc>
        <w:tc>
          <w:tcPr>
            <w:tcW w:w="80" w:type="dxa"/>
            <w:vAlign w:val="bottom"/>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Sales and Marketing</w:t>
      </w:r>
    </w:p>
    <w:p>
      <w:pPr>
        <w:spacing w:after="0" w:line="108"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The following table provides a reconciliation of sales and marketing expense to adjusted sales and marketing expense for each of the quarterly periods for the years ended December 2019, 2020, 2021, and 2022 and the six months ended June 30, 2023:</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0"/>
                <w:szCs w:val="10"/>
                <w:b w:val="1"/>
                <w:bCs w:val="1"/>
                <w:color w:val="auto"/>
                <w:w w:val="94"/>
              </w:rPr>
              <w:t>Three Months Ended</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5"/>
        </w:trPr>
        <w:tc>
          <w:tcPr>
            <w:tcW w:w="142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4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12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6"/>
              </w:rPr>
              <w:t>Mar. 31,</w:t>
            </w:r>
          </w:p>
        </w:tc>
        <w:tc>
          <w:tcPr>
            <w:tcW w:w="120" w:type="dxa"/>
            <w:vAlign w:val="bottom"/>
          </w:tcPr>
          <w:p>
            <w:pPr>
              <w:spacing w:after="0"/>
              <w:rPr>
                <w:sz w:val="8"/>
                <w:szCs w:val="8"/>
                <w:color w:val="auto"/>
              </w:rPr>
            </w:pPr>
          </w:p>
        </w:tc>
        <w:tc>
          <w:tcPr>
            <w:tcW w:w="4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Jun. 30,</w:t>
            </w: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7"/>
              </w:rPr>
              <w:t>Sept. 30,</w:t>
            </w:r>
          </w:p>
        </w:tc>
        <w:tc>
          <w:tcPr>
            <w:tcW w:w="160" w:type="dxa"/>
            <w:vAlign w:val="bottom"/>
          </w:tcPr>
          <w:p>
            <w:pPr>
              <w:spacing w:after="0"/>
              <w:rPr>
                <w:sz w:val="8"/>
                <w:szCs w:val="8"/>
                <w:color w:val="auto"/>
              </w:rPr>
            </w:pPr>
          </w:p>
        </w:tc>
        <w:tc>
          <w:tcPr>
            <w:tcW w:w="3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95"/>
              </w:rPr>
              <w:t>Dec. 31,</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4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Jun. 30,</w:t>
            </w:r>
          </w:p>
        </w:tc>
        <w:tc>
          <w:tcPr>
            <w:tcW w:w="540" w:type="dxa"/>
            <w:vAlign w:val="bottom"/>
            <w:gridSpan w:val="3"/>
          </w:tcPr>
          <w:p>
            <w:pPr>
              <w:jc w:val="right"/>
              <w:ind w:right="160"/>
              <w:spacing w:after="0" w:line="95" w:lineRule="exact"/>
              <w:rPr>
                <w:sz w:val="20"/>
                <w:szCs w:val="20"/>
                <w:color w:val="auto"/>
              </w:rPr>
            </w:pPr>
            <w:r>
              <w:rPr>
                <w:rFonts w:ascii="Arial" w:cs="Arial" w:eastAsia="Arial" w:hAnsi="Arial"/>
                <w:sz w:val="10"/>
                <w:szCs w:val="10"/>
                <w:b w:val="1"/>
                <w:bCs w:val="1"/>
                <w:color w:val="auto"/>
                <w:w w:val="87"/>
              </w:rPr>
              <w:t>Sept.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120" w:type="dxa"/>
            <w:vAlign w:val="bottom"/>
          </w:tcPr>
          <w:p>
            <w:pPr>
              <w:spacing w:after="0"/>
              <w:rPr>
                <w:sz w:val="8"/>
                <w:szCs w:val="8"/>
                <w:color w:val="auto"/>
              </w:rPr>
            </w:pPr>
          </w:p>
        </w:tc>
        <w:tc>
          <w:tcPr>
            <w:tcW w:w="4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Mar. 31,</w:t>
            </w:r>
          </w:p>
        </w:tc>
        <w:tc>
          <w:tcPr>
            <w:tcW w:w="120" w:type="dxa"/>
            <w:vAlign w:val="bottom"/>
          </w:tcPr>
          <w:p>
            <w:pPr>
              <w:spacing w:after="0"/>
              <w:rPr>
                <w:sz w:val="8"/>
                <w:szCs w:val="8"/>
                <w:color w:val="auto"/>
              </w:rPr>
            </w:pPr>
          </w:p>
        </w:tc>
        <w:tc>
          <w:tcPr>
            <w:tcW w:w="280" w:type="dxa"/>
            <w:vAlign w:val="bottom"/>
          </w:tcPr>
          <w:p>
            <w:pPr>
              <w:spacing w:after="0" w:line="95" w:lineRule="exact"/>
              <w:rPr>
                <w:sz w:val="20"/>
                <w:szCs w:val="20"/>
                <w:color w:val="auto"/>
              </w:rPr>
            </w:pPr>
            <w:r>
              <w:rPr>
                <w:rFonts w:ascii="Arial" w:cs="Arial" w:eastAsia="Arial" w:hAnsi="Arial"/>
                <w:sz w:val="9"/>
                <w:szCs w:val="9"/>
                <w:b w:val="1"/>
                <w:bCs w:val="1"/>
                <w:color w:val="auto"/>
                <w:w w:val="77"/>
              </w:rPr>
              <w:t>Jun. 30,</w:t>
            </w:r>
          </w:p>
        </w:tc>
        <w:tc>
          <w:tcPr>
            <w:tcW w:w="80" w:type="dxa"/>
            <w:vAlign w:val="bottom"/>
          </w:tcPr>
          <w:p>
            <w:pPr>
              <w:spacing w:after="0"/>
              <w:rPr>
                <w:sz w:val="8"/>
                <w:szCs w:val="8"/>
                <w:color w:val="auto"/>
              </w:rPr>
            </w:pPr>
          </w:p>
        </w:tc>
      </w:tr>
      <w:tr>
        <w:trPr>
          <w:trHeight w:val="126"/>
        </w:trPr>
        <w:tc>
          <w:tcPr>
            <w:tcW w:w="1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0"/>
              </w:rPr>
              <w:t>2020</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89"/>
              </w:rPr>
              <w:t>2021</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9"/>
              </w:rPr>
              <w:t>2022</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0"/>
              </w:rPr>
              <w:t>2022</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9"/>
              </w:rPr>
              <w:t>2022</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89"/>
              </w:rPr>
              <w:t>2022</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9"/>
              </w:rPr>
              <w:t>2023</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0"/>
              </w:rPr>
              <w:t>2023</w:t>
            </w:r>
          </w:p>
        </w:tc>
        <w:tc>
          <w:tcPr>
            <w:tcW w:w="80" w:type="dxa"/>
            <w:vAlign w:val="bottom"/>
          </w:tcPr>
          <w:p>
            <w:pPr>
              <w:spacing w:after="0"/>
              <w:rPr>
                <w:sz w:val="10"/>
                <w:szCs w:val="10"/>
                <w:color w:val="auto"/>
              </w:rPr>
            </w:pPr>
          </w:p>
        </w:tc>
      </w:tr>
      <w:tr>
        <w:trPr>
          <w:trHeight w:val="107"/>
        </w:trPr>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5"/>
          </w:tcPr>
          <w:p>
            <w:pPr>
              <w:jc w:val="right"/>
              <w:ind w:right="280"/>
              <w:spacing w:after="0" w:line="107" w:lineRule="exact"/>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2"/>
        </w:trPr>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Sales and</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1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marketing</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22</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91</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172</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161</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80" w:type="dxa"/>
            <w:vAlign w:val="bottom"/>
            <w:shd w:val="clear" w:color="auto" w:fill="CCEEFF"/>
          </w:tcPr>
          <w:p>
            <w:pPr>
              <w:spacing w:after="0"/>
              <w:rPr>
                <w:sz w:val="11"/>
                <w:szCs w:val="11"/>
                <w:color w:val="auto"/>
              </w:rPr>
            </w:pPr>
          </w:p>
        </w:tc>
      </w:tr>
      <w:tr>
        <w:trPr>
          <w:trHeight w:val="122"/>
        </w:trPr>
        <w:tc>
          <w:tcPr>
            <w:tcW w:w="1420" w:type="dxa"/>
            <w:vAlign w:val="bottom"/>
          </w:tcPr>
          <w:p>
            <w:pPr>
              <w:spacing w:after="0" w:line="122" w:lineRule="exact"/>
              <w:rPr>
                <w:sz w:val="20"/>
                <w:szCs w:val="20"/>
                <w:color w:val="auto"/>
              </w:rPr>
            </w:pPr>
            <w:r>
              <w:rPr>
                <w:rFonts w:ascii="Arial" w:cs="Arial" w:eastAsia="Arial" w:hAnsi="Arial"/>
                <w:sz w:val="11"/>
                <w:szCs w:val="11"/>
                <w:color w:val="auto"/>
              </w:rPr>
              <w:t>Adjusted to exclude the</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1"/>
        </w:trPr>
        <w:tc>
          <w:tcPr>
            <w:tcW w:w="1420" w:type="dxa"/>
            <w:vAlign w:val="bottom"/>
          </w:tcPr>
          <w:p>
            <w:pPr>
              <w:ind w:left="100"/>
              <w:spacing w:after="0"/>
              <w:rPr>
                <w:sz w:val="20"/>
                <w:szCs w:val="20"/>
                <w:color w:val="auto"/>
              </w:rPr>
            </w:pPr>
            <w:r>
              <w:rPr>
                <w:rFonts w:ascii="Arial" w:cs="Arial" w:eastAsia="Arial" w:hAnsi="Arial"/>
                <w:sz w:val="11"/>
                <w:szCs w:val="11"/>
                <w:color w:val="auto"/>
              </w:rPr>
              <w:t>following:</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2"/>
        </w:trPr>
        <w:tc>
          <w:tcPr>
            <w:tcW w:w="14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Depreciation and</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14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amortization expense</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r>
      <w:tr>
        <w:trPr>
          <w:trHeight w:val="122"/>
        </w:trPr>
        <w:tc>
          <w:tcPr>
            <w:tcW w:w="1420" w:type="dxa"/>
            <w:vAlign w:val="bottom"/>
          </w:tcPr>
          <w:p>
            <w:pPr>
              <w:ind w:left="220"/>
              <w:spacing w:after="0" w:line="122" w:lineRule="exact"/>
              <w:rPr>
                <w:sz w:val="20"/>
                <w:szCs w:val="20"/>
                <w:color w:val="auto"/>
              </w:rPr>
            </w:pPr>
            <w:r>
              <w:rPr>
                <w:rFonts w:ascii="Arial" w:cs="Arial" w:eastAsia="Arial" w:hAnsi="Arial"/>
                <w:sz w:val="11"/>
                <w:szCs w:val="11"/>
                <w:color w:val="auto"/>
              </w:rPr>
              <w:t>Stock-based</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1"/>
        </w:trPr>
        <w:tc>
          <w:tcPr>
            <w:tcW w:w="1420" w:type="dxa"/>
            <w:vAlign w:val="bottom"/>
          </w:tcPr>
          <w:p>
            <w:pPr>
              <w:ind w:left="320"/>
              <w:spacing w:after="0"/>
              <w:rPr>
                <w:sz w:val="20"/>
                <w:szCs w:val="20"/>
                <w:color w:val="auto"/>
              </w:rPr>
            </w:pPr>
            <w:r>
              <w:rPr>
                <w:rFonts w:ascii="Arial" w:cs="Arial" w:eastAsia="Arial" w:hAnsi="Arial"/>
                <w:sz w:val="11"/>
                <w:szCs w:val="11"/>
                <w:color w:val="auto"/>
                <w:w w:val="95"/>
              </w:rPr>
              <w:t>compensation expense</w:t>
            </w: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r>
      <w:tr>
        <w:trPr>
          <w:trHeight w:val="122"/>
        </w:trPr>
        <w:tc>
          <w:tcPr>
            <w:tcW w:w="14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Acquisition-related</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14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expenses</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1420" w:type="dxa"/>
            <w:vAlign w:val="bottom"/>
          </w:tcPr>
          <w:p>
            <w:pPr>
              <w:spacing w:after="0"/>
              <w:rPr>
                <w:sz w:val="20"/>
                <w:szCs w:val="20"/>
                <w:color w:val="auto"/>
              </w:rPr>
            </w:pPr>
            <w:r>
              <w:rPr>
                <w:rFonts w:ascii="Arial" w:cs="Arial" w:eastAsia="Arial" w:hAnsi="Arial"/>
                <w:sz w:val="11"/>
                <w:szCs w:val="11"/>
                <w:color w:val="auto"/>
                <w:w w:val="96"/>
              </w:rPr>
              <w:t>Adjusted sales and marketing</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68</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86</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165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169</w:t>
            </w:r>
          </w:p>
        </w:tc>
        <w:tc>
          <w:tcPr>
            <w:tcW w:w="16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172</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157</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00"/>
          </w:cols>
          <w:pgMar w:left="320" w:top="440" w:right="77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General and Administrative</w:t>
      </w:r>
    </w:p>
    <w:p>
      <w:pPr>
        <w:spacing w:after="0" w:line="10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The following table provides a reconciliation of general and administrative expense to adjusted general and administrative expense for each of the quarterly periods for the years ended December 2019, 2020, 2021, and 2022 and the six months ended June 30, 2023:</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420" w:type="dxa"/>
            <w:vAlign w:val="bottom"/>
            <w:gridSpan w:val="2"/>
          </w:tcPr>
          <w:p>
            <w:pPr>
              <w:spacing w:after="0"/>
              <w:rPr>
                <w:sz w:val="10"/>
                <w:szCs w:val="10"/>
                <w:color w:val="auto"/>
              </w:rPr>
            </w:pPr>
          </w:p>
        </w:tc>
        <w:tc>
          <w:tcPr>
            <w:tcW w:w="8840" w:type="dxa"/>
            <w:vAlign w:val="bottom"/>
            <w:tcBorders>
              <w:bottom w:val="single" w:sz="8" w:color="auto"/>
            </w:tcBorders>
            <w:gridSpan w:val="60"/>
          </w:tcPr>
          <w:p>
            <w:pPr>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0"/>
                <w:szCs w:val="10"/>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60" w:type="dxa"/>
            <w:vAlign w:val="bottom"/>
          </w:tcPr>
          <w:p>
            <w:pPr>
              <w:spacing w:after="0"/>
              <w:rPr>
                <w:sz w:val="8"/>
                <w:szCs w:val="8"/>
                <w:color w:val="auto"/>
              </w:rPr>
            </w:pP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Sept. 30,</w:t>
            </w: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4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Jun. 30,</w:t>
            </w:r>
          </w:p>
        </w:tc>
        <w:tc>
          <w:tcPr>
            <w:tcW w:w="54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Sept. 30,</w:t>
            </w:r>
          </w:p>
        </w:tc>
        <w:tc>
          <w:tcPr>
            <w:tcW w:w="44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Dec. 31,</w:t>
            </w:r>
          </w:p>
        </w:tc>
        <w:tc>
          <w:tcPr>
            <w:tcW w:w="60" w:type="dxa"/>
            <w:vAlign w:val="bottom"/>
          </w:tcPr>
          <w:p>
            <w:pPr>
              <w:spacing w:after="0"/>
              <w:rPr>
                <w:sz w:val="8"/>
                <w:szCs w:val="8"/>
                <w:color w:val="auto"/>
              </w:rPr>
            </w:pPr>
          </w:p>
        </w:tc>
        <w:tc>
          <w:tcPr>
            <w:tcW w:w="46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Mar. 31,</w:t>
            </w:r>
          </w:p>
        </w:tc>
        <w:tc>
          <w:tcPr>
            <w:tcW w:w="60" w:type="dxa"/>
            <w:vAlign w:val="bottom"/>
          </w:tcPr>
          <w:p>
            <w:pPr>
              <w:spacing w:after="0"/>
              <w:rPr>
                <w:sz w:val="8"/>
                <w:szCs w:val="8"/>
                <w:color w:val="auto"/>
              </w:rPr>
            </w:pPr>
          </w:p>
        </w:tc>
        <w:tc>
          <w:tcPr>
            <w:tcW w:w="34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w w:val="85"/>
              </w:rPr>
              <w:t>Jun. 30,</w:t>
            </w:r>
          </w:p>
        </w:tc>
        <w:tc>
          <w:tcPr>
            <w:tcW w:w="80" w:type="dxa"/>
            <w:vAlign w:val="bottom"/>
          </w:tcPr>
          <w:p>
            <w:pPr>
              <w:spacing w:after="0"/>
              <w:rPr>
                <w:sz w:val="8"/>
                <w:szCs w:val="8"/>
                <w:color w:val="auto"/>
              </w:rPr>
            </w:pPr>
          </w:p>
        </w:tc>
      </w:tr>
      <w:tr>
        <w:trPr>
          <w:trHeight w:val="126"/>
        </w:trPr>
        <w:tc>
          <w:tcPr>
            <w:tcW w:w="1420" w:type="dxa"/>
            <w:vAlign w:val="bottom"/>
            <w:gridSpan w:val="2"/>
          </w:tcPr>
          <w:p>
            <w:pPr>
              <w:spacing w:after="0"/>
              <w:rPr>
                <w:sz w:val="10"/>
                <w:szCs w:val="10"/>
                <w:color w:val="auto"/>
              </w:rPr>
            </w:pPr>
          </w:p>
        </w:tc>
        <w:tc>
          <w:tcPr>
            <w:tcW w:w="56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2019</w:t>
            </w:r>
          </w:p>
        </w:tc>
        <w:tc>
          <w:tcPr>
            <w:tcW w:w="5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0"/>
              </w:rPr>
              <w:t>2020</w:t>
            </w:r>
          </w:p>
        </w:tc>
        <w:tc>
          <w:tcPr>
            <w:tcW w:w="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0"/>
              </w:rPr>
              <w:t>2020</w:t>
            </w:r>
          </w:p>
        </w:tc>
        <w:tc>
          <w:tcPr>
            <w:tcW w:w="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9"/>
              </w:rPr>
              <w:t>2020</w:t>
            </w:r>
          </w:p>
        </w:tc>
        <w:tc>
          <w:tcPr>
            <w:tcW w:w="48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0"/>
              </w:rPr>
              <w:t>2020</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w w:val="89"/>
              </w:rPr>
              <w:t>2021</w:t>
            </w:r>
          </w:p>
        </w:tc>
        <w:tc>
          <w:tcPr>
            <w:tcW w:w="4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0"/>
                <w:szCs w:val="10"/>
                <w:b w:val="1"/>
                <w:bCs w:val="1"/>
                <w:color w:val="auto"/>
                <w:w w:val="89"/>
              </w:rPr>
              <w:t>2022</w:t>
            </w:r>
          </w:p>
        </w:tc>
        <w:tc>
          <w:tcPr>
            <w:tcW w:w="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0"/>
                <w:szCs w:val="10"/>
                <w:b w:val="1"/>
                <w:bCs w:val="1"/>
                <w:color w:val="auto"/>
                <w:w w:val="89"/>
              </w:rPr>
              <w:t>2022</w:t>
            </w:r>
          </w:p>
        </w:tc>
        <w:tc>
          <w:tcPr>
            <w:tcW w:w="52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0"/>
                <w:szCs w:val="10"/>
                <w:b w:val="1"/>
                <w:bCs w:val="1"/>
                <w:color w:val="auto"/>
                <w:w w:val="89"/>
              </w:rPr>
              <w:t>2023</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80"/>
              </w:rPr>
              <w:t>2023</w:t>
            </w:r>
          </w:p>
        </w:tc>
        <w:tc>
          <w:tcPr>
            <w:tcW w:w="80" w:type="dxa"/>
            <w:vAlign w:val="bottom"/>
          </w:tcPr>
          <w:p>
            <w:pPr>
              <w:spacing w:after="0"/>
              <w:rPr>
                <w:sz w:val="10"/>
                <w:szCs w:val="10"/>
                <w:color w:val="auto"/>
              </w:rPr>
            </w:pPr>
          </w:p>
        </w:tc>
      </w:tr>
      <w:tr>
        <w:trPr>
          <w:trHeight w:val="107"/>
        </w:trPr>
        <w:tc>
          <w:tcPr>
            <w:tcW w:w="10340" w:type="dxa"/>
            <w:vAlign w:val="bottom"/>
            <w:gridSpan w:val="63"/>
          </w:tcPr>
          <w:p>
            <w:pPr>
              <w:spacing w:after="0"/>
              <w:rPr>
                <w:sz w:val="20"/>
                <w:szCs w:val="20"/>
                <w:color w:val="auto"/>
              </w:rPr>
            </w:pPr>
            <w:r>
              <w:rPr>
                <w:rFonts w:ascii="Arial" w:cs="Arial" w:eastAsia="Arial" w:hAnsi="Arial"/>
                <w:sz w:val="10"/>
                <w:szCs w:val="10"/>
                <w:b w:val="1"/>
                <w:bCs w:val="1"/>
                <w:color w:val="auto"/>
              </w:rPr>
              <w:t>(in millions)</w:t>
            </w:r>
          </w:p>
        </w:tc>
      </w:tr>
      <w:tr>
        <w:trPr>
          <w:trHeight w:val="127"/>
        </w:trPr>
        <w:tc>
          <w:tcPr>
            <w:tcW w:w="20" w:type="dxa"/>
            <w:vAlign w:val="bottom"/>
          </w:tcPr>
          <w:p>
            <w:pPr>
              <w:spacing w:after="0"/>
              <w:rPr>
                <w:sz w:val="11"/>
                <w:szCs w:val="11"/>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1"/>
                <w:szCs w:val="11"/>
                <w:color w:val="auto"/>
              </w:rPr>
              <w:t>General and administrative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37</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67</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76</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90</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77</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1"/>
                <w:szCs w:val="11"/>
                <w:color w:val="auto"/>
              </w:rPr>
            </w:pPr>
          </w:p>
        </w:tc>
      </w:tr>
      <w:tr>
        <w:trPr>
          <w:trHeight w:val="122"/>
        </w:trPr>
        <w:tc>
          <w:tcPr>
            <w:tcW w:w="10340" w:type="dxa"/>
            <w:vAlign w:val="bottom"/>
            <w:gridSpan w:val="63"/>
          </w:tcPr>
          <w:p>
            <w:pPr>
              <w:spacing w:after="0"/>
              <w:rPr>
                <w:sz w:val="20"/>
                <w:szCs w:val="20"/>
                <w:color w:val="auto"/>
              </w:rPr>
            </w:pPr>
            <w:r>
              <w:rPr>
                <w:rFonts w:ascii="Arial" w:cs="Arial" w:eastAsia="Arial" w:hAnsi="Arial"/>
                <w:sz w:val="11"/>
                <w:szCs w:val="11"/>
                <w:color w:val="auto"/>
              </w:rPr>
              <w:t>Adjusted to exclude the</w:t>
            </w:r>
          </w:p>
        </w:tc>
      </w:tr>
      <w:tr>
        <w:trPr>
          <w:trHeight w:val="131"/>
        </w:trPr>
        <w:tc>
          <w:tcPr>
            <w:tcW w:w="10340" w:type="dxa"/>
            <w:vAlign w:val="bottom"/>
            <w:gridSpan w:val="63"/>
          </w:tcPr>
          <w:p>
            <w:pPr>
              <w:spacing w:after="0"/>
              <w:rPr>
                <w:sz w:val="20"/>
                <w:szCs w:val="20"/>
                <w:color w:val="auto"/>
              </w:rPr>
            </w:pPr>
            <w:r>
              <w:rPr>
                <w:rFonts w:ascii="Arial" w:cs="Arial" w:eastAsia="Arial" w:hAnsi="Arial"/>
                <w:sz w:val="11"/>
                <w:szCs w:val="11"/>
                <w:color w:val="auto"/>
              </w:rPr>
              <w:t>following:</w:t>
            </w:r>
          </w:p>
        </w:tc>
      </w:tr>
      <w:tr>
        <w:trPr>
          <w:trHeight w:val="122"/>
        </w:trPr>
        <w:tc>
          <w:tcPr>
            <w:tcW w:w="10340" w:type="dxa"/>
            <w:vAlign w:val="bottom"/>
            <w:gridSpan w:val="63"/>
          </w:tcPr>
          <w:p>
            <w:pPr>
              <w:spacing w:after="0"/>
              <w:rPr>
                <w:sz w:val="20"/>
                <w:szCs w:val="20"/>
                <w:color w:val="auto"/>
              </w:rPr>
            </w:pPr>
            <w:r>
              <w:rPr>
                <w:rFonts w:ascii="Arial" w:cs="Arial" w:eastAsia="Arial" w:hAnsi="Arial"/>
                <w:sz w:val="11"/>
                <w:szCs w:val="11"/>
                <w:color w:val="auto"/>
              </w:rPr>
              <w:t>Depreciation and</w:t>
            </w:r>
          </w:p>
        </w:tc>
      </w:tr>
      <w:tr>
        <w:trPr>
          <w:trHeight w:val="131"/>
        </w:trPr>
        <w:tc>
          <w:tcPr>
            <w:tcW w:w="20" w:type="dxa"/>
            <w:vAlign w:val="bottom"/>
          </w:tcPr>
          <w:p>
            <w:pPr>
              <w:spacing w:after="0"/>
              <w:rPr>
                <w:sz w:val="11"/>
                <w:szCs w:val="11"/>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amortization expense</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22"/>
        </w:trPr>
        <w:tc>
          <w:tcPr>
            <w:tcW w:w="10340" w:type="dxa"/>
            <w:vAlign w:val="bottom"/>
            <w:gridSpan w:val="63"/>
          </w:tcPr>
          <w:p>
            <w:pPr>
              <w:spacing w:after="0"/>
              <w:rPr>
                <w:sz w:val="20"/>
                <w:szCs w:val="20"/>
                <w:color w:val="auto"/>
              </w:rPr>
            </w:pPr>
            <w:r>
              <w:rPr>
                <w:rFonts w:ascii="Arial" w:cs="Arial" w:eastAsia="Arial" w:hAnsi="Arial"/>
                <w:sz w:val="11"/>
                <w:szCs w:val="11"/>
                <w:color w:val="auto"/>
              </w:rPr>
              <w:t>Stock-based</w:t>
            </w:r>
          </w:p>
        </w:tc>
      </w:tr>
      <w:tr>
        <w:trPr>
          <w:trHeight w:val="131"/>
        </w:trPr>
        <w:tc>
          <w:tcPr>
            <w:tcW w:w="20" w:type="dxa"/>
            <w:vAlign w:val="bottom"/>
          </w:tcPr>
          <w:p>
            <w:pPr>
              <w:spacing w:after="0"/>
              <w:rPr>
                <w:sz w:val="11"/>
                <w:szCs w:val="11"/>
                <w:color w:val="auto"/>
              </w:rPr>
            </w:pPr>
          </w:p>
        </w:tc>
        <w:tc>
          <w:tcPr>
            <w:tcW w:w="1400" w:type="dxa"/>
            <w:vAlign w:val="bottom"/>
          </w:tcPr>
          <w:p>
            <w:pPr>
              <w:ind w:left="300"/>
              <w:spacing w:after="0"/>
              <w:rPr>
                <w:sz w:val="20"/>
                <w:szCs w:val="20"/>
                <w:color w:val="auto"/>
              </w:rPr>
            </w:pPr>
            <w:r>
              <w:rPr>
                <w:rFonts w:ascii="Arial" w:cs="Arial" w:eastAsia="Arial" w:hAnsi="Arial"/>
                <w:sz w:val="11"/>
                <w:szCs w:val="11"/>
                <w:color w:val="auto"/>
                <w:w w:val="95"/>
              </w:rPr>
              <w:t>compensation expense</w:t>
            </w: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r>
      <w:tr>
        <w:trPr>
          <w:trHeight w:val="122"/>
        </w:trPr>
        <w:tc>
          <w:tcPr>
            <w:tcW w:w="10340" w:type="dxa"/>
            <w:vAlign w:val="bottom"/>
            <w:gridSpan w:val="63"/>
          </w:tcPr>
          <w:p>
            <w:pPr>
              <w:spacing w:after="0"/>
              <w:rPr>
                <w:sz w:val="20"/>
                <w:szCs w:val="20"/>
                <w:color w:val="auto"/>
              </w:rPr>
            </w:pPr>
            <w:r>
              <w:rPr>
                <w:rFonts w:ascii="Arial" w:cs="Arial" w:eastAsia="Arial" w:hAnsi="Arial"/>
                <w:sz w:val="11"/>
                <w:szCs w:val="11"/>
                <w:color w:val="auto"/>
              </w:rPr>
              <w:t>Certain legal and</w:t>
            </w:r>
          </w:p>
        </w:tc>
      </w:tr>
      <w:tr>
        <w:trPr>
          <w:trHeight w:val="127"/>
        </w:trPr>
        <w:tc>
          <w:tcPr>
            <w:tcW w:w="10340" w:type="dxa"/>
            <w:vAlign w:val="bottom"/>
            <w:gridSpan w:val="63"/>
          </w:tcPr>
          <w:p>
            <w:pPr>
              <w:spacing w:after="0"/>
              <w:rPr>
                <w:sz w:val="20"/>
                <w:szCs w:val="20"/>
                <w:color w:val="auto"/>
              </w:rPr>
            </w:pPr>
            <w:r>
              <w:rPr>
                <w:rFonts w:ascii="Arial" w:cs="Arial" w:eastAsia="Arial" w:hAnsi="Arial"/>
                <w:sz w:val="11"/>
                <w:szCs w:val="11"/>
                <w:color w:val="auto"/>
              </w:rPr>
              <w:t>regulatory accruals and</w:t>
            </w:r>
          </w:p>
        </w:tc>
      </w:tr>
      <w:tr>
        <w:trPr>
          <w:trHeight w:val="131"/>
        </w:trPr>
        <w:tc>
          <w:tcPr>
            <w:tcW w:w="20" w:type="dxa"/>
            <w:vAlign w:val="bottom"/>
          </w:tcPr>
          <w:p>
            <w:pPr>
              <w:spacing w:after="0"/>
              <w:rPr>
                <w:sz w:val="11"/>
                <w:szCs w:val="11"/>
                <w:color w:val="auto"/>
              </w:rPr>
            </w:pPr>
          </w:p>
        </w:tc>
        <w:tc>
          <w:tcPr>
            <w:tcW w:w="1400" w:type="dxa"/>
            <w:vAlign w:val="bottom"/>
            <w:shd w:val="clear" w:color="auto" w:fill="CCEEFF"/>
          </w:tcPr>
          <w:p>
            <w:pPr>
              <w:ind w:left="300"/>
              <w:spacing w:after="0" w:line="131" w:lineRule="exact"/>
              <w:rPr>
                <w:sz w:val="20"/>
                <w:szCs w:val="20"/>
                <w:color w:val="auto"/>
              </w:rPr>
            </w:pPr>
            <w:r>
              <w:rPr>
                <w:rFonts w:ascii="Arial" w:cs="Arial" w:eastAsia="Arial" w:hAnsi="Arial"/>
                <w:sz w:val="10"/>
                <w:szCs w:val="10"/>
                <w:color w:val="auto"/>
              </w:rPr>
              <w:t>settlements, net</w:t>
            </w:r>
            <w:r>
              <w:rPr>
                <w:rFonts w:ascii="Arial" w:cs="Arial" w:eastAsia="Arial" w:hAnsi="Arial"/>
                <w:sz w:val="15"/>
                <w:szCs w:val="15"/>
                <w:color w:val="auto"/>
                <w:vertAlign w:val="superscript"/>
              </w:rPr>
              <w:t>(1)</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1"/>
                <w:szCs w:val="11"/>
                <w:color w:val="auto"/>
              </w:rPr>
            </w:pPr>
          </w:p>
        </w:tc>
      </w:tr>
      <w:tr>
        <w:trPr>
          <w:trHeight w:val="122"/>
        </w:trPr>
        <w:tc>
          <w:tcPr>
            <w:tcW w:w="10340" w:type="dxa"/>
            <w:vAlign w:val="bottom"/>
            <w:gridSpan w:val="63"/>
          </w:tcPr>
          <w:p>
            <w:pPr>
              <w:spacing w:after="0"/>
              <w:rPr>
                <w:sz w:val="20"/>
                <w:szCs w:val="20"/>
                <w:color w:val="auto"/>
              </w:rPr>
            </w:pPr>
            <w:r>
              <w:rPr>
                <w:rFonts w:ascii="Arial" w:cs="Arial" w:eastAsia="Arial" w:hAnsi="Arial"/>
                <w:sz w:val="11"/>
                <w:szCs w:val="11"/>
                <w:color w:val="auto"/>
              </w:rPr>
              <w:t>Reserves for sales and</w:t>
            </w:r>
          </w:p>
        </w:tc>
      </w:tr>
      <w:tr>
        <w:trPr>
          <w:trHeight w:val="131"/>
        </w:trPr>
        <w:tc>
          <w:tcPr>
            <w:tcW w:w="20" w:type="dxa"/>
            <w:vAlign w:val="bottom"/>
          </w:tcPr>
          <w:p>
            <w:pPr>
              <w:spacing w:after="0"/>
              <w:rPr>
                <w:sz w:val="11"/>
                <w:szCs w:val="11"/>
                <w:color w:val="auto"/>
              </w:rPr>
            </w:pPr>
          </w:p>
        </w:tc>
        <w:tc>
          <w:tcPr>
            <w:tcW w:w="1400" w:type="dxa"/>
            <w:vAlign w:val="bottom"/>
          </w:tcPr>
          <w:p>
            <w:pPr>
              <w:ind w:left="300"/>
              <w:spacing w:after="0" w:line="131" w:lineRule="exact"/>
              <w:rPr>
                <w:sz w:val="20"/>
                <w:szCs w:val="20"/>
                <w:color w:val="auto"/>
              </w:rPr>
            </w:pPr>
            <w:r>
              <w:rPr>
                <w:rFonts w:ascii="Arial" w:cs="Arial" w:eastAsia="Arial" w:hAnsi="Arial"/>
                <w:sz w:val="10"/>
                <w:szCs w:val="10"/>
                <w:color w:val="auto"/>
              </w:rPr>
              <w:t>other indirect taxes</w:t>
            </w:r>
            <w:r>
              <w:rPr>
                <w:rFonts w:ascii="Arial" w:cs="Arial" w:eastAsia="Arial" w:hAnsi="Arial"/>
                <w:sz w:val="15"/>
                <w:szCs w:val="15"/>
                <w:color w:val="auto"/>
                <w:vertAlign w:val="superscript"/>
              </w:rPr>
              <w:t>(2)</w:t>
            </w: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1"/>
                <w:szCs w:val="11"/>
                <w:color w:val="auto"/>
              </w:rPr>
            </w:pPr>
          </w:p>
        </w:tc>
      </w:tr>
      <w:tr>
        <w:trPr>
          <w:trHeight w:val="122"/>
        </w:trPr>
        <w:tc>
          <w:tcPr>
            <w:tcW w:w="10340" w:type="dxa"/>
            <w:vAlign w:val="bottom"/>
            <w:gridSpan w:val="63"/>
          </w:tcPr>
          <w:p>
            <w:pPr>
              <w:spacing w:after="0"/>
              <w:rPr>
                <w:sz w:val="20"/>
                <w:szCs w:val="20"/>
                <w:color w:val="auto"/>
              </w:rPr>
            </w:pPr>
            <w:r>
              <w:rPr>
                <w:rFonts w:ascii="Arial" w:cs="Arial" w:eastAsia="Arial" w:hAnsi="Arial"/>
                <w:sz w:val="11"/>
                <w:szCs w:val="11"/>
                <w:color w:val="auto"/>
              </w:rPr>
              <w:t>Acquisition-related</w:t>
            </w:r>
          </w:p>
        </w:tc>
      </w:tr>
      <w:tr>
        <w:trPr>
          <w:trHeight w:val="131"/>
        </w:trPr>
        <w:tc>
          <w:tcPr>
            <w:tcW w:w="20" w:type="dxa"/>
            <w:vAlign w:val="bottom"/>
          </w:tcPr>
          <w:p>
            <w:pPr>
              <w:spacing w:after="0"/>
              <w:rPr>
                <w:sz w:val="11"/>
                <w:szCs w:val="11"/>
                <w:color w:val="auto"/>
              </w:rPr>
            </w:pPr>
          </w:p>
        </w:tc>
        <w:tc>
          <w:tcPr>
            <w:tcW w:w="1400" w:type="dxa"/>
            <w:vAlign w:val="bottom"/>
            <w:shd w:val="clear" w:color="auto" w:fill="CCEEFF"/>
          </w:tcPr>
          <w:p>
            <w:pPr>
              <w:ind w:left="300"/>
              <w:spacing w:after="0"/>
              <w:rPr>
                <w:sz w:val="20"/>
                <w:szCs w:val="20"/>
                <w:color w:val="auto"/>
              </w:rPr>
            </w:pPr>
            <w:r>
              <w:rPr>
                <w:rFonts w:ascii="Arial" w:cs="Arial" w:eastAsia="Arial" w:hAnsi="Arial"/>
                <w:sz w:val="11"/>
                <w:szCs w:val="11"/>
                <w:color w:val="auto"/>
              </w:rPr>
              <w:t>expenses</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2"/>
        </w:trPr>
        <w:tc>
          <w:tcPr>
            <w:tcW w:w="20" w:type="dxa"/>
            <w:vAlign w:val="bottom"/>
          </w:tcPr>
          <w:p>
            <w:pPr>
              <w:spacing w:after="0"/>
              <w:rPr>
                <w:sz w:val="11"/>
                <w:szCs w:val="11"/>
                <w:color w:val="auto"/>
              </w:rPr>
            </w:pPr>
          </w:p>
        </w:tc>
        <w:tc>
          <w:tcPr>
            <w:tcW w:w="1400" w:type="dxa"/>
            <w:vAlign w:val="bottom"/>
          </w:tcPr>
          <w:p>
            <w:pPr>
              <w:ind w:left="200"/>
              <w:spacing w:after="0" w:line="127" w:lineRule="exact"/>
              <w:rPr>
                <w:sz w:val="20"/>
                <w:szCs w:val="20"/>
                <w:color w:val="auto"/>
              </w:rPr>
            </w:pPr>
            <w:r>
              <w:rPr>
                <w:rFonts w:ascii="Arial" w:cs="Arial" w:eastAsia="Arial" w:hAnsi="Arial"/>
                <w:sz w:val="10"/>
                <w:szCs w:val="10"/>
                <w:color w:val="auto"/>
              </w:rPr>
              <w:t>Other</w:t>
            </w:r>
            <w:r>
              <w:rPr>
                <w:rFonts w:ascii="Arial" w:cs="Arial" w:eastAsia="Arial" w:hAnsi="Arial"/>
                <w:sz w:val="14"/>
                <w:szCs w:val="14"/>
                <w:color w:val="auto"/>
                <w:vertAlign w:val="superscript"/>
              </w:rPr>
              <w:t>(3)</w:t>
            </w:r>
          </w:p>
        </w:tc>
        <w:tc>
          <w:tcPr>
            <w:tcW w:w="6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22"/>
        </w:trPr>
        <w:tc>
          <w:tcPr>
            <w:tcW w:w="1420" w:type="dxa"/>
            <w:vAlign w:val="bottom"/>
            <w:gridSpan w:val="2"/>
          </w:tcPr>
          <w:p>
            <w:pPr>
              <w:spacing w:after="0"/>
              <w:rPr>
                <w:sz w:val="20"/>
                <w:szCs w:val="20"/>
                <w:color w:val="auto"/>
              </w:rPr>
            </w:pPr>
            <w:r>
              <w:rPr>
                <w:rFonts w:ascii="Arial" w:cs="Arial" w:eastAsia="Arial" w:hAnsi="Arial"/>
                <w:sz w:val="11"/>
                <w:szCs w:val="11"/>
                <w:color w:val="auto"/>
              </w:rPr>
              <w:t>Adjusted general and</w:t>
            </w:r>
          </w:p>
        </w:tc>
        <w:tc>
          <w:tcPr>
            <w:tcW w:w="36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gridSpan w:val="2"/>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gridSpan w:val="2"/>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administrative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40</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75</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1"/>
                <w:szCs w:val="11"/>
                <w:color w:val="auto"/>
              </w:rPr>
            </w:pPr>
          </w:p>
        </w:tc>
      </w:tr>
      <w:tr>
        <w:trPr>
          <w:trHeight w:val="20"/>
        </w:trPr>
        <w:tc>
          <w:tcPr>
            <w:tcW w:w="14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7" w:lineRule="exact"/>
        <w:rPr>
          <w:sz w:val="20"/>
          <w:szCs w:val="20"/>
          <w:color w:val="auto"/>
        </w:rPr>
      </w:pPr>
    </w:p>
    <w:p>
      <w:pPr>
        <w:ind w:left="760" w:hanging="303"/>
        <w:spacing w:after="0"/>
        <w:tabs>
          <w:tab w:leader="none" w:pos="7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Represents certain legal, regulatory, and policy expenses related to worker classification matters.</w:t>
      </w:r>
    </w:p>
    <w:p>
      <w:pPr>
        <w:ind w:left="760" w:right="180" w:hanging="303"/>
        <w:spacing w:after="0" w:line="220" w:lineRule="auto"/>
        <w:tabs>
          <w:tab w:leader="none" w:pos="7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ind w:left="760" w:hanging="303"/>
        <w:spacing w:after="0"/>
        <w:tabs>
          <w:tab w:leader="none" w:pos="7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Represents (i) non-capitalizable expenses related to the public listing of our common stock and (ii) expenses related to the settlement of certain patent infringement claims.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Quarterly Trends in Adjusted EBITDA, Adjusted EBITDA as a Percent of GTV, and Adjusted EBITDA Margin</w:t>
      </w:r>
    </w:p>
    <w:p>
      <w:pPr>
        <w:spacing w:after="0" w:line="108"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6"/>
          <w:szCs w:val="16"/>
          <w:color w:val="auto"/>
        </w:rPr>
        <w:t>Our Adjusted EBITDA, Adjusted EBITDA as a percent of GTV, and Adjusted EBITDA margin have fluctuated based on investments made to fuel our growth and scale Instacart, cost structure improvements, and increased operating leverage. We expect our Adjusted EBITDA, Adjusted EBITDA as a percent of GTV, and Adjusted EBITDA margin to continue to vary significantly as we continue to make substantial investments to fuel our growth and scale Instacart. For information regarding the trends in Adjusted EBITDA, Adjusted EBITDA as a percent of GTV, and Adjusted EBITDA margin, see the section titled “—Key Business and Non-GAAP Metrics—Non-GAAP Financial Measures—Adjusted EBITDA, Adjusted EBITDA as a Percent of GTV, and Adjusted EBITDA Margin.”</w:t>
      </w:r>
    </w:p>
    <w:p>
      <w:pPr>
        <w:spacing w:after="0" w:line="366"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Liquidity and Capital Resources</w:t>
      </w:r>
    </w:p>
    <w:p>
      <w:pPr>
        <w:spacing w:after="0" w:line="214" w:lineRule="exact"/>
        <w:rPr>
          <w:sz w:val="20"/>
          <w:szCs w:val="20"/>
          <w:color w:val="auto"/>
        </w:rPr>
      </w:pPr>
    </w:p>
    <w:p>
      <w:pPr>
        <w:ind w:left="460" w:right="200" w:firstLine="413"/>
        <w:spacing w:after="0" w:line="260" w:lineRule="auto"/>
        <w:rPr>
          <w:sz w:val="20"/>
          <w:szCs w:val="20"/>
          <w:color w:val="auto"/>
        </w:rPr>
      </w:pPr>
      <w:r>
        <w:rPr>
          <w:rFonts w:ascii="Arial" w:cs="Arial" w:eastAsia="Arial" w:hAnsi="Arial"/>
          <w:sz w:val="17"/>
          <w:szCs w:val="17"/>
          <w:color w:val="auto"/>
        </w:rPr>
        <w:t>Since our founding, we have financed our operations primarily through the net proceeds we have received from the issuance of equity securities and through fees received from retailers, customers, and brands. As of June 30, 2023, we had cash and cash equivalents of $1,838 million and marketable securities of $129 million, which were primarily held for working capital purposes.</w:t>
      </w:r>
    </w:p>
    <w:p>
      <w:pPr>
        <w:spacing w:after="0" w:line="17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Since our founding, we have primarily generated losses from our operations as reflected in our accumulated deficit of $735 million as of June 30, 2023 and negative cash flows from operating activities in the years ended</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800"/>
          </w:cols>
          <w:pgMar w:left="320" w:top="440" w:right="77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220"/>
        <w:spacing w:after="0" w:line="284" w:lineRule="auto"/>
        <w:rPr>
          <w:sz w:val="20"/>
          <w:szCs w:val="20"/>
          <w:color w:val="auto"/>
        </w:rPr>
      </w:pPr>
      <w:r>
        <w:rPr>
          <w:rFonts w:ascii="Arial" w:cs="Arial" w:eastAsia="Arial" w:hAnsi="Arial"/>
          <w:sz w:val="16"/>
          <w:szCs w:val="16"/>
          <w:color w:val="auto"/>
        </w:rPr>
        <w:t>December 31, 2020 and 2021. While we generated positive cash flows from operating activities during the year ended December 31, 2022 and the six months ended June 30, 2023, our future cash flows from operating activities may fluctuate as a result of investments we continue to make across our organization. As a result, we may require additional capital resources to execute strategic initiatives to grow our business.</w:t>
      </w:r>
    </w:p>
    <w:p>
      <w:pPr>
        <w:spacing w:after="0" w:line="157" w:lineRule="exact"/>
        <w:rPr>
          <w:sz w:val="20"/>
          <w:szCs w:val="20"/>
          <w:color w:val="auto"/>
        </w:rPr>
      </w:pPr>
    </w:p>
    <w:p>
      <w:pPr>
        <w:ind w:left="460" w:right="60" w:firstLine="413"/>
        <w:spacing w:after="0" w:line="270" w:lineRule="auto"/>
        <w:rPr>
          <w:sz w:val="20"/>
          <w:szCs w:val="20"/>
          <w:color w:val="auto"/>
        </w:rPr>
      </w:pPr>
      <w:r>
        <w:rPr>
          <w:rFonts w:ascii="Arial" w:cs="Arial" w:eastAsia="Arial" w:hAnsi="Arial"/>
          <w:sz w:val="16"/>
          <w:szCs w:val="16"/>
          <w:color w:val="auto"/>
        </w:rPr>
        <w:t>Our working capital and operating cash flows may fluctuate significantly from period to period as a result of new initiatives and the timing of payments made to and/or received from retailers, shoppers, and vendors. In particular, certain transaction types, such as those involving EBT SNAP and alcohol sales, may result in longer collection cycles. For example, in the second half of 2021, we experienced longer collection cycles due to the larger volume of EBT SNAP and alcohol transactions. Additionally, we make substantial weekly payments to shoppers on Tuesdays for services delivered on Instacart. As a result,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each reporting period.</w:t>
      </w:r>
    </w:p>
    <w:p>
      <w:pPr>
        <w:spacing w:after="0" w:line="172"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We believe that our existing cash, cash equivalents, and marketable securities will be sufficient to satisfy our anticipated cash needs for working capital and capital expenditures for at least the next 12 months and beyond. However, our future cash requirements will depend on many factors, including our growth rate, the timing and the amount of cash received from retailers, customers, and brands, the timing and extent of spending to support our research and development efforts, the expansion of sales and marketing activities, the introduction of enhancements, and the continuing market adoption of Instacart. In addition, we may enter into additional or expanded customer, retailer,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heightened inflation and rising interest rates and other macroeconomic conditions, geopolitical events, such as the military conflict involving Russia and Ukraine and economic sanctions imposed on Russia and Belarus, and recent and potential future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Six Months Ended June 30,</w:t>
            </w:r>
          </w:p>
        </w:tc>
      </w:tr>
      <w:tr>
        <w:trPr>
          <w:trHeight w:val="132"/>
        </w:trPr>
        <w:tc>
          <w:tcPr>
            <w:tcW w:w="4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581"/>
              <w:spacing w:after="0" w:line="132"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40"/>
              <w:spacing w:after="0" w:line="13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0"/>
              <w:spacing w:after="0" w:line="132"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60"/>
              <w:spacing w:after="0" w:line="132" w:lineRule="exact"/>
              <w:rPr>
                <w:sz w:val="20"/>
                <w:szCs w:val="20"/>
                <w:color w:val="auto"/>
              </w:rPr>
            </w:pPr>
            <w:r>
              <w:rPr>
                <w:rFonts w:ascii="Arial" w:cs="Arial" w:eastAsia="Arial" w:hAnsi="Arial"/>
                <w:sz w:val="13"/>
                <w:szCs w:val="13"/>
                <w:b w:val="1"/>
                <w:bCs w:val="1"/>
                <w:color w:val="auto"/>
              </w:rPr>
              <w:t>2022</w:t>
            </w:r>
          </w:p>
        </w:tc>
        <w:tc>
          <w:tcPr>
            <w:tcW w:w="4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2"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r>
      <w:tr>
        <w:trPr>
          <w:trHeight w:val="132"/>
        </w:trPr>
        <w:tc>
          <w:tcPr>
            <w:tcW w:w="4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3"/>
          </w:tcPr>
          <w:p>
            <w:pPr>
              <w:ind w:left="120"/>
              <w:spacing w:after="0" w:line="132" w:lineRule="exact"/>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21"/>
              <w:spacing w:after="0"/>
              <w:rPr>
                <w:sz w:val="20"/>
                <w:szCs w:val="20"/>
                <w:color w:val="auto"/>
              </w:rPr>
            </w:pPr>
            <w:r>
              <w:rPr>
                <w:rFonts w:ascii="Arial" w:cs="Arial" w:eastAsia="Arial" w:hAnsi="Arial"/>
                <w:sz w:val="17"/>
                <w:szCs w:val="17"/>
                <w:color w:val="auto"/>
              </w:rPr>
              <w:t>(91)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60"/>
              <w:spacing w:after="0"/>
              <w:rPr>
                <w:sz w:val="20"/>
                <w:szCs w:val="20"/>
                <w:color w:val="auto"/>
              </w:rPr>
            </w:pPr>
            <w:r>
              <w:rPr>
                <w:rFonts w:ascii="Arial" w:cs="Arial" w:eastAsia="Arial" w:hAnsi="Arial"/>
                <w:sz w:val="17"/>
                <w:szCs w:val="17"/>
                <w:color w:val="auto"/>
              </w:rPr>
              <w:t>(204)</w:t>
            </w:r>
          </w:p>
        </w:tc>
        <w:tc>
          <w:tcPr>
            <w:tcW w:w="2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277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99</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242</w:t>
            </w:r>
          </w:p>
        </w:tc>
      </w:tr>
      <w:tr>
        <w:trPr>
          <w:trHeight w:val="203"/>
        </w:trPr>
        <w:tc>
          <w:tcPr>
            <w:tcW w:w="432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160" w:type="dxa"/>
            <w:vAlign w:val="bottom"/>
          </w:tcPr>
          <w:p>
            <w:pPr>
              <w:spacing w:after="0"/>
              <w:rPr>
                <w:sz w:val="17"/>
                <w:szCs w:val="17"/>
                <w:color w:val="auto"/>
              </w:rPr>
            </w:pPr>
          </w:p>
        </w:tc>
        <w:tc>
          <w:tcPr>
            <w:tcW w:w="980" w:type="dxa"/>
            <w:vAlign w:val="bottom"/>
          </w:tcPr>
          <w:p>
            <w:pPr>
              <w:jc w:val="right"/>
              <w:ind w:right="361"/>
              <w:spacing w:after="0"/>
              <w:rPr>
                <w:sz w:val="20"/>
                <w:szCs w:val="20"/>
                <w:color w:val="auto"/>
              </w:rPr>
            </w:pPr>
            <w:r>
              <w:rPr>
                <w:rFonts w:ascii="Arial" w:cs="Arial" w:eastAsia="Arial" w:hAnsi="Arial"/>
                <w:sz w:val="17"/>
                <w:szCs w:val="17"/>
                <w:color w:val="auto"/>
              </w:rPr>
              <w:t>301</w:t>
            </w:r>
          </w:p>
        </w:tc>
        <w:tc>
          <w:tcPr>
            <w:tcW w:w="320" w:type="dxa"/>
            <w:vAlign w:val="bottom"/>
          </w:tcPr>
          <w:p>
            <w:pPr>
              <w:spacing w:after="0"/>
              <w:rPr>
                <w:sz w:val="17"/>
                <w:szCs w:val="17"/>
                <w:color w:val="auto"/>
              </w:rPr>
            </w:pPr>
          </w:p>
        </w:tc>
        <w:tc>
          <w:tcPr>
            <w:tcW w:w="1040" w:type="dxa"/>
            <w:vAlign w:val="bottom"/>
          </w:tcPr>
          <w:p>
            <w:pPr>
              <w:jc w:val="right"/>
              <w:ind w:right="360"/>
              <w:spacing w:after="0"/>
              <w:rPr>
                <w:sz w:val="20"/>
                <w:szCs w:val="20"/>
                <w:color w:val="auto"/>
              </w:rPr>
            </w:pPr>
            <w:r>
              <w:rPr>
                <w:rFonts w:ascii="Arial" w:cs="Arial" w:eastAsia="Arial" w:hAnsi="Arial"/>
                <w:sz w:val="17"/>
                <w:szCs w:val="17"/>
                <w:color w:val="auto"/>
              </w:rPr>
              <w:t>(330)</w:t>
            </w:r>
          </w:p>
        </w:tc>
        <w:tc>
          <w:tcPr>
            <w:tcW w:w="2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117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02"/>
              <w:spacing w:after="0"/>
              <w:rPr>
                <w:sz w:val="20"/>
                <w:szCs w:val="20"/>
                <w:color w:val="auto"/>
              </w:rPr>
            </w:pPr>
            <w:r>
              <w:rPr>
                <w:rFonts w:ascii="Arial" w:cs="Arial" w:eastAsia="Arial" w:hAnsi="Arial"/>
                <w:sz w:val="17"/>
                <w:szCs w:val="17"/>
                <w:color w:val="auto"/>
              </w:rPr>
              <w:t>68</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7"/>
                <w:szCs w:val="17"/>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rPr>
              <w:t>671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464</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93</w:t>
            </w: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r>
      <w:tr>
        <w:trPr>
          <w:trHeight w:val="341"/>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81"/>
              <w:spacing w:after="0"/>
              <w:rPr>
                <w:sz w:val="20"/>
                <w:szCs w:val="20"/>
                <w:color w:val="auto"/>
              </w:rPr>
            </w:pPr>
            <w:r>
              <w:rPr>
                <w:rFonts w:ascii="Arial" w:cs="Arial" w:eastAsia="Arial" w:hAnsi="Arial"/>
                <w:sz w:val="17"/>
                <w:szCs w:val="17"/>
                <w:color w:val="auto"/>
              </w:rPr>
              <w:t>158</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the six months ended June 30, 2023, net cash provided by operating activities was $242 million, which consisted of net income of</w:t>
      </w:r>
    </w:p>
    <w:p>
      <w:pPr>
        <w:spacing w:after="0" w:line="30" w:lineRule="exact"/>
        <w:rPr>
          <w:sz w:val="20"/>
          <w:szCs w:val="20"/>
          <w:color w:val="auto"/>
        </w:rPr>
      </w:pPr>
    </w:p>
    <w:p>
      <w:pPr>
        <w:ind w:left="460" w:right="100"/>
        <w:spacing w:after="0" w:line="288" w:lineRule="auto"/>
        <w:rPr>
          <w:sz w:val="20"/>
          <w:szCs w:val="20"/>
          <w:color w:val="auto"/>
        </w:rPr>
      </w:pPr>
      <w:r>
        <w:rPr>
          <w:rFonts w:ascii="Arial" w:cs="Arial" w:eastAsia="Arial" w:hAnsi="Arial"/>
          <w:sz w:val="15"/>
          <w:szCs w:val="15"/>
          <w:color w:val="auto"/>
        </w:rPr>
        <w:t>$242 million, adjusted for certain non-cash items of $58 million, and net cash outflows from changes in operating assets and liabilities of $58 million. The non-cash items primarily consisted of depreciation and amortization expense of $22 million, deferred income taxes of $18 million, stock-based compensation expense of $9 million, bad debt expense of $9 million, and amortization of operating lease right-of-use assets of $7 million. The net cash outflows from changes in our operating assets and liabilities were primarily due to a $97 million decrease in accrued and other current liabilities, a $41 million decrease in accounts payable, a $13 million decrease in other long-term liabilities, and a $7 million decrease in operating lease liabilities, partially offset by a $69 million decrease in accounts receivable, a $20 million increase in deferred revenue, and an $11 million decrease in prepaid expenses and other assets. These cash inflows were primarily due to growth in our business partially offset as a result of timing of vendor payments.</w:t>
      </w:r>
    </w:p>
    <w:p>
      <w:pPr>
        <w:spacing w:after="0" w:line="160" w:lineRule="exact"/>
        <w:rPr>
          <w:sz w:val="20"/>
          <w:szCs w:val="20"/>
          <w:color w:val="auto"/>
        </w:rPr>
      </w:pPr>
    </w:p>
    <w:p>
      <w:pPr>
        <w:ind w:left="460" w:right="40" w:firstLine="413"/>
        <w:spacing w:after="0" w:line="291" w:lineRule="auto"/>
        <w:rPr>
          <w:sz w:val="20"/>
          <w:szCs w:val="20"/>
          <w:color w:val="auto"/>
        </w:rPr>
      </w:pPr>
      <w:r>
        <w:rPr>
          <w:rFonts w:ascii="Arial" w:cs="Arial" w:eastAsia="Arial" w:hAnsi="Arial"/>
          <w:sz w:val="15"/>
          <w:szCs w:val="15"/>
          <w:color w:val="auto"/>
        </w:rPr>
        <w:t>For the six months ended June 30, 2022, net cash provided by operating activities was $99 million, which consisted of net loss of $74 million, adjusted for certain non-cash items of $38 million, and net cash inflows from changes in operating assets and liabilities of $135 million. The non-cash items primarily consisted of depreciation and amortization expense of $15 million, stock-based compensation expense of $13 million, amortization of operating lease right-of-use assets of $6 million, and bad debt expense of $4 million. The net cash inflows from changes in our operating assets and liabilities were primarily due to a $122 million decrease in accounts receivable, a $39 million increase in deferred revenue, and a $10 million increase in accrued and other current liabilities, partially offset by a $20 million increase in prepaid expenses and other assets, a $9 million decrease in accounts payable, and a $6 million decrease in operating lease liabilities. These cash inflows were primarily due to timing of collection of accounts receivable.</w:t>
      </w:r>
    </w:p>
    <w:p>
      <w:pPr>
        <w:spacing w:after="0" w:line="157"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In 2022, net cash provided by operating activities was $277 million, which consisted of net income of $428 million, adjusted for certain non-cash items of $275 million, and net cash inflows from changes in operating assets and liabilities of $124 million. The non-cash items primarily consisted of a deferred tax benefit of $373 million, the majority of which is related to the release of our valuation allowance in 2022, partially offset by depreciation and amortization expense of $34 million, stock-based compensation expense of $33 million, amortization of operating lease right-of-use assets of $13 million, and bad debt expense of $10 million. The net cash inflows from changes in our operating assets and liabilities were primarily due to timing of payments for our accrued and other current liabilities and accounts payable and comprised of a $141 million increase in accrued and other current liabilities, a $25 million increase in accounts payable, and a $24 million increase in deferred revenue, partially offset by a $31 million increase in prepaid expenses and other assets, $21 million increase in accounts receivable, and a $13 million decrease in operating lease liabilities. These cash inflows were primarily due to increased operating expenses and vendor spend in connection with the growth of our business.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2021, net cash used in operating activities was $204 million, which consisted of net loss of $73 million, adjusted by non-cash charges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$61 million, and net cash outflows from changes in operating assets and liabilities of $192 million. The non-cash charges primarily consisted of stock-</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compensation expense of $22 million, depreciation and amortization of $16 million, amortization of operating lease right-of-use assets of</w:t>
      </w:r>
    </w:p>
    <w:p>
      <w:pPr>
        <w:spacing w:after="0" w:line="19" w:lineRule="exact"/>
        <w:rPr>
          <w:sz w:val="20"/>
          <w:szCs w:val="20"/>
          <w:color w:val="auto"/>
        </w:rPr>
      </w:pPr>
    </w:p>
    <w:p>
      <w:pPr>
        <w:ind w:left="460"/>
        <w:spacing w:after="0" w:line="292" w:lineRule="auto"/>
        <w:rPr>
          <w:sz w:val="20"/>
          <w:szCs w:val="20"/>
          <w:color w:val="auto"/>
        </w:rPr>
      </w:pPr>
      <w:r>
        <w:rPr>
          <w:rFonts w:ascii="Arial" w:cs="Arial" w:eastAsia="Arial" w:hAnsi="Arial"/>
          <w:sz w:val="15"/>
          <w:szCs w:val="15"/>
          <w:color w:val="auto"/>
        </w:rPr>
        <w:t>$11 million, and bad debt expense of $7 million. The net cash outflows from changes in our operating assets and liabilities were primarily comprised of a $318 million increase in accounts receivable, a $60 million increase in prepaid expenses and other assets, and a $13 million decrease in operating lease liabilities, partially offset by a $138 million increase in accounts payable and accrued and other current liabilities, a $47 million increase in deferred revenue, and a $14 million increase in long-term liabilities. These cash outflows were primarily due to increased operating expenses and vendor spend in connection with the growth of our business, partially offset by an increase in sales and indirect tax reserves.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2020, net cash used in operating activities was $91 million, which consisted of net loss of $70 million, adjusted by non-cash charges of</w:t>
      </w:r>
    </w:p>
    <w:p>
      <w:pPr>
        <w:spacing w:after="0" w:line="30" w:lineRule="exact"/>
        <w:rPr>
          <w:sz w:val="20"/>
          <w:szCs w:val="20"/>
          <w:color w:val="auto"/>
        </w:rPr>
      </w:pPr>
    </w:p>
    <w:p>
      <w:pPr>
        <w:ind w:left="460" w:right="80"/>
        <w:spacing w:after="0" w:line="257" w:lineRule="auto"/>
        <w:rPr>
          <w:sz w:val="20"/>
          <w:szCs w:val="20"/>
          <w:color w:val="auto"/>
        </w:rPr>
      </w:pPr>
      <w:r>
        <w:rPr>
          <w:rFonts w:ascii="Arial" w:cs="Arial" w:eastAsia="Arial" w:hAnsi="Arial"/>
          <w:sz w:val="17"/>
          <w:szCs w:val="17"/>
          <w:color w:val="auto"/>
        </w:rPr>
        <w:t>$120 million, and net cash outflows from changes in operating assets and liabilities of $141 million. The non-cash charges primarily consisted of stock-based compensation expense of</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780"/>
          </w:cols>
          <w:pgMar w:left="320" w:top="440" w:right="79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86" w:lineRule="auto"/>
        <w:rPr>
          <w:sz w:val="20"/>
          <w:szCs w:val="20"/>
          <w:color w:val="auto"/>
        </w:rPr>
      </w:pPr>
      <w:r>
        <w:rPr>
          <w:rFonts w:ascii="Arial" w:cs="Arial" w:eastAsia="Arial" w:hAnsi="Arial"/>
          <w:sz w:val="15"/>
          <w:szCs w:val="15"/>
          <w:color w:val="auto"/>
        </w:rPr>
        <w:t>$64 million, amortization of common stock warrants of $21 million, depreciation and amortization of $10 million, amortization of operating lease right-of-use assets of $10 million, and bad debt expense of $9 million. The net cash outflows from changes in our operating assets and liabilities were primarily comprised of a $405 million increase in accounts receivable, partially offset by a $156 million increase in accounts payable and accrued and other current liabilities, a $13 million decrease in prepaid expenses and other current assets, a $57 million increase in deferred revenue, and a</w:t>
      </w:r>
    </w:p>
    <w:p>
      <w:pPr>
        <w:jc w:val="both"/>
        <w:ind w:left="460" w:right="100"/>
        <w:spacing w:after="0" w:line="253" w:lineRule="auto"/>
        <w:rPr>
          <w:sz w:val="20"/>
          <w:szCs w:val="20"/>
          <w:color w:val="auto"/>
        </w:rPr>
      </w:pPr>
      <w:r>
        <w:rPr>
          <w:rFonts w:ascii="Arial" w:cs="Arial" w:eastAsia="Arial" w:hAnsi="Arial"/>
          <w:sz w:val="17"/>
          <w:szCs w:val="17"/>
          <w:color w:val="auto"/>
        </w:rPr>
        <w:t>$45 million increase in long-term liabilities. These cash outflows were primarily due to increased operating expenses in connection with the growth of our business, partially offset as a result of timing of vendor payments, timing and growth of our subscriptions, and an increase in sales and indirect tax reserves.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08" w:lineRule="exact"/>
        <w:rPr>
          <w:sz w:val="20"/>
          <w:szCs w:val="20"/>
          <w:color w:val="auto"/>
        </w:rPr>
      </w:pPr>
    </w:p>
    <w:p>
      <w:pPr>
        <w:ind w:left="460" w:right="200" w:firstLine="413"/>
        <w:spacing w:after="0" w:line="260" w:lineRule="auto"/>
        <w:rPr>
          <w:sz w:val="20"/>
          <w:szCs w:val="20"/>
          <w:color w:val="auto"/>
        </w:rPr>
      </w:pPr>
      <w:r>
        <w:rPr>
          <w:rFonts w:ascii="Arial" w:cs="Arial" w:eastAsia="Arial" w:hAnsi="Arial"/>
          <w:sz w:val="17"/>
          <w:szCs w:val="17"/>
          <w:color w:val="auto"/>
        </w:rPr>
        <w:t>For the six months ended June 30, 2023, net cash provided by investing activities was $89 million, comprised primarily of maturities of marketable securities of $191 million, partially offset by purchases of marketable securities of $80 million and purchases of property and equipment, including capitalized internal-use software of $22 million.</w:t>
      </w:r>
    </w:p>
    <w:p>
      <w:pPr>
        <w:spacing w:after="0" w:line="175"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For the six months ended June 30, 2022, net cash provided by investing activities was $68 million, comprised primarily of maturities of marketable securities of $235 million, partially offset by purchases of marketable securities of $152 million and purchases of property and equipment, including capitalized internal-use software, primarily to support our office facilities of $13 million.</w:t>
      </w:r>
    </w:p>
    <w:p>
      <w:pPr>
        <w:spacing w:after="0" w:line="175" w:lineRule="exact"/>
        <w:rPr>
          <w:sz w:val="20"/>
          <w:szCs w:val="20"/>
          <w:color w:val="auto"/>
        </w:rPr>
      </w:pPr>
    </w:p>
    <w:p>
      <w:pPr>
        <w:ind w:left="460" w:right="160" w:firstLine="413"/>
        <w:spacing w:after="0" w:line="340" w:lineRule="auto"/>
        <w:rPr>
          <w:sz w:val="20"/>
          <w:szCs w:val="20"/>
          <w:color w:val="auto"/>
        </w:rPr>
      </w:pPr>
      <w:r>
        <w:rPr>
          <w:rFonts w:ascii="Arial" w:cs="Arial" w:eastAsia="Arial" w:hAnsi="Arial"/>
          <w:sz w:val="15"/>
          <w:szCs w:val="15"/>
          <w:color w:val="auto"/>
        </w:rPr>
        <w:t>In 2022, net cash provided by investing activities was $117 million, comprised primarily of maturities of marketable securities of $394 million, partially offset by purchases of marketable securities of $158 million and the acquisition of businesses, net of cash acquired of $93 million.</w:t>
      </w:r>
    </w:p>
    <w:p>
      <w:pPr>
        <w:spacing w:after="0" w:line="119" w:lineRule="exact"/>
        <w:rPr>
          <w:sz w:val="20"/>
          <w:szCs w:val="20"/>
          <w:color w:val="auto"/>
        </w:rPr>
      </w:pPr>
    </w:p>
    <w:p>
      <w:pPr>
        <w:ind w:left="460" w:right="280" w:firstLine="413"/>
        <w:spacing w:after="0" w:line="260" w:lineRule="auto"/>
        <w:rPr>
          <w:sz w:val="20"/>
          <w:szCs w:val="20"/>
          <w:color w:val="auto"/>
        </w:rPr>
      </w:pPr>
      <w:r>
        <w:rPr>
          <w:rFonts w:ascii="Arial" w:cs="Arial" w:eastAsia="Arial" w:hAnsi="Arial"/>
          <w:sz w:val="17"/>
          <w:szCs w:val="17"/>
          <w:color w:val="auto"/>
        </w:rPr>
        <w:t>In 2021, net cash used in investing activities was $330 million, comprised primarily of purchases of marketable securities of $623 million, acquisitions of businesses of $54 million, and purchases of property and equipment to support our office facilities of $13 million, partially offset by maturities of marketable securities of $369 million.</w:t>
      </w:r>
    </w:p>
    <w:p>
      <w:pPr>
        <w:spacing w:after="0" w:line="175" w:lineRule="exact"/>
        <w:rPr>
          <w:sz w:val="20"/>
          <w:szCs w:val="20"/>
          <w:color w:val="auto"/>
        </w:rPr>
      </w:pPr>
    </w:p>
    <w:p>
      <w:pPr>
        <w:ind w:left="460" w:right="220" w:firstLine="413"/>
        <w:spacing w:after="0" w:line="340" w:lineRule="auto"/>
        <w:rPr>
          <w:sz w:val="20"/>
          <w:szCs w:val="20"/>
          <w:color w:val="auto"/>
        </w:rPr>
      </w:pPr>
      <w:r>
        <w:rPr>
          <w:rFonts w:ascii="Arial" w:cs="Arial" w:eastAsia="Arial" w:hAnsi="Arial"/>
          <w:sz w:val="15"/>
          <w:szCs w:val="15"/>
          <w:color w:val="auto"/>
        </w:rPr>
        <w:t>In 2020, net cash provided by investing activities was $301 million, comprised of maturities of marketable securities of $618 million, partially offset by purchases of marketable securities of $310 million and purchases of property and equipment to support our office facilities of $7 million.</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 the six months ended June 30, 2023, net cash used in financing activities was not material.</w:t>
      </w:r>
    </w:p>
    <w:p>
      <w:pPr>
        <w:spacing w:after="0" w:line="210"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For the six months ended June 30, 2022, net cash provided by financing activities was $93 million, comprised primarily of changes in advances from a payment card issuer of $58 million and proceeds of $34 million from the exercise of non-voting common stock warrants.</w:t>
      </w:r>
    </w:p>
    <w:p>
      <w:pPr>
        <w:spacing w:after="0" w:line="143" w:lineRule="exact"/>
        <w:rPr>
          <w:sz w:val="20"/>
          <w:szCs w:val="20"/>
          <w:color w:val="auto"/>
        </w:rPr>
      </w:pPr>
    </w:p>
    <w:p>
      <w:pPr>
        <w:ind w:left="460" w:right="320" w:firstLine="413"/>
        <w:spacing w:after="0" w:line="303" w:lineRule="auto"/>
        <w:rPr>
          <w:sz w:val="20"/>
          <w:szCs w:val="20"/>
          <w:color w:val="auto"/>
        </w:rPr>
      </w:pPr>
      <w:r>
        <w:rPr>
          <w:rFonts w:ascii="Arial" w:cs="Arial" w:eastAsia="Arial" w:hAnsi="Arial"/>
          <w:sz w:val="16"/>
          <w:szCs w:val="16"/>
          <w:color w:val="auto"/>
        </w:rPr>
        <w:t>In 2022, net cash provided by financing activities was $46 million, comprised primarily of proceeds of $34 million from the exercise of non-voting common stock warrants and proceeds of $14 million from the modification of non-voting common stock warrants.</w:t>
      </w:r>
    </w:p>
    <w:p>
      <w:pPr>
        <w:spacing w:after="0" w:line="143"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In 2021, net cash provided by financing activities was $464 million, comprised primarily of net proceeds of $265 million from the issuance of redeemable convertible preferred stock, proceeds of $125 million from the issuance of non-voting common stock, and proceeds of $68 million from the exercise of non-voting common stock warrants.</w:t>
      </w:r>
    </w:p>
    <w:p>
      <w:pPr>
        <w:spacing w:after="0" w:line="11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700"/>
          </w:cols>
          <w:pgMar w:left="320" w:top="440" w:right="87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In 2020, net cash provided by financing activities was $671 million, comprised of net proceeds of $625 million from the issuance of redeemable convertible preferred stock and proceeds of $34 million and $12 million from the exercise of non-voting common stock warrants and the exercise of stock options, respectively.</w:t>
      </w:r>
    </w:p>
    <w:p>
      <w:pPr>
        <w:spacing w:after="0" w:line="272"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4"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Our operating lease commitments primarily include corporate offices. As of December 31, 2022, we had fixed lease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of $53 million, with $15 million to be paid within 12 months and the remainder thereafter. For additional discussion on our operating leases, see Note 10 to our audited consolidated financial statements included elsewhere in this prospectus.</w:t>
      </w:r>
    </w:p>
    <w:p>
      <w:pPr>
        <w:spacing w:after="0" w:line="175"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i w:val="1"/>
          <w:iCs w:val="1"/>
          <w:color w:val="auto"/>
        </w:rPr>
        <w:t>Non-cancellable purchases</w:t>
      </w:r>
      <w:r>
        <w:rPr>
          <w:rFonts w:ascii="Arial" w:cs="Arial" w:eastAsia="Arial" w:hAnsi="Arial"/>
          <w:sz w:val="17"/>
          <w:szCs w:val="17"/>
          <w:color w:val="auto"/>
        </w:rPr>
        <w:t>. Our non-cancellable purchase commitments are primarily related to infrastructure service contracts for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As of June 30, 2023, we had non-cancellable purchase obligations of $84 million, with $48 million to be paid within 12 months and the remainder thereafter.</w:t>
      </w:r>
    </w:p>
    <w:p>
      <w:pPr>
        <w:spacing w:after="0" w:line="374"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and Exchange Risk</w:t>
      </w:r>
    </w:p>
    <w:p>
      <w:pPr>
        <w:spacing w:after="0" w:line="108" w:lineRule="exact"/>
        <w:rPr>
          <w:sz w:val="20"/>
          <w:szCs w:val="20"/>
          <w:color w:val="auto"/>
        </w:rPr>
      </w:pPr>
    </w:p>
    <w:p>
      <w:pPr>
        <w:ind w:left="460" w:right="20" w:firstLine="413"/>
        <w:spacing w:after="0" w:line="293" w:lineRule="auto"/>
        <w:rPr>
          <w:sz w:val="20"/>
          <w:szCs w:val="20"/>
          <w:color w:val="auto"/>
        </w:rPr>
      </w:pPr>
      <w:r>
        <w:rPr>
          <w:rFonts w:ascii="Arial" w:cs="Arial" w:eastAsia="Arial" w:hAnsi="Arial"/>
          <w:sz w:val="15"/>
          <w:szCs w:val="15"/>
          <w:color w:val="auto"/>
        </w:rPr>
        <w:t>We transact business globally in multiple currencies, with the vast majority of our cash generated from revenue denominated in U.S. dollars and a small amount denominated in Canadian dollars, Australian dollars, and Chinese yuan. Our international revenue, as well as costs and expenses denominated in foreign currencies, expose us to the risk of fluctuations in foreign currency exchange rates against the U.S. dollar. The effect of a hypothetical 10% change in foreign currency exchange rates applicable to our business would not have a material impact on our consolidated financial statements.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08" w:lineRule="exact"/>
        <w:rPr>
          <w:sz w:val="20"/>
          <w:szCs w:val="20"/>
          <w:color w:val="auto"/>
        </w:rPr>
      </w:pPr>
    </w:p>
    <w:p>
      <w:pPr>
        <w:ind w:left="460" w:right="60" w:firstLine="413"/>
        <w:spacing w:after="0" w:line="269" w:lineRule="auto"/>
        <w:rPr>
          <w:sz w:val="20"/>
          <w:szCs w:val="20"/>
          <w:color w:val="auto"/>
        </w:rPr>
      </w:pPr>
      <w:r>
        <w:rPr>
          <w:rFonts w:ascii="Arial" w:cs="Arial" w:eastAsia="Arial" w:hAnsi="Arial"/>
          <w:sz w:val="16"/>
          <w:szCs w:val="16"/>
          <w:color w:val="auto"/>
        </w:rPr>
        <w:t>As of June 30, 2023, we had cash and cash equivalents of $1,838 million and marketable securities of $129 million invested in a variety of securities, including U.S. government and agency securities, corporate debt securities, commercial paper, and money market funds. In addition, we had $94 million of restricted cash and cash equivalents primarily due to legally restricted funds maintained in a custodial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short-term durations and nature of our investments, we have not been exposed to, nor do we anticipate being exposed to, material risks due to changes in interest rates. A hypothetical 10% increase or decrease in interest rates would not have had a material impact on our consolidated financial statements as of June 30, 2023.</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Inflation Risk</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other than its impact on the general economy. However, we are currently operating in a more volatile inflationary environment due to macroeconomic conditions and have limited data and experience doing so in our history, particularly at our current scale. The principal inflationary factors affecting our business are higher prices of products offered by retail partners through Instacart, including due to higher raw material costs, shipping and freight costs, higher fuel prices that are borne by our partners, and customers purchasing fewer items on average per order. Higher retailer prices, resulting in increased grocery costs and reduced consumer discretionary</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40"/>
          </w:cols>
          <w:pgMar w:left="320" w:top="440" w:right="8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88" w:lineRule="auto"/>
        <w:rPr>
          <w:sz w:val="20"/>
          <w:szCs w:val="20"/>
          <w:color w:val="auto"/>
        </w:rPr>
      </w:pPr>
      <w:r>
        <w:rPr>
          <w:rFonts w:ascii="Arial" w:cs="Arial" w:eastAsia="Arial" w:hAnsi="Arial"/>
          <w:sz w:val="15"/>
          <w:szCs w:val="15"/>
          <w:color w:val="auto"/>
        </w:rPr>
        <w:t>spending could negatively impact consumer demand for online grocery as consumers return to in-store shopping to save on service and delivery fees and also reduce order frequency, drive lower order volume, and decrease average order values. As a result, we may experience lower GTV and orders, which would negatively impact our revenue and margin. Customers have and may continue to reduce spending on more premium products, and our brand partners have and may continue to reduce their overall advertising budgets, either of which could harm our revenue and margin. Customers have and may continue to reduce the number of items purchased overall, which has produced fulfillment efficiencies in the short term but may harm our revenue and margin if and when inflationary pressures subside. We may also not be able to fully offset higher costs through operational efficiencies or price increases.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customer incentives or refunds due to shopper delays or incorrect orders, which have historically occurred and reduce our revenue and profitability.</w:t>
      </w:r>
    </w:p>
    <w:p>
      <w:pPr>
        <w:spacing w:after="0" w:line="159"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Certain of our new offerings focused on value and affordability, such as the addition of discount grocers to Instacart, continued customer promotions, launch of no rush delivery, and Instacart+ members-only discounts,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discretionary spending by customers. Our inability or failure to address challenges relating to inflation could harm our business, financial condition, and results of operations.</w:t>
      </w:r>
    </w:p>
    <w:p>
      <w:pPr>
        <w:spacing w:after="0" w:line="35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4"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to our consolidated financial statements included elsewhere in this prospectus,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Instacart connects multiple parties to facilitate transactions. Our revenue consists of transaction revenue and advertising and other revenue and is recognized in accordance with ASC 606, Revenue from Contracts with Customers.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Transaction Revenue</w:t>
      </w:r>
    </w:p>
    <w:p>
      <w:pPr>
        <w:spacing w:after="0" w:line="108" w:lineRule="exact"/>
        <w:rPr>
          <w:sz w:val="20"/>
          <w:szCs w:val="20"/>
          <w:color w:val="auto"/>
        </w:rPr>
      </w:pPr>
    </w:p>
    <w:p>
      <w:pPr>
        <w:ind w:left="460" w:right="240" w:firstLine="413"/>
        <w:spacing w:after="0" w:line="301" w:lineRule="auto"/>
        <w:rPr>
          <w:sz w:val="20"/>
          <w:szCs w:val="20"/>
          <w:color w:val="auto"/>
        </w:rPr>
      </w:pPr>
      <w:r>
        <w:rPr>
          <w:rFonts w:ascii="Arial" w:cs="Arial" w:eastAsia="Arial" w:hAnsi="Arial"/>
          <w:sz w:val="15"/>
          <w:szCs w:val="15"/>
          <w:color w:val="auto"/>
        </w:rPr>
        <w:t>We generate revenue primarily from fees received from end users and amounts paid by retailers for our transaction service, net of any coupons, incentives, and refunds, as well as payments to shoppers. Our sole performance obligation to the retailer is to connect retailers with end users for the provision of goods by the retailer to the end user. Our sole performance obligation to the end user is to arrange for a shopper to provide fulfillment services to the end user. Each performance obligation is satisfied at a point in time, upon the transfer of control of the services.</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780"/>
          </w:cols>
          <w:pgMar w:left="320" w:top="440" w:right="79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Advertising and Other Revenue</w:t>
      </w:r>
    </w:p>
    <w:p>
      <w:pPr>
        <w:spacing w:after="0" w:line="108"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We generate revenue from the sale of advertising to companies that are interested in reaching end users on Instacart. Advertising products include sponsored product, display ads, coupons, and a variety of other online advertising services. Our performance obligation is to continually promote a brand over the duration of the contractual term. We recognize revenue in the amount that we have the right to invoice as advertising services are rendered, which occurs upon delivery of clicks for Sponsored Product ads, upon delivery of impressions or over the contract term on a fixed fee basis for display ads, or upon redemptions of coupons. We also offer software subscription services that enhance the online shopping experience to certain retailers and generate an immaterial amount of other revenue from software subscriptions. Revenue from our software subscription services is recognized ratably over the subscription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Principal vs. Agent Considerations</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As multiple parties are involved in a transaction between end users, retailers, and shoppers, judgment is required in determining whether we are the principal or agent for the goods and services provided to the end user or retailer in a transaction. We present revenue on a gross or net basis based on whether we control the goods or services provided to the end user or retailer and are the principal (gross), or we arrange for other parties to provide the goods or service to the end user or retailer and are an agent (net).</w:t>
      </w:r>
    </w:p>
    <w:p>
      <w:pPr>
        <w:spacing w:after="0" w:line="179" w:lineRule="exact"/>
        <w:rPr>
          <w:sz w:val="20"/>
          <w:szCs w:val="20"/>
          <w:color w:val="auto"/>
        </w:rPr>
      </w:pPr>
    </w:p>
    <w:p>
      <w:pPr>
        <w:ind w:left="460" w:right="100" w:firstLine="413"/>
        <w:spacing w:after="0" w:line="311" w:lineRule="auto"/>
        <w:rPr>
          <w:sz w:val="20"/>
          <w:szCs w:val="20"/>
          <w:color w:val="auto"/>
        </w:rPr>
      </w:pPr>
      <w:r>
        <w:rPr>
          <w:rFonts w:ascii="Arial" w:cs="Arial" w:eastAsia="Arial" w:hAnsi="Arial"/>
          <w:sz w:val="15"/>
          <w:szCs w:val="15"/>
          <w:i w:val="1"/>
          <w:iCs w:val="1"/>
          <w:color w:val="auto"/>
        </w:rPr>
        <w:t>Goods</w:t>
      </w:r>
      <w:r>
        <w:rPr>
          <w:rFonts w:ascii="Arial" w:cs="Arial" w:eastAsia="Arial" w:hAnsi="Arial"/>
          <w:sz w:val="15"/>
          <w:szCs w:val="15"/>
          <w:color w:val="auto"/>
        </w:rPr>
        <w:t>: We have determined that we are an agent for the retailer in the sale of goods to the end user as we do not control the goods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before they are transferred to the end user. We do not pre-purchase or otherwise obtain control of the goods and only benefit from our fee for arranging for the sale of goods by the retailer to the end user. We also do not take inventory risk and do not generally have discretion over pricing of the goods.</w:t>
      </w:r>
    </w:p>
    <w:p>
      <w:pPr>
        <w:spacing w:after="0" w:line="140"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i w:val="1"/>
          <w:iCs w:val="1"/>
          <w:color w:val="auto"/>
        </w:rPr>
        <w:t xml:space="preserve">Fulfillment services: </w:t>
      </w:r>
      <w:r>
        <w:rPr>
          <w:rFonts w:ascii="Arial" w:cs="Arial" w:eastAsia="Arial" w:hAnsi="Arial"/>
          <w:sz w:val="16"/>
          <w:szCs w:val="16"/>
          <w:color w:val="auto"/>
        </w:rPr>
        <w:t>We have determined that we are an agent for the end user in the procurement of fulfillment services from shoppers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contractors. We do not control the fulfillment services provided as we do not pre-purchase services or otherwise direct shoppers to perform fulfillment services on our behalf. We do not promise fulfillment services to end users at any time. In addition, we are not primarily responsible for and do not have inventory risk for the fulfillment services. Although we have discretion in establishing the fees paid for the services, we believe this indicator does not alone provide persuasive evidence that we control the fulfillment services.</w:t>
      </w:r>
    </w:p>
    <w:p>
      <w:pPr>
        <w:spacing w:after="0" w:line="165"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We recognize as revenue the net amount we retain from both the retailer and the end user from a transaction after remitting the purchase value of the goods to the retailer and amounts owed to the shopper for their services.</w:t>
      </w:r>
    </w:p>
    <w:p>
      <w:pPr>
        <w:spacing w:after="0" w:line="165"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In limited situations, we utilize our own employees to provide certain fulfillment activities for end users with the related costs of employees recorded as cost of revenue.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Revenue Share</w:t>
      </w:r>
    </w:p>
    <w:p>
      <w:pPr>
        <w:spacing w:after="0" w:line="10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We generate revenue from a partnership with a payment card issuer whereby shoppers use cards issued by the payment card issuer to pay for goods at the retailers’ point-of-sale. We earn a revenue share from the payment card issuer for transactions processed through these payment cards and record these amounts in the same period the underlying transaction takes place.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Coupons, Refunds, and Incentives</w:t>
      </w:r>
    </w:p>
    <w:p>
      <w:pPr>
        <w:spacing w:after="0" w:line="108"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We offer several types of coupons and incentives to encourage use of our services, including customer appeasement credits, promotional coupons, and referral bonus coupons. In certain cases, we also provide refunds to retailers primarily in the form of price concessions. Refunds are accounted for as variable consideration and there is limited uncertainty in estimation given the short duration. In certain cases, end user fees received may be less than the amount of refunds, coupons, incentives, and shopper payments applicable to a particular transaction. This shortfall is recorded in revenue.</w:t>
      </w:r>
    </w:p>
    <w:p>
      <w:pPr>
        <w:spacing w:after="0" w:line="8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740"/>
          </w:cols>
          <w:pgMar w:left="320" w:top="440" w:right="8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Equity Agreements with Retailers</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Prior to 2019, we entered into equity agreements with certain retailers for the grant of common stock warrants and subscriptions for our non-voting common stock, which are generally executed at or near the time of execution of commercial agreements with these retailers for our services. Accordingly, we consider any excess of the fair value of the equity instruments issued over any cash payments received in exchange for these instruments to be consideration paid to the retailers and, therefore, a reduction of revenue.</w:t>
      </w:r>
    </w:p>
    <w:p>
      <w:pPr>
        <w:spacing w:after="0" w:line="179"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fair value of warrants was determined initially as of the grant date. Prior to January 1, 2020, the warrants with time-based vesting conditions were subsequently remeasured at each reporting period until the measurement date was reached by using the Black-Scholes option-pricing model. Warrants with performance-based vesting conditions were measured at the then current lowest aggregate fair value at each reporting period until the measurement date is reached. In 2022, certain warrants were modified to extend the exercise period, and we measured the fair value of the warrants as of the modification date using the Black-Scholes option-pricing model.</w:t>
      </w:r>
    </w:p>
    <w:p>
      <w:pPr>
        <w:spacing w:after="0" w:line="181" w:lineRule="exact"/>
        <w:rPr>
          <w:sz w:val="20"/>
          <w:szCs w:val="20"/>
          <w:color w:val="auto"/>
        </w:rPr>
      </w:pPr>
    </w:p>
    <w:p>
      <w:pPr>
        <w:ind w:left="460" w:right="160" w:firstLine="413"/>
        <w:spacing w:after="0" w:line="260" w:lineRule="auto"/>
        <w:rPr>
          <w:sz w:val="20"/>
          <w:szCs w:val="20"/>
          <w:color w:val="auto"/>
        </w:rPr>
      </w:pPr>
      <w:r>
        <w:rPr>
          <w:rFonts w:ascii="Arial" w:cs="Arial" w:eastAsia="Arial" w:hAnsi="Arial"/>
          <w:sz w:val="17"/>
          <w:szCs w:val="17"/>
          <w:color w:val="auto"/>
        </w:rPr>
        <w:t>The Black-Scholes option pricing model requires the input of subjective assumptions, including (1) the fair value of common stock, (2) the expected stock price volatility, (3) the expected term of the warrant, (4) the risk-free interest rate, and (5) expected dividend yields. These assumptions are estimated as follows:</w:t>
      </w:r>
    </w:p>
    <w:p>
      <w:pPr>
        <w:spacing w:after="0" w:line="87" w:lineRule="exact"/>
        <w:rPr>
          <w:sz w:val="20"/>
          <w:szCs w:val="20"/>
          <w:color w:val="auto"/>
        </w:rPr>
      </w:pPr>
    </w:p>
    <w:p>
      <w:pPr>
        <w:ind w:left="1360" w:right="560" w:hanging="498"/>
        <w:spacing w:after="0" w:line="272" w:lineRule="auto"/>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Because our common stock is not yet publicly traded, we are required to estimate the fair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as discussed in the section titled “—Common Stock Valuations” below.</w:t>
      </w:r>
    </w:p>
    <w:p>
      <w:pPr>
        <w:spacing w:after="0" w:line="76" w:lineRule="exact"/>
        <w:rPr>
          <w:rFonts w:ascii="Arial" w:cs="Arial" w:eastAsia="Arial" w:hAnsi="Arial"/>
          <w:sz w:val="17"/>
          <w:szCs w:val="17"/>
          <w:color w:val="auto"/>
        </w:rPr>
      </w:pPr>
    </w:p>
    <w:p>
      <w:pPr>
        <w:ind w:left="1360" w:right="80" w:hanging="498"/>
        <w:spacing w:after="0" w:line="274" w:lineRule="auto"/>
        <w:tabs>
          <w:tab w:leader="none" w:pos="1360"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As a result of the lack of historical and implied volatility data of our common stock, the expected stock price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is generally estimated based on the historical volatilities of a specified group of companies in our industry for a period equal to the expected life of the warrant. We select companies with comparable characteristics to us, including enterprise value, risk profiles, and position within the industry, and with historical share price information sufficient to meet the expected term of the stock options. The historical volatility data is computed using the daily closing prices for the selected companies.</w:t>
      </w:r>
    </w:p>
    <w:p>
      <w:pPr>
        <w:spacing w:after="0" w:line="76" w:lineRule="exact"/>
        <w:rPr>
          <w:rFonts w:ascii="Arial" w:cs="Arial" w:eastAsia="Arial" w:hAnsi="Arial"/>
          <w:sz w:val="16"/>
          <w:szCs w:val="16"/>
          <w:color w:val="auto"/>
        </w:rPr>
      </w:pPr>
    </w:p>
    <w:p>
      <w:pPr>
        <w:ind w:left="1360" w:hanging="498"/>
        <w:spacing w:after="0"/>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We determine the expected term of our warrants based on the vesting term and contractual term.</w:t>
      </w:r>
    </w:p>
    <w:p>
      <w:pPr>
        <w:spacing w:after="0" w:line="121" w:lineRule="exact"/>
        <w:rPr>
          <w:rFonts w:ascii="Arial" w:cs="Arial" w:eastAsia="Arial" w:hAnsi="Arial"/>
          <w:sz w:val="17"/>
          <w:szCs w:val="17"/>
          <w:color w:val="auto"/>
        </w:rPr>
      </w:pPr>
    </w:p>
    <w:p>
      <w:pPr>
        <w:ind w:left="1360" w:right="120" w:hanging="498"/>
        <w:spacing w:after="0" w:line="272" w:lineRule="auto"/>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Risk-free rate</w:t>
      </w:r>
      <w:r>
        <w:rPr>
          <w:rFonts w:ascii="Arial" w:cs="Arial" w:eastAsia="Arial" w:hAnsi="Arial"/>
          <w:sz w:val="17"/>
          <w:szCs w:val="17"/>
          <w:color w:val="auto"/>
        </w:rPr>
        <w:t>. The risk-free rate assumption is based on the U.S. Treasury instruments whose term is consistent with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the warrants.</w:t>
      </w:r>
    </w:p>
    <w:p>
      <w:pPr>
        <w:spacing w:after="0" w:line="76" w:lineRule="exact"/>
        <w:rPr>
          <w:rFonts w:ascii="Arial" w:cs="Arial" w:eastAsia="Arial" w:hAnsi="Arial"/>
          <w:sz w:val="17"/>
          <w:szCs w:val="17"/>
          <w:color w:val="auto"/>
        </w:rPr>
      </w:pPr>
    </w:p>
    <w:p>
      <w:pPr>
        <w:ind w:left="1360" w:right="220" w:hanging="498"/>
        <w:spacing w:after="0" w:line="272" w:lineRule="auto"/>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utilize a dividend yield of zero, as we have not paid dividends and do not expect to do so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and as such, the dividend yield has been estimated to be zero.</w:t>
      </w:r>
    </w:p>
    <w:p>
      <w:pPr>
        <w:spacing w:after="0" w:line="165"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On January 1, 2020, we adopted ASU No. 2019-08 and remeasured all outstanding stock-based awards to retailers using the award’s fair value on the adoption date. Subsequent to adoption, outstanding stock-based awards to retailers were no longer required to be remeasured at each reporting period.</w:t>
      </w:r>
    </w:p>
    <w:p>
      <w:pPr>
        <w:spacing w:after="0" w:line="175"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The fair value of non-voting common stock subscriptions is determined by management in part considering independent valuations of our common stock as discussed in the section titled “—Common Stock Valuations” below.</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We measure compensation expense for all stock-based payment awards, including stock options, restricted stock, and restricted stock units granted to employees, directors, and nonemployees based on the estimated fair value of the awards on the date of grant. Stock-based compensation expense is recognized over the period during which an employee is required to provide service. The service-based vesting condition for the majority of these awards is satisfied over four years.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780"/>
          </w:cols>
          <w:pgMar w:left="320" w:top="440" w:right="79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Stock Options</w:t>
      </w:r>
    </w:p>
    <w:p>
      <w:pPr>
        <w:spacing w:after="0" w:line="108"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6"/>
          <w:szCs w:val="16"/>
          <w:color w:val="auto"/>
        </w:rPr>
        <w:t>We estimate the fair value of stock options granted to employees using the Black-Scholes option-pricing model on the date of grant. The fair value of stock options with service-based vesting conditions is recognized as compensation expense on a straight-line basis over the requisite service period. The Black-Scholes option-pricing model requires the input of subjective assumptions including the following:</w:t>
      </w:r>
    </w:p>
    <w:p>
      <w:pPr>
        <w:spacing w:after="0" w:line="69" w:lineRule="exact"/>
        <w:rPr>
          <w:sz w:val="20"/>
          <w:szCs w:val="20"/>
          <w:color w:val="auto"/>
        </w:rPr>
      </w:pPr>
    </w:p>
    <w:p>
      <w:pPr>
        <w:ind w:left="1360" w:right="560" w:hanging="498"/>
        <w:spacing w:after="0" w:line="272" w:lineRule="auto"/>
        <w:tabs>
          <w:tab w:leader="none" w:pos="136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Because our common stock is not yet publicly traded, we are required to estimate the fair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as discussed in the section titled “—Common Stock Valuations” below.</w:t>
      </w:r>
    </w:p>
    <w:p>
      <w:pPr>
        <w:spacing w:after="0" w:line="76" w:lineRule="exact"/>
        <w:rPr>
          <w:rFonts w:ascii="Arial" w:cs="Arial" w:eastAsia="Arial" w:hAnsi="Arial"/>
          <w:sz w:val="17"/>
          <w:szCs w:val="17"/>
          <w:color w:val="auto"/>
        </w:rPr>
      </w:pPr>
    </w:p>
    <w:p>
      <w:pPr>
        <w:ind w:left="1360" w:right="80" w:hanging="498"/>
        <w:spacing w:after="0" w:line="274" w:lineRule="auto"/>
        <w:tabs>
          <w:tab w:leader="none" w:pos="1360"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As a result of the lack of historical and implied volatility data of our common stock, the expected stock price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estimated based on the historical volatilities of a specified group of companies in our industry for a period equal to the expected life of the option. We selected companies with comparable characteristics to us,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76" w:lineRule="exact"/>
        <w:rPr>
          <w:rFonts w:ascii="Arial" w:cs="Arial" w:eastAsia="Arial" w:hAnsi="Arial"/>
          <w:sz w:val="16"/>
          <w:szCs w:val="16"/>
          <w:color w:val="auto"/>
        </w:rPr>
      </w:pPr>
    </w:p>
    <w:p>
      <w:pPr>
        <w:ind w:left="1360" w:right="20" w:hanging="498"/>
        <w:spacing w:after="0" w:line="260" w:lineRule="auto"/>
        <w:tabs>
          <w:tab w:leader="none" w:pos="136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stock options represents the weighted-average period the stock options are expected to remain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and is based on the stock options’ vesting terms and contractual terms, estimated employee termination behavior, and potential future stock price outcomes.</w:t>
      </w:r>
    </w:p>
    <w:p>
      <w:pPr>
        <w:spacing w:after="0" w:line="8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 xml:space="preserve">Risk-free rate. </w:t>
      </w:r>
      <w:r>
        <w:rPr>
          <w:rFonts w:ascii="Arial" w:cs="Arial" w:eastAsia="Arial" w:hAnsi="Arial"/>
          <w:sz w:val="17"/>
          <w:szCs w:val="17"/>
          <w:color w:val="auto"/>
        </w:rPr>
        <w:t>The expected risk-free rate assumption is based on the U.S. Treasury instruments whose term is consistent with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the stock options.</w:t>
      </w:r>
    </w:p>
    <w:p>
      <w:pPr>
        <w:spacing w:after="0" w:line="76" w:lineRule="exact"/>
        <w:rPr>
          <w:rFonts w:ascii="Arial" w:cs="Arial" w:eastAsia="Arial" w:hAnsi="Arial"/>
          <w:sz w:val="17"/>
          <w:szCs w:val="17"/>
          <w:color w:val="auto"/>
        </w:rPr>
      </w:pPr>
    </w:p>
    <w:p>
      <w:pPr>
        <w:ind w:left="1360" w:right="60" w:hanging="498"/>
        <w:spacing w:after="0" w:line="340" w:lineRule="auto"/>
        <w:tabs>
          <w:tab w:leader="none" w:pos="1360"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The expected dividend assumption is based on our history and expectation of dividend payouts. We have not paid</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and do not expect to do so in the foreseeable future, and as such, the dividend yield has been estimated to be zero.</w:t>
      </w:r>
    </w:p>
    <w:p>
      <w:pPr>
        <w:spacing w:after="0" w:line="119"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We have also granted stock options that vest only upon the satisfaction of both service-based vesting conditions and market-based vesting conditions. The market-based vesting conditions are satisfied upon our achievement of specified future valuation amounts. In the event of a change of control, 100% of the then unvested shares subject to the market-based vesting condition shall vest. We determined the grant-date fair value utilizing a Monte Carlo valuation model, which incorporates various assumptions, including expected stock price volatility, expected term, risk-free interest rates, expected date of a qualifying event, and expected capital raise amount. We record stock-based compensation expense for market-based equity awards on an accelerated attribution method over the requisite service period. We determined the requisite service period by comparing the derived service period to achieve the market-based vesting conditions and the explicit time-based service period, using the longer of the two service periods as the requisite service period for recognition of stock-based compensation expense. If the market-based vesting conditions are met sooner than the derived service period, we will adjust our stock-based compensation expense to accelerate the cumulative expense associated with the vested award. Assuming that the service-based vesting condition has been met, we will recognize stock-based compensation expense over the requisite service period, regardless of whether the market-based vesting conditions are achieved.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Restricted Stock Units and Restricted Stock</w:t>
      </w:r>
    </w:p>
    <w:p>
      <w:pPr>
        <w:spacing w:after="0" w:line="108"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7"/>
          <w:szCs w:val="17"/>
          <w:color w:val="auto"/>
        </w:rPr>
        <w:t>We have granted RSUs and restricted stock to our employees and directors under our 2018 Plan. RSUs and restricted stock outstanding as of June 30, 2023 have both service-based and liquidity event-based vesting conditions. The service-based vesting period for these awards is typically four years with a cliff vesting period of one year and continued vesting monthly or quarterly thereafter. Upon satisfaction of the liquidity event-based vesting condition, RSUs and restricted stock for which the service-based vesting condition has also been satisfied will vest immediately, and any remaining unvested RSUs and restricted stock will vest ratably over the remaining service period. The liquidity event-based vesting condition is satisfied on the earlier of (1) a</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780"/>
          </w:cols>
          <w:pgMar w:left="320" w:top="440" w:right="79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52" w:lineRule="auto"/>
        <w:rPr>
          <w:sz w:val="20"/>
          <w:szCs w:val="20"/>
          <w:color w:val="auto"/>
        </w:rPr>
      </w:pPr>
      <w:r>
        <w:rPr>
          <w:rFonts w:ascii="Arial" w:cs="Arial" w:eastAsia="Arial" w:hAnsi="Arial"/>
          <w:sz w:val="17"/>
          <w:szCs w:val="17"/>
          <w:color w:val="auto"/>
        </w:rPr>
        <w:t>combination or disposition transaction provided that such transaction (or series of transactions) qualifies as a change of control, and (2) the effective date of a registration statement for an initial public offering of our common stock, which will be satisfied in connection with the effectiveness of the registration statement of which this prospectus forms a part. As of June 30, 2023, all stock-based compensation expense related to RSUs and restricted stock remained unrecognized because the liquidity event-based vesting condition was not satisfied. At the time the liquidity event-based vesting condition becomes probable, which is not until such condition is satisfied, we will recognize cumulative stock-based compensation expense for the outstanding RSUs and restricted stock using the accelerated attribution method for awards that have fully or partially satisfied the service-based vesting condition.</w:t>
      </w:r>
    </w:p>
    <w:p>
      <w:pPr>
        <w:spacing w:after="0" w:line="184"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have also granted RSUs that vest only upon the satisfaction of service-based, liquidity event-based, and market-based vesting conditions with certain RSUs including a one-year holding period prior to any sale, transfer, or disposal, subject to certain exceptions. The liquidity event-based vesting condition is satisfied on the earlier of (1) a change of control or (2) the effective date of a registration statement for an initial public offering of our common stock, which will be satisfied in connection with the effectiveness of the registration statement of which this prospectus forms a part. The market-based vesting conditions are satisfied upon our achievement of specified future market capitalization goals. We determined the grant-date fair value utilizing a Monte Carlo valuation model, which incorporates various assumptions including expected stock price volatility, expected term, risk-free interest rates, expected date of a qualifying event, and expected capital raise amount. We record stock-based compensation expense for these awards on an accelerated attribution method over the requisite service period and only if the liquidity event-based vesting condition is considered probable to be satisfied. We determine the requisite service period by comparing the derived service period to achieve the market-based vesting conditions and the explicit time-based service period, using the longer of the two service periods as the requisite service period for recognition of stock-based compensation expense. If the market-based vesting conditions are met sooner than the derived service period, we will adjust our stock-based compensation expense to accelerate the cumulative expense associated with the vested award. Assuming that both the service-based vesting condition and the liquidity event-based vesting condition have been met, we will recognize stock-based compensation expense over the requisite service period, regardless of whether the market-based vesting conditions are achieved.</w:t>
      </w:r>
    </w:p>
    <w:p>
      <w:pPr>
        <w:spacing w:after="0" w:line="162"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As of June 30, 2023, approximately 63.9 million RSUs and shares of restricted stock were outstanding, of which approximately 28.0 million had met their service-based vesting condition, and, as applicable, both their service-based and market-based vesting conditions. The total unrecognized stock-based compensation expense relating to these awards as of June 30, 2023 was $3.3 billion. Of that amount, $2.5 billion relates to awards for which the service-based vesting condition, or as applicable, both the service-based and market-based vesting conditions, had been satisfied or partially satisfied as of June 30, 2023, calculated using the accelerated attribution method.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108"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 xml:space="preserve">The fair value of the shares of common stock underlying stock options, RSUs, and restricted stock issued in connection with business acquisitions has historically been determined by our board of directors, with input from management and corroboration from contemporaneous third-party valuations, as there was no public market for the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Accounting and Valuation Guide,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our board of directors exercised reasonable judgment and considered numerous objective and subjective factors to determine the best estimate of the fair value of our common stock at each option grant date, including:</w:t>
      </w:r>
    </w:p>
    <w:p>
      <w:pPr>
        <w:spacing w:after="0" w:line="83" w:lineRule="exact"/>
        <w:rPr>
          <w:sz w:val="20"/>
          <w:szCs w:val="20"/>
          <w:color w:val="auto"/>
        </w:rPr>
      </w:pPr>
    </w:p>
    <w:p>
      <w:pPr>
        <w:ind w:left="1360" w:hanging="498"/>
        <w:spacing w:after="0"/>
        <w:tabs>
          <w:tab w:leader="none" w:pos="13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independent third-party valuations of our common stock;</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rights, preferences, and privileges of our redeemable convertible preferred stock relative to those of our common stock;</w:t>
      </w:r>
    </w:p>
    <w:p>
      <w:pPr>
        <w:spacing w:after="0" w:line="146"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166</w:t>
      </w:r>
    </w:p>
    <w:p>
      <w:pPr>
        <w:sectPr>
          <w:pgSz w:w="11900" w:h="16838" w:orient="portrait"/>
          <w:cols w:equalWidth="0" w:num="1">
            <w:col w:w="10780"/>
          </w:cols>
          <w:pgMar w:left="320" w:top="440" w:right="79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tabs>
          <w:tab w:leader="none" w:pos="13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prices of common or redeemable convertible preferred stock sold to third-party investors by us and in secondary transactions;</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our actual operating and financial performance;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hiring of key personnel and the experience of our management;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our history and the introduction of new services;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121"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likelihood of achieving a liquidity event, such as an initial public offering, direct listing, or a merger or acquisition given prevailing market conditions;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U.S. and global capital market conditions.</w:t>
      </w:r>
    </w:p>
    <w:p>
      <w:pPr>
        <w:spacing w:after="0" w:line="210" w:lineRule="exact"/>
        <w:rPr>
          <w:sz w:val="20"/>
          <w:szCs w:val="20"/>
          <w:color w:val="auto"/>
        </w:rPr>
      </w:pPr>
    </w:p>
    <w:p>
      <w:pPr>
        <w:ind w:left="460" w:right="60" w:firstLine="413"/>
        <w:spacing w:after="0" w:line="269" w:lineRule="auto"/>
        <w:rPr>
          <w:sz w:val="20"/>
          <w:szCs w:val="20"/>
          <w:color w:val="auto"/>
        </w:rPr>
      </w:pPr>
      <w:r>
        <w:rPr>
          <w:rFonts w:ascii="Arial" w:cs="Arial" w:eastAsia="Arial" w:hAnsi="Arial"/>
          <w:sz w:val="16"/>
          <w:szCs w:val="16"/>
          <w:color w:val="auto"/>
        </w:rPr>
        <w:t>In valuing our common stock, the board of directors determined the value using both the market approach and the income approach valuation methods. The market approach measures the value of a business through an analysis of recent sales or offerings of comparable investments or assets. In applying this method, valuation multiples are derived from historical operating data of a peer company group. We then apply multiples to our operating data to arrive at a range of indicated values of the company.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 In 2020 through February 2021, the enterprise value was estimated by back-solving for the enterprise value implied by recent sales of common and/or preferred equity. Starting in May 2021, the enterprise value was estimated using a probability expected weighted return method, or PWERM.</w:t>
      </w:r>
    </w:p>
    <w:p>
      <w:pPr>
        <w:spacing w:after="0" w:line="170" w:lineRule="exact"/>
        <w:rPr>
          <w:sz w:val="20"/>
          <w:szCs w:val="20"/>
          <w:color w:val="auto"/>
        </w:rPr>
      </w:pPr>
    </w:p>
    <w:p>
      <w:pPr>
        <w:jc w:val="both"/>
        <w:ind w:left="460" w:right="220" w:firstLine="413"/>
        <w:spacing w:after="0" w:line="260" w:lineRule="auto"/>
        <w:rPr>
          <w:sz w:val="20"/>
          <w:szCs w:val="20"/>
          <w:color w:val="auto"/>
        </w:rPr>
      </w:pPr>
      <w:r>
        <w:rPr>
          <w:rFonts w:ascii="Arial" w:cs="Arial" w:eastAsia="Arial" w:hAnsi="Arial"/>
          <w:sz w:val="17"/>
          <w:szCs w:val="17"/>
          <w:color w:val="auto"/>
        </w:rPr>
        <w:t>For each valuation, the enterprise value determined by the income and/or market approaches was then allocated to the common stock using the option pricing method, or OPM, or a hybrid of the PWERM and OPM, which estimates the probability weighted value across multiple scenarios but uses OPM to estimate the allocation of value within one or more of those scenarios.</w:t>
      </w:r>
    </w:p>
    <w:p>
      <w:pPr>
        <w:spacing w:after="0" w:line="17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OPM method allows for the allocation of a company’s equity value among the various equity capital owners. The OPM uses the preferred stockholders’ liquidation preferences, participation rights, dividend policy, and conversion rights to determine how proceeds from a liquidity event shall be distributed among the various ownership classes at a future date. The PWERM method involves the estimation of future potential outcomes for the company, as well as values and probabilities associated with each respective potential outcome. This method is particularly useful when discrete future outcomes can be predicted at a relatively high confidence level with a probability distribution. Discrete future outcomes considered under the PWERM include a liquidity event, as well as non-liquidity event market-based outcomes. Determining the fair value of the enterprise using the PWERM requires the development of assumptions and estimates for both the probability of a liquidity event and stay private outcomes, as well as the values those outcomes could yield.</w:t>
      </w:r>
    </w:p>
    <w:p>
      <w:pPr>
        <w:spacing w:after="0" w:line="174" w:lineRule="exact"/>
        <w:rPr>
          <w:sz w:val="20"/>
          <w:szCs w:val="20"/>
          <w:color w:val="auto"/>
        </w:rPr>
      </w:pPr>
    </w:p>
    <w:p>
      <w:pPr>
        <w:ind w:left="460" w:right="60" w:firstLine="413"/>
        <w:spacing w:after="0" w:line="254" w:lineRule="auto"/>
        <w:rPr>
          <w:sz w:val="20"/>
          <w:szCs w:val="20"/>
          <w:color w:val="auto"/>
        </w:rPr>
      </w:pPr>
      <w:r>
        <w:rPr>
          <w:rFonts w:ascii="Arial" w:cs="Arial" w:eastAsia="Arial" w:hAnsi="Arial"/>
          <w:sz w:val="17"/>
          <w:szCs w:val="17"/>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740"/>
          </w:cols>
          <w:pgMar w:left="320" w:top="440" w:right="8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Application of these approaches involves the use of estimates, judgments, and assumptions that are highly complex and subjective, such as those regarding our expected future revenue, expenses and future cash flows, discount rates, discount for lack of marketability,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48" w:lineRule="exact"/>
        <w:rPr>
          <w:sz w:val="20"/>
          <w:szCs w:val="20"/>
          <w:color w:val="auto"/>
        </w:rPr>
      </w:pPr>
    </w:p>
    <w:p>
      <w:pPr>
        <w:jc w:val="both"/>
        <w:ind w:left="460" w:right="60" w:firstLine="413"/>
        <w:spacing w:after="0" w:line="260" w:lineRule="auto"/>
        <w:rPr>
          <w:sz w:val="20"/>
          <w:szCs w:val="20"/>
          <w:color w:val="auto"/>
        </w:rPr>
      </w:pPr>
      <w:r>
        <w:rPr>
          <w:rFonts w:ascii="Arial" w:cs="Arial" w:eastAsia="Arial" w:hAnsi="Arial"/>
          <w:sz w:val="17"/>
          <w:szCs w:val="17"/>
          <w:color w:val="auto"/>
        </w:rPr>
        <w:t>For valuations after the completion of this offering, the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40" w:firstLine="413"/>
        <w:spacing w:after="0" w:line="268" w:lineRule="auto"/>
        <w:rPr>
          <w:sz w:val="20"/>
          <w:szCs w:val="20"/>
          <w:color w:val="auto"/>
        </w:rPr>
      </w:pPr>
      <w:r>
        <w:rPr>
          <w:rFonts w:ascii="Arial" w:cs="Arial" w:eastAsia="Arial" w:hAnsi="Arial"/>
          <w:sz w:val="16"/>
          <w:szCs w:val="16"/>
          <w:color w:val="auto"/>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consisting primarily of third-party legal and consulting costs, are expensed as incurred.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Sales and Indirect Taxes</w:t>
      </w:r>
    </w:p>
    <w:p>
      <w:pPr>
        <w:spacing w:after="0" w:line="108"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the United States, we are under audit by various state tax authorities with regard to sales and indirect tax matters. The subject matter of these audits primarily relates to the reporting of sales on behalf of our third-party sellers or tax treatment applied to the sale of our services in these jurisdictions. We believe that we properly accrue and pay taxes according to our understanding of tax requirements in each taxing jurisdiction; however, it is possible that tax authorities may question our interpretation of taxability. As such, there is a high degree of complexity involved in the interpretation and application of states and local sales and indirect tax rules to our activities. As a result, we maintain a reserve for potential sales and indirect taxes that may result from examinations or settlement agreements with these tax authorities when we believe that it is both probable that a liability has been incurred and the amount can be reasonably estimated. These reserves are recorded within long-term liabilities on the consolidated balance sheets and within general and administrative expense in the consolidated statements of operations.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08"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We are involved in various legal proceedings, claims and regulatory, non-income tax audits, or government inquiries and investigations that arise in the ordinary course of business. Certain of these matters include claims for substantial or indeterminate amounts of damages. We record liabilities to address potential exposures related to tax positions we have taken that have been or could be challenged by taxing authorities. In addition, we record liabilities associated with legal proceedings and lawsuits. These liabilities are recorded when we believe that it is both probable that a loss has been incurred and the amount can be estimated.</w:t>
      </w:r>
    </w:p>
    <w:p>
      <w:pPr>
        <w:spacing w:after="0" w:line="156"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We review the developments of each individual legal proceeding that could affect the amount of liabilities that have been previously recorded and the range of possible losses disclosed. We make adjustments to our liabilities and disclosures accordingly to reflect the impact of negotiations, settlements, rulings, advice of legal</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760"/>
          </w:cols>
          <w:pgMar w:left="320" w:top="440" w:right="81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spacing w:after="0" w:line="260" w:lineRule="auto"/>
        <w:rPr>
          <w:sz w:val="20"/>
          <w:szCs w:val="20"/>
          <w:color w:val="auto"/>
        </w:rPr>
      </w:pPr>
      <w:r>
        <w:rPr>
          <w:rFonts w:ascii="Arial" w:cs="Arial" w:eastAsia="Arial" w:hAnsi="Arial"/>
          <w:sz w:val="17"/>
          <w:szCs w:val="17"/>
          <w:color w:val="auto"/>
        </w:rPr>
        <w:t>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150"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The outcomes of these legal proceedings are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We record a provision for income taxes for the anticipated tax consequences of our reported results of operations using the asset and liability method. Deferred income taxes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on deferred tax assets and liabilities of a change in tax rates is recognized in income in the period that includes the enactment date. The measurement of deferred tax assets is reduced, if necessary, by a valuation allowance for any tax benefits for which future realization is uncertain.</w:t>
      </w:r>
    </w:p>
    <w:p>
      <w:pPr>
        <w:spacing w:after="0" w:line="114" w:lineRule="exact"/>
        <w:rPr>
          <w:sz w:val="20"/>
          <w:szCs w:val="20"/>
          <w:color w:val="auto"/>
        </w:rPr>
      </w:pPr>
    </w:p>
    <w:p>
      <w:pPr>
        <w:ind w:left="460" w:right="440" w:firstLine="413"/>
        <w:spacing w:after="0" w:line="340" w:lineRule="auto"/>
        <w:rPr>
          <w:sz w:val="20"/>
          <w:szCs w:val="20"/>
          <w:color w:val="auto"/>
        </w:rPr>
      </w:pPr>
      <w:r>
        <w:rPr>
          <w:rFonts w:ascii="Arial" w:cs="Arial" w:eastAsia="Arial" w:hAnsi="Arial"/>
          <w:sz w:val="15"/>
          <w:szCs w:val="15"/>
          <w:color w:val="auto"/>
        </w:rPr>
        <w:t>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81"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In evaluating our ability to recover our deferred tax assets, in full or in part, we consider all available positive and negative evidence, including such factors as the history of recent earnings and expected future taxable income on a jurisdiction-by-jurisdiction basis. The assumptions utilized in determining future taxable income require judgment and are consistent with the plans and estimates we are using to manage the underlying business. Actual operating results in future years could differ from our current assumptions, judgments, and estimates. As of December 31, 2022, after considering these factors, we determined that the positive evidence overcame any negative evidence, and concluded that it was more likely than not that the U.S. federal and state deferred tax assets were realizable. As a result, we released the entire valuation allowance of $358 million related to the U.S. federal and state net deferred tax assets during the year ended December 31, 2022.</w:t>
      </w:r>
    </w:p>
    <w:p>
      <w:pPr>
        <w:spacing w:after="0" w:line="147"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6"/>
          <w:szCs w:val="16"/>
          <w:color w:val="auto"/>
        </w:rPr>
        <w:t>We did not recognize certain tax benefits from uncertain tax positions within the provision for income taxes. We may recognize a tax benefit only if it is more likely than not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At June 30, 2023, our estimated gross unrecognized tax benefits were $35 million, which, if recognized, would favorably impact our future earnings. Due to uncertainties in any tax audit outcome, our estimates of the ultimate settlement of our unrecognized tax positions may change and the actual tax benefits may differ significantly from the estimates.</w:t>
      </w:r>
    </w:p>
    <w:p>
      <w:pPr>
        <w:spacing w:after="0" w:line="26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Recent Accounting Pronouncements</w:t>
      </w:r>
    </w:p>
    <w:p>
      <w:pPr>
        <w:spacing w:after="0" w:line="214"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See Note 2 to our consolidated financial statements included elsewhere in this prospectus for a description of recently adopted accounting pronouncements and recently issued accounting pronouncements not yet adopted.</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780"/>
          </w:cols>
          <w:pgMar w:left="320" w:top="440" w:right="79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Overview</w:t>
      </w:r>
    </w:p>
    <w:p>
      <w:pPr>
        <w:spacing w:after="0" w:line="214" w:lineRule="exact"/>
        <w:rPr>
          <w:sz w:val="20"/>
          <w:szCs w:val="20"/>
          <w:color w:val="auto"/>
        </w:rPr>
      </w:pPr>
    </w:p>
    <w:p>
      <w:pPr>
        <w:ind w:left="460" w:right="860" w:firstLine="413"/>
        <w:spacing w:after="0" w:line="272" w:lineRule="auto"/>
        <w:rPr>
          <w:sz w:val="20"/>
          <w:szCs w:val="20"/>
          <w:color w:val="auto"/>
        </w:rPr>
      </w:pPr>
      <w:r>
        <w:rPr>
          <w:rFonts w:ascii="Arial" w:cs="Arial" w:eastAsia="Arial" w:hAnsi="Arial"/>
          <w:sz w:val="17"/>
          <w:szCs w:val="17"/>
          <w:color w:val="auto"/>
        </w:rPr>
        <w:t>Instacart is powering the future of grocery through technology. We partner with retailers to help them successfully navigate the digital transformation of their businesses.</w:t>
      </w:r>
    </w:p>
    <w:p>
      <w:pPr>
        <w:spacing w:after="0" w:line="165" w:lineRule="exact"/>
        <w:rPr>
          <w:sz w:val="20"/>
          <w:szCs w:val="20"/>
          <w:color w:val="auto"/>
        </w:rPr>
      </w:pPr>
    </w:p>
    <w:p>
      <w:pPr>
        <w:ind w:left="460" w:right="60" w:firstLine="413"/>
        <w:spacing w:after="0"/>
        <w:rPr>
          <w:sz w:val="20"/>
          <w:szCs w:val="20"/>
          <w:color w:val="auto"/>
        </w:rPr>
      </w:pPr>
      <w:r>
        <w:rPr>
          <w:rFonts w:ascii="Arial" w:cs="Arial" w:eastAsia="Arial" w:hAnsi="Arial"/>
          <w:sz w:val="16"/>
          <w:szCs w:val="16"/>
          <w:color w:val="auto"/>
        </w:rPr>
        <w:t>Instacart was founded in 2012 to bring the grocery industry online and help make grocery shopping effortless. We started by understanding what consumers want and then built enterprise-grade technologies that allow retailers to meet those needs. We want to enable any retailer, large or small, to drive success both online and in-store and serve their customers better in all of the ways they choose to shop. Today, more than 1,400 national, regional, and local retail banners</w:t>
      </w:r>
      <w:r>
        <w:rPr>
          <w:rFonts w:ascii="Arial" w:cs="Arial" w:eastAsia="Arial" w:hAnsi="Arial"/>
          <w:sz w:val="24"/>
          <w:szCs w:val="24"/>
          <w:color w:val="auto"/>
          <w:vertAlign w:val="superscript"/>
        </w:rPr>
        <w:t>89</w:t>
      </w:r>
      <w:r>
        <w:rPr>
          <w:rFonts w:ascii="Arial" w:cs="Arial" w:eastAsia="Arial" w:hAnsi="Arial"/>
          <w:sz w:val="16"/>
          <w:szCs w:val="16"/>
          <w:color w:val="auto"/>
        </w:rPr>
        <w:t xml:space="preserve"> that collectively represent more than 85% of the U.S. grocery market partner with Instacart.</w:t>
      </w:r>
      <w:r>
        <w:rPr>
          <w:rFonts w:ascii="Arial" w:cs="Arial" w:eastAsia="Arial" w:hAnsi="Arial"/>
          <w:sz w:val="24"/>
          <w:szCs w:val="24"/>
          <w:color w:val="auto"/>
          <w:vertAlign w:val="superscript"/>
        </w:rPr>
        <w:t>90</w:t>
      </w:r>
      <w:r>
        <w:rPr>
          <w:rFonts w:ascii="Arial" w:cs="Arial" w:eastAsia="Arial" w:hAnsi="Arial"/>
          <w:sz w:val="16"/>
          <w:szCs w:val="16"/>
          <w:color w:val="auto"/>
        </w:rPr>
        <w:t xml:space="preserve"> We have demonstrated our ability to help our retail partners drive strong growth and stay competitive in a complex and increasingly digital industry. Our GTV, representing the online sales we power for all of our retail partners, grew at a CAGR of 80% between 2018 and 2022, compared to 50% for the overall online grocery market and 1% for offline grocery.</w:t>
      </w:r>
      <w:r>
        <w:rPr>
          <w:rFonts w:ascii="Arial" w:cs="Arial" w:eastAsia="Arial" w:hAnsi="Arial"/>
          <w:sz w:val="24"/>
          <w:szCs w:val="24"/>
          <w:color w:val="auto"/>
          <w:vertAlign w:val="superscript"/>
        </w:rPr>
        <w:t>91</w:t>
      </w:r>
      <w:r>
        <w:rPr>
          <w:rFonts w:ascii="Arial" w:cs="Arial" w:eastAsia="Arial" w:hAnsi="Arial"/>
          <w:sz w:val="16"/>
          <w:szCs w:val="16"/>
          <w:color w:val="auto"/>
        </w:rPr>
        <w:t xml:space="preserve"> In 2022, we generated approximately $29 billion of GTV, which makes Instacart the leading grocery technology company in North America.</w:t>
      </w:r>
      <w:r>
        <w:rPr>
          <w:rFonts w:ascii="Arial" w:cs="Arial" w:eastAsia="Arial" w:hAnsi="Arial"/>
          <w:sz w:val="24"/>
          <w:szCs w:val="24"/>
          <w:color w:val="auto"/>
          <w:vertAlign w:val="superscript"/>
        </w:rPr>
        <w:t>92</w:t>
      </w:r>
    </w:p>
    <w:p>
      <w:pPr>
        <w:spacing w:after="0" w:line="76" w:lineRule="exact"/>
        <w:rPr>
          <w:sz w:val="20"/>
          <w:szCs w:val="20"/>
          <w:color w:val="auto"/>
        </w:rPr>
      </w:pPr>
    </w:p>
    <w:p>
      <w:pPr>
        <w:ind w:left="460" w:right="160" w:firstLine="413"/>
        <w:spacing w:after="0" w:line="230" w:lineRule="auto"/>
        <w:rPr>
          <w:sz w:val="20"/>
          <w:szCs w:val="20"/>
          <w:color w:val="auto"/>
        </w:rPr>
      </w:pPr>
      <w:r>
        <w:rPr>
          <w:rFonts w:ascii="Arial" w:cs="Arial" w:eastAsia="Arial" w:hAnsi="Arial"/>
          <w:sz w:val="17"/>
          <w:szCs w:val="17"/>
          <w:color w:val="auto"/>
        </w:rPr>
        <w:t>Instacart invented a new model for online grocery shopping by giving consumers on-demand delivery from the stores they know and trust. We help our retail partners reach 7.7 million monthly active orderers who spend approximately $323 per month on average on Instacart.</w:t>
      </w:r>
      <w:r>
        <w:rPr>
          <w:rFonts w:ascii="Arial" w:cs="Arial" w:eastAsia="Arial" w:hAnsi="Arial"/>
          <w:sz w:val="25"/>
          <w:szCs w:val="25"/>
          <w:color w:val="auto"/>
          <w:vertAlign w:val="superscript"/>
        </w:rPr>
        <w:t>93</w:t>
      </w:r>
      <w:r>
        <w:rPr>
          <w:rFonts w:ascii="Arial" w:cs="Arial" w:eastAsia="Arial" w:hAnsi="Arial"/>
          <w:sz w:val="17"/>
          <w:szCs w:val="17"/>
          <w:color w:val="auto"/>
        </w:rPr>
        <w:t xml:space="preserve">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in-store, ads, and insights.</w:t>
      </w:r>
    </w:p>
    <w:p>
      <w:pPr>
        <w:spacing w:after="0" w:line="191" w:lineRule="exact"/>
        <w:rPr>
          <w:sz w:val="20"/>
          <w:szCs w:val="20"/>
          <w:color w:val="auto"/>
        </w:rPr>
      </w:pPr>
    </w:p>
    <w:p>
      <w:pPr>
        <w:jc w:val="both"/>
        <w:ind w:left="460" w:right="140" w:firstLine="413"/>
        <w:spacing w:after="0" w:line="287" w:lineRule="auto"/>
        <w:rPr>
          <w:sz w:val="20"/>
          <w:szCs w:val="20"/>
          <w:color w:val="auto"/>
        </w:rPr>
      </w:pPr>
      <w:r>
        <w:rPr>
          <w:rFonts w:ascii="Arial" w:cs="Arial" w:eastAsia="Arial" w:hAnsi="Arial"/>
          <w:sz w:val="15"/>
          <w:szCs w:val="15"/>
          <w:color w:val="auto"/>
        </w:rPr>
        <w:t>When shopping for groceries, consumers want selection, quality, value, and convenience, and they shop in many different ways. 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and special occasions.</w:t>
      </w:r>
    </w:p>
    <w:p>
      <w:pPr>
        <w:spacing w:after="0" w:line="1" w:lineRule="exact"/>
        <w:rPr>
          <w:sz w:val="20"/>
          <w:szCs w:val="20"/>
          <w:color w:val="auto"/>
        </w:rPr>
      </w:pPr>
    </w:p>
    <w:p>
      <w:pPr>
        <w:ind w:left="460" w:right="40"/>
        <w:spacing w:after="0" w:line="277" w:lineRule="auto"/>
        <w:rPr>
          <w:sz w:val="20"/>
          <w:szCs w:val="20"/>
          <w:color w:val="auto"/>
        </w:rPr>
      </w:pPr>
      <w:r>
        <w:rPr>
          <w:rFonts w:ascii="Arial" w:cs="Arial" w:eastAsia="Arial" w:hAnsi="Arial"/>
          <w:sz w:val="16"/>
          <w:szCs w:val="16"/>
          <w:color w:val="auto"/>
        </w:rPr>
        <w:t>Customers can select the fulfillment option and speed that best serve their needs. For example, a busy parent may prefer the reliability of having their family’s groceries delivered every Sunday, but if they need a few items in the middle of the week, they can trust Instacart to deliver the items they need with priority delivery (one hour) or quick convenience (as fast as 30 minutes). Each order is shopped for and delivered with care by one of our hundreds of thousands of shoppers who value the flexible earnings opportunities that Instacart provides.</w:t>
      </w:r>
      <w:r>
        <w:rPr>
          <w:rFonts w:ascii="Arial" w:cs="Arial" w:eastAsia="Arial" w:hAnsi="Arial"/>
          <w:sz w:val="24"/>
          <w:szCs w:val="24"/>
          <w:color w:val="auto"/>
          <w:vertAlign w:val="superscript"/>
        </w:rPr>
        <w:t>94</w:t>
      </w:r>
    </w:p>
    <w:p>
      <w:pPr>
        <w:spacing w:after="0" w:line="46" w:lineRule="exact"/>
        <w:rPr>
          <w:sz w:val="20"/>
          <w:szCs w:val="20"/>
          <w:color w:val="auto"/>
        </w:rPr>
      </w:pPr>
    </w:p>
    <w:p>
      <w:pPr>
        <w:ind w:left="460" w:right="180" w:firstLine="413"/>
        <w:spacing w:after="0" w:line="225" w:lineRule="auto"/>
        <w:rPr>
          <w:sz w:val="20"/>
          <w:szCs w:val="20"/>
          <w:color w:val="auto"/>
        </w:rPr>
      </w:pPr>
      <w:r>
        <w:rPr>
          <w:rFonts w:ascii="Arial" w:cs="Arial" w:eastAsia="Arial" w:hAnsi="Arial"/>
          <w:sz w:val="17"/>
          <w:szCs w:val="17"/>
          <w:color w:val="auto"/>
        </w:rPr>
        <w:t>As consumers and retailers move online, CPG brands can use Instacart Ads as a new way to reach customers at the point of purchase and within minutes of delivery and consumption. Today, over 5,500 brands are using Instacart Ads and are now more easily discoverable as customers fill their digital carts.</w:t>
      </w:r>
      <w:r>
        <w:rPr>
          <w:rFonts w:ascii="Arial" w:cs="Arial" w:eastAsia="Arial" w:hAnsi="Arial"/>
          <w:sz w:val="25"/>
          <w:szCs w:val="25"/>
          <w:color w:val="auto"/>
          <w:vertAlign w:val="superscript"/>
        </w:rPr>
        <w:t>95</w:t>
      </w:r>
      <w:r>
        <w:rPr>
          <w:rFonts w:ascii="Arial" w:cs="Arial" w:eastAsia="Arial" w:hAnsi="Arial"/>
          <w:sz w:val="17"/>
          <w:szCs w:val="17"/>
          <w:color w:val="auto"/>
        </w:rPr>
        <w:t xml:space="preserve"> Instacart Ads offers brands a highly measurable ads offering that leverages first-party transaction data to move products off of store shelves more efficiently.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Future of Grocery</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We believe the future of grocery is about helping consumers find products they love from retailers they trust, no matter where they are or how they choose to shop. Grocery is the largest category in all of retail,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72390</wp:posOffset>
            </wp:positionV>
            <wp:extent cx="7239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6" w:lineRule="exact"/>
        <w:rPr>
          <w:sz w:val="20"/>
          <w:szCs w:val="20"/>
          <w:color w:val="auto"/>
        </w:rPr>
      </w:pPr>
    </w:p>
    <w:p>
      <w:pPr>
        <w:ind w:left="860" w:hanging="403"/>
        <w:spacing w:after="0"/>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860" w:hanging="403"/>
        <w:spacing w:after="0" w:line="223" w:lineRule="auto"/>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line="223" w:lineRule="auto"/>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Based on total online grocery sales in 2022.</w:t>
      </w:r>
    </w:p>
    <w:p>
      <w:pPr>
        <w:ind w:left="860" w:hanging="403"/>
        <w:spacing w:after="0" w:line="223" w:lineRule="auto"/>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Monthly active orderers for the month ended June 30, 2023. Average monthly spend for the quarter ended June 30, 2023.</w:t>
      </w:r>
    </w:p>
    <w:p>
      <w:pPr>
        <w:ind w:left="860" w:hanging="403"/>
        <w:spacing w:after="0" w:line="223" w:lineRule="auto"/>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hanging="403"/>
        <w:spacing w:after="0"/>
        <w:tabs>
          <w:tab w:leader="none" w:pos="860" w:val="left"/>
        </w:tabs>
        <w:numPr>
          <w:ilvl w:val="0"/>
          <w:numId w:val="142"/>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80"/>
          </w:cols>
          <w:pgMar w:left="320" w:top="440" w:right="79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40"/>
        <w:spacing w:after="0" w:line="217" w:lineRule="auto"/>
        <w:rPr>
          <w:sz w:val="20"/>
          <w:szCs w:val="20"/>
          <w:color w:val="auto"/>
        </w:rPr>
      </w:pPr>
      <w:r>
        <w:rPr>
          <w:rFonts w:ascii="Arial" w:cs="Arial" w:eastAsia="Arial" w:hAnsi="Arial"/>
          <w:sz w:val="15"/>
          <w:szCs w:val="15"/>
          <w:color w:val="auto"/>
        </w:rPr>
        <w:t>annual spend of approximately $1.1 trillion in the United States in 2022.</w:t>
      </w:r>
      <w:r>
        <w:rPr>
          <w:rFonts w:ascii="Arial" w:cs="Arial" w:eastAsia="Arial" w:hAnsi="Arial"/>
          <w:sz w:val="22"/>
          <w:szCs w:val="22"/>
          <w:color w:val="auto"/>
          <w:vertAlign w:val="superscript"/>
        </w:rPr>
        <w:t>96</w:t>
      </w:r>
      <w:r>
        <w:rPr>
          <w:rFonts w:ascii="Arial" w:cs="Arial" w:eastAsia="Arial" w:hAnsi="Arial"/>
          <w:sz w:val="15"/>
          <w:szCs w:val="15"/>
          <w:color w:val="auto"/>
        </w:rPr>
        <w:t xml:space="preserve"> Despite the size of the market, grocery has historically been significantly slower to move online compared to other consumer categories. In 2022, only 12% of U.S. grocery shopping took place online,</w:t>
      </w:r>
      <w:r>
        <w:rPr>
          <w:rFonts w:ascii="Arial" w:cs="Arial" w:eastAsia="Arial" w:hAnsi="Arial"/>
          <w:sz w:val="22"/>
          <w:szCs w:val="22"/>
          <w:color w:val="auto"/>
          <w:vertAlign w:val="superscript"/>
        </w:rPr>
        <w:t>97</w:t>
      </w:r>
      <w:r>
        <w:rPr>
          <w:rFonts w:ascii="Arial" w:cs="Arial" w:eastAsia="Arial" w:hAnsi="Arial"/>
          <w:sz w:val="15"/>
          <w:szCs w:val="15"/>
          <w:color w:val="auto"/>
        </w:rPr>
        <w:t xml:space="preserve"> compared to 66% of consumer electronics, 38% of apparel, 23% of consumer foodservice, and 20% of home goods.</w:t>
      </w:r>
      <w:r>
        <w:rPr>
          <w:rFonts w:ascii="Arial" w:cs="Arial" w:eastAsia="Arial" w:hAnsi="Arial"/>
          <w:sz w:val="22"/>
          <w:szCs w:val="22"/>
          <w:color w:val="auto"/>
          <w:vertAlign w:val="superscript"/>
        </w:rPr>
        <w:t>98</w:t>
      </w:r>
      <w:r>
        <w:rPr>
          <w:rFonts w:ascii="Arial" w:cs="Arial" w:eastAsia="Arial" w:hAnsi="Arial"/>
          <w:sz w:val="15"/>
          <w:szCs w:val="15"/>
          <w:color w:val="auto"/>
        </w:rPr>
        <w:t xml:space="preserve"> Over the past three years, this spend shifted from offline to online at an accelerated pace. Online grocery penetration took 10 years to triple from 1% of total grocery sales in 2009</w:t>
      </w:r>
      <w:r>
        <w:rPr>
          <w:rFonts w:ascii="Arial" w:cs="Arial" w:eastAsia="Arial" w:hAnsi="Arial"/>
          <w:sz w:val="22"/>
          <w:szCs w:val="22"/>
          <w:color w:val="auto"/>
          <w:vertAlign w:val="superscript"/>
        </w:rPr>
        <w:t>99</w:t>
      </w:r>
      <w:r>
        <w:rPr>
          <w:rFonts w:ascii="Arial" w:cs="Arial" w:eastAsia="Arial" w:hAnsi="Arial"/>
          <w:sz w:val="15"/>
          <w:szCs w:val="15"/>
          <w:color w:val="auto"/>
        </w:rPr>
        <w:t xml:space="preserve"> to 3% in 2019 and just three years to quadruple to 12% in 2022.</w:t>
      </w:r>
      <w:r>
        <w:rPr>
          <w:rFonts w:ascii="Arial" w:cs="Arial" w:eastAsia="Arial" w:hAnsi="Arial"/>
          <w:sz w:val="22"/>
          <w:szCs w:val="22"/>
          <w:color w:val="auto"/>
          <w:vertAlign w:val="superscript"/>
        </w:rPr>
        <w:t>100</w:t>
      </w:r>
      <w:r>
        <w:rPr>
          <w:rFonts w:ascii="Arial" w:cs="Arial" w:eastAsia="Arial" w:hAnsi="Arial"/>
          <w:sz w:val="15"/>
          <w:szCs w:val="15"/>
          <w:color w:val="auto"/>
        </w:rPr>
        <w:t xml:space="preserve"> Market penetration could double or more over time.</w:t>
      </w:r>
      <w:r>
        <w:rPr>
          <w:rFonts w:ascii="Arial" w:cs="Arial" w:eastAsia="Arial" w:hAnsi="Arial"/>
          <w:sz w:val="22"/>
          <w:szCs w:val="22"/>
          <w:color w:val="auto"/>
          <w:vertAlign w:val="superscript"/>
        </w:rPr>
        <w:t>101</w:t>
      </w:r>
    </w:p>
    <w:p>
      <w:pPr>
        <w:spacing w:after="0" w:line="72"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For grocery retailers, this means that online success is critical, and all grocers from large national players to local mainstays must prepare for a future where all aspects of their business, including their stores, will be improved through technology. Compared to other industries, however, grocery is difficult to digitize. Grocery retail is characterized by diverse consumer behaviors, complex inventory management and fulfillment, lack of integrated omni-channel data, a shortage of technology that is custom-built for online grocery, a disaggregated supply chain, and low operating margin. Before Instacart, grocery retailers did not have access to a unified technology solution to manage eCommerce, fulfillment, in-store, ads, and insights. Instacart is solving this problem.</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Instacart Technology</w:t>
      </w:r>
    </w:p>
    <w:p>
      <w:pPr>
        <w:spacing w:after="0" w:line="108"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Grocery retailers have earned the trust and loyalty of consumers over generations by offering selection, quality, value, and convenience. For more than a decade, we have invested in technology that is custom-built for online grocery. We believe our scaled marketplace provides us with unique insights into the needs of the online grocery consumer. Our strategy is to put our technology capabilities and consumer insights into the hands of our retail partners. We are investing more in technology custom-built for online grocery than any single grocer could on their own, allowing grocers to leverage our scale and investments to grow their businesses.</w:t>
      </w:r>
    </w:p>
    <w:p>
      <w:pPr>
        <w:spacing w:after="0" w:line="181"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Our technology solutions are better together. Instacart Marketplace has powered hundreds of millions of orders placed by millions of customers. This scale gives us unique insights into customer buying behavior, needs, and trends across the entire grocery industry in North America. We then utilize these insights to enhance Instacart Enterprise Platform, ensuring retailers can best meet their customers’ needs across their owned and operated online and physical storefronts. Similarly, Instacart Enterprise Platform enhances Instacart Marketplace, as our deep integration with retailers allows us to expand marketplace capabilities for our customers. As we continue to scale and refine our technology and data insights across Instacart Marketplace and Instacart Enterprise Platform, our algorithms continuously improve to provide significant benefits, including better search results, intelligent replacements, and more seamless checkout flows, among others. Many of these benefits also enhance the value delivered to our brand partners. This draws more brands to Instacart Ads, which yields benefits for Instacart Marketplace and Instacart Enterprise Platform.</w:t>
      </w:r>
    </w:p>
    <w:p>
      <w:pPr>
        <w:spacing w:after="0" w:line="68" w:lineRule="exact"/>
        <w:rPr>
          <w:sz w:val="20"/>
          <w:szCs w:val="20"/>
          <w:color w:val="auto"/>
        </w:rPr>
      </w:pPr>
    </w:p>
    <w:p>
      <w:pPr>
        <w:ind w:left="1360" w:right="40" w:hanging="498"/>
        <w:spacing w:after="0" w:line="264" w:lineRule="auto"/>
        <w:tabs>
          <w:tab w:leader="none" w:pos="1360"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Instacart Marketplace</w:t>
      </w:r>
      <w:r>
        <w:rPr>
          <w:rFonts w:ascii="Arial" w:cs="Arial" w:eastAsia="Arial" w:hAnsi="Arial"/>
          <w:sz w:val="17"/>
          <w:szCs w:val="17"/>
          <w:color w:val="auto"/>
        </w:rPr>
        <w:t>. Connects customers to their favorite national, regional, and local retailers on the largest online grocery marketplace</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through our mobile app or website.</w:t>
      </w:r>
      <w:r>
        <w:rPr>
          <w:rFonts w:ascii="Arial" w:cs="Arial" w:eastAsia="Arial" w:hAnsi="Arial"/>
          <w:sz w:val="25"/>
          <w:szCs w:val="25"/>
          <w:color w:val="auto"/>
          <w:vertAlign w:val="superscript"/>
        </w:rPr>
        <w:t>102</w:t>
      </w:r>
    </w:p>
    <w:p>
      <w:pPr>
        <w:spacing w:after="0" w:line="1" w:lineRule="exact"/>
        <w:rPr>
          <w:rFonts w:ascii="Arial" w:cs="Arial" w:eastAsia="Arial" w:hAnsi="Arial"/>
          <w:sz w:val="17"/>
          <w:szCs w:val="17"/>
          <w:color w:val="auto"/>
        </w:rPr>
      </w:pPr>
    </w:p>
    <w:p>
      <w:pPr>
        <w:ind w:left="1360" w:right="160" w:hanging="498"/>
        <w:spacing w:after="0" w:line="254" w:lineRule="auto"/>
        <w:tabs>
          <w:tab w:leader="none" w:pos="1360"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Instacart Enterprise Platform</w:t>
      </w:r>
      <w:r>
        <w:rPr>
          <w:rFonts w:ascii="Arial" w:cs="Arial" w:eastAsia="Arial" w:hAnsi="Arial"/>
          <w:sz w:val="17"/>
          <w:szCs w:val="17"/>
          <w:color w:val="auto"/>
        </w:rPr>
        <w:t>. Provides retailers with a suite of enterprise-grade technologies that span eCommerce, fulfillment, in-store,</w:t>
      </w:r>
      <w:r>
        <w:rPr>
          <w:rFonts w:ascii="Arial" w:cs="Arial" w:eastAsia="Arial" w:hAnsi="Arial"/>
          <w:sz w:val="17"/>
          <w:szCs w:val="17"/>
          <w:i w:val="1"/>
          <w:iCs w:val="1"/>
          <w:color w:val="auto"/>
        </w:rPr>
        <w:t xml:space="preserve"> </w:t>
      </w:r>
      <w:r>
        <w:rPr>
          <w:rFonts w:ascii="Arial" w:cs="Arial" w:eastAsia="Arial" w:hAnsi="Arial"/>
          <w:sz w:val="17"/>
          <w:szCs w:val="17"/>
          <w:color w:val="auto"/>
        </w:rPr>
        <w:t>ads, and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81915</wp:posOffset>
            </wp:positionV>
            <wp:extent cx="7239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2" w:lineRule="exact"/>
        <w:rPr>
          <w:sz w:val="20"/>
          <w:szCs w:val="20"/>
          <w:color w:val="auto"/>
        </w:rPr>
      </w:pPr>
    </w:p>
    <w:p>
      <w:pPr>
        <w:ind w:left="860" w:hanging="403"/>
        <w:spacing w:after="0"/>
        <w:tabs>
          <w:tab w:leader="none" w:pos="860" w:val="left"/>
        </w:tabs>
        <w:numPr>
          <w:ilvl w:val="0"/>
          <w:numId w:val="144"/>
        </w:numPr>
        <w:rPr>
          <w:rFonts w:ascii="Arial" w:cs="Arial" w:eastAsia="Arial" w:hAnsi="Arial"/>
          <w:sz w:val="10"/>
          <w:szCs w:val="10"/>
          <w:color w:val="auto"/>
        </w:rPr>
      </w:pPr>
      <w:r>
        <w:rPr>
          <w:rFonts w:ascii="Arial" w:cs="Arial" w:eastAsia="Arial" w:hAnsi="Arial"/>
          <w:sz w:val="13"/>
          <w:szCs w:val="13"/>
          <w:color w:val="auto"/>
        </w:rPr>
        <w:t>Incisiv.</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44"/>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tabs>
          <w:tab w:leader="none" w:pos="860" w:val="left"/>
        </w:tabs>
        <w:numPr>
          <w:ilvl w:val="0"/>
          <w:numId w:val="144"/>
        </w:numPr>
        <w:rPr>
          <w:rFonts w:ascii="Arial" w:cs="Arial" w:eastAsia="Arial" w:hAnsi="Arial"/>
          <w:sz w:val="9"/>
          <w:szCs w:val="9"/>
          <w:color w:val="auto"/>
        </w:rPr>
      </w:pPr>
      <w:r>
        <w:rPr>
          <w:rFonts w:ascii="Arial" w:cs="Arial" w:eastAsia="Arial" w:hAnsi="Arial"/>
          <w:sz w:val="12"/>
          <w:szCs w:val="12"/>
          <w:color w:val="auto"/>
        </w:rPr>
        <w:t xml:space="preserve">Euromonitor, </w:t>
      </w:r>
      <w:r>
        <w:rPr>
          <w:rFonts w:ascii="Arial" w:cs="Arial" w:eastAsia="Arial" w:hAnsi="Arial"/>
          <w:sz w:val="12"/>
          <w:szCs w:val="12"/>
          <w:i w:val="1"/>
          <w:iCs w:val="1"/>
          <w:color w:val="auto"/>
        </w:rPr>
        <w:t>Retail</w:t>
      </w:r>
      <w:r>
        <w:rPr>
          <w:rFonts w:ascii="Arial" w:cs="Arial" w:eastAsia="Arial" w:hAnsi="Arial"/>
          <w:sz w:val="12"/>
          <w:szCs w:val="12"/>
          <w:color w:val="auto"/>
        </w:rPr>
        <w:t xml:space="preserve"> (2023 edition), </w:t>
      </w:r>
      <w:r>
        <w:rPr>
          <w:rFonts w:ascii="Arial" w:cs="Arial" w:eastAsia="Arial" w:hAnsi="Arial"/>
          <w:sz w:val="12"/>
          <w:szCs w:val="12"/>
          <w:i w:val="1"/>
          <w:iCs w:val="1"/>
          <w:color w:val="auto"/>
        </w:rPr>
        <w:t>Consumer Foodservice</w:t>
      </w:r>
      <w:r>
        <w:rPr>
          <w:rFonts w:ascii="Arial" w:cs="Arial" w:eastAsia="Arial" w:hAnsi="Arial"/>
          <w:sz w:val="12"/>
          <w:szCs w:val="12"/>
          <w:color w:val="auto"/>
        </w:rPr>
        <w:t xml:space="preserve"> (2023 edition); categories: Consumer Electronics, Consumer Electronics E-Commerce, Apparel and Footwear, Apparel and</w:t>
      </w:r>
    </w:p>
    <w:p>
      <w:pPr>
        <w:spacing w:after="0" w:line="1" w:lineRule="exact"/>
        <w:rPr>
          <w:rFonts w:ascii="Arial" w:cs="Arial" w:eastAsia="Arial" w:hAnsi="Arial"/>
          <w:sz w:val="9"/>
          <w:szCs w:val="9"/>
          <w:color w:val="auto"/>
        </w:rPr>
      </w:pPr>
    </w:p>
    <w:p>
      <w:pPr>
        <w:ind w:left="860" w:right="120"/>
        <w:spacing w:after="0" w:line="242" w:lineRule="auto"/>
        <w:rPr>
          <w:rFonts w:ascii="Arial" w:cs="Arial" w:eastAsia="Arial" w:hAnsi="Arial"/>
          <w:sz w:val="9"/>
          <w:szCs w:val="9"/>
          <w:color w:val="auto"/>
        </w:rPr>
      </w:pPr>
      <w:r>
        <w:rPr>
          <w:rFonts w:ascii="Arial" w:cs="Arial" w:eastAsia="Arial" w:hAnsi="Arial"/>
          <w:sz w:val="12"/>
          <w:szCs w:val="12"/>
          <w:color w:val="auto"/>
        </w:rPr>
        <w:t>Footwear E-Commerce, Homewares and Home Furnishings, Homewares and Home Furnishings E-Commerce, Consumer Foodservice by Type, categorization type: online and total; Consumer Foodservice by Type covers Foodservice Value RSP, data for the Retail Categories covers Retail Value RSP excluding Sales Tax; USD, current prices.</w:t>
      </w:r>
    </w:p>
    <w:p>
      <w:pPr>
        <w:ind w:left="860" w:right="80" w:hanging="403"/>
        <w:spacing w:after="0" w:line="223" w:lineRule="auto"/>
        <w:tabs>
          <w:tab w:leader="none" w:pos="860" w:val="left"/>
        </w:tabs>
        <w:numPr>
          <w:ilvl w:val="0"/>
          <w:numId w:val="144"/>
        </w:numPr>
        <w:rPr>
          <w:rFonts w:ascii="Arial" w:cs="Arial" w:eastAsia="Arial" w:hAnsi="Arial"/>
          <w:sz w:val="10"/>
          <w:szCs w:val="10"/>
          <w:color w:val="auto"/>
        </w:rPr>
      </w:pPr>
      <w:r>
        <w:rPr>
          <w:rFonts w:ascii="Arial" w:cs="Arial" w:eastAsia="Arial" w:hAnsi="Arial"/>
          <w:sz w:val="13"/>
          <w:szCs w:val="13"/>
          <w:color w:val="auto"/>
        </w:rPr>
        <w:t xml:space="preserve">Euromonitor, </w:t>
      </w:r>
      <w:r>
        <w:rPr>
          <w:rFonts w:ascii="Arial" w:cs="Arial" w:eastAsia="Arial" w:hAnsi="Arial"/>
          <w:sz w:val="13"/>
          <w:szCs w:val="13"/>
          <w:i w:val="1"/>
          <w:iCs w:val="1"/>
          <w:color w:val="auto"/>
        </w:rPr>
        <w:t>Retail</w:t>
      </w:r>
      <w:r>
        <w:rPr>
          <w:rFonts w:ascii="Arial" w:cs="Arial" w:eastAsia="Arial" w:hAnsi="Arial"/>
          <w:sz w:val="13"/>
          <w:szCs w:val="13"/>
          <w:color w:val="auto"/>
        </w:rPr>
        <w:t xml:space="preserve"> (2023 edition), categories: Food E-Commerce and Drinks and Tobacco E-Commerce 2009 retail value RSP in USD, excluding sales tax, current terms; calculated as a percentage of total Grocery Retailers, Food E-Commerce, and Drinks and Tobacco combined 2009 retail value RSP in USD, excluding sales tax.</w:t>
      </w:r>
    </w:p>
    <w:p>
      <w:pPr>
        <w:ind w:left="860" w:hanging="403"/>
        <w:spacing w:after="0" w:line="223" w:lineRule="auto"/>
        <w:tabs>
          <w:tab w:leader="none" w:pos="860" w:val="left"/>
        </w:tabs>
        <w:numPr>
          <w:ilvl w:val="0"/>
          <w:numId w:val="144"/>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line="223" w:lineRule="auto"/>
        <w:tabs>
          <w:tab w:leader="none" w:pos="860" w:val="left"/>
        </w:tabs>
        <w:numPr>
          <w:ilvl w:val="0"/>
          <w:numId w:val="144"/>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ind w:left="860" w:hanging="403"/>
        <w:spacing w:after="0"/>
        <w:tabs>
          <w:tab w:leader="none" w:pos="860" w:val="left"/>
        </w:tabs>
        <w:numPr>
          <w:ilvl w:val="0"/>
          <w:numId w:val="144"/>
        </w:numPr>
        <w:rPr>
          <w:rFonts w:ascii="Arial" w:cs="Arial" w:eastAsia="Arial" w:hAnsi="Arial"/>
          <w:sz w:val="10"/>
          <w:szCs w:val="10"/>
          <w:color w:val="auto"/>
        </w:rPr>
      </w:pPr>
      <w:r>
        <w:rPr>
          <w:rFonts w:ascii="Arial" w:cs="Arial" w:eastAsia="Arial" w:hAnsi="Arial"/>
          <w:sz w:val="13"/>
          <w:szCs w:val="13"/>
          <w:color w:val="auto"/>
        </w:rPr>
        <w:t>Based on GTV generated on Instacart and total grocery sales in 2022.</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780"/>
          </w:cols>
          <w:pgMar w:left="320" w:top="440" w:right="79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240" w:hanging="498"/>
        <w:spacing w:after="0" w:line="303" w:lineRule="auto"/>
        <w:tabs>
          <w:tab w:leader="none" w:pos="1360"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Instacart Ads</w:t>
      </w:r>
      <w:r>
        <w:rPr>
          <w:rFonts w:ascii="Arial" w:cs="Arial" w:eastAsia="Arial" w:hAnsi="Arial"/>
          <w:sz w:val="16"/>
          <w:szCs w:val="16"/>
          <w:color w:val="auto"/>
        </w:rPr>
        <w:t>. Allows CPG brands to drive sales by engaging with high-intent customers in a highly measurable and targeted way while</w:t>
      </w:r>
      <w:r>
        <w:rPr>
          <w:rFonts w:ascii="Arial" w:cs="Arial" w:eastAsia="Arial" w:hAnsi="Arial"/>
          <w:sz w:val="16"/>
          <w:szCs w:val="16"/>
          <w:i w:val="1"/>
          <w:iCs w:val="1"/>
          <w:color w:val="auto"/>
        </w:rPr>
        <w:t xml:space="preserve"> </w:t>
      </w:r>
      <w:r>
        <w:rPr>
          <w:rFonts w:ascii="Arial" w:cs="Arial" w:eastAsia="Arial" w:hAnsi="Arial"/>
          <w:sz w:val="16"/>
          <w:szCs w:val="16"/>
          <w:color w:val="auto"/>
        </w:rPr>
        <w:t>also providing savings and product discovery to customers through our leading digital advertising solutions and insights.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Instacart is built for the entire grocery ecosystem, improving the experiences for each of our constituents and helping them succeed:</w:t>
      </w:r>
    </w:p>
    <w:p>
      <w:pPr>
        <w:spacing w:after="0" w:line="133" w:lineRule="exact"/>
        <w:rPr>
          <w:sz w:val="20"/>
          <w:szCs w:val="20"/>
          <w:color w:val="auto"/>
        </w:rPr>
      </w:pPr>
    </w:p>
    <w:p>
      <w:pPr>
        <w:ind w:left="1360" w:hanging="498"/>
        <w:spacing w:after="0" w:line="236" w:lineRule="auto"/>
        <w:tabs>
          <w:tab w:leader="none" w:pos="136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Retailers</w:t>
      </w:r>
      <w:r>
        <w:rPr>
          <w:rFonts w:ascii="Arial" w:cs="Arial" w:eastAsia="Arial" w:hAnsi="Arial"/>
          <w:sz w:val="15"/>
          <w:szCs w:val="15"/>
          <w:color w:val="auto"/>
        </w:rPr>
        <w:t>. We enable more than 1,400 retail banners to grow by providing technology that can accelerate the digital transformation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entire business.</w:t>
      </w:r>
      <w:r>
        <w:rPr>
          <w:rFonts w:ascii="Arial" w:cs="Arial" w:eastAsia="Arial" w:hAnsi="Arial"/>
          <w:sz w:val="22"/>
          <w:szCs w:val="22"/>
          <w:color w:val="auto"/>
          <w:vertAlign w:val="superscript"/>
        </w:rPr>
        <w:t>103</w:t>
      </w:r>
      <w:r>
        <w:rPr>
          <w:rFonts w:ascii="Arial" w:cs="Arial" w:eastAsia="Arial" w:hAnsi="Arial"/>
          <w:sz w:val="15"/>
          <w:szCs w:val="15"/>
          <w:color w:val="auto"/>
        </w:rPr>
        <w:t xml:space="preserve"> Our retail partners include national leaders such as Costco, regional favorites such as Wegmans, and local mainstays like</w:t>
      </w:r>
    </w:p>
    <w:p>
      <w:pPr>
        <w:ind w:left="1360" w:right="400" w:firstLine="1350"/>
        <w:spacing w:after="0" w:line="258" w:lineRule="auto"/>
        <w:rPr>
          <w:rFonts w:ascii="Arial" w:cs="Arial" w:eastAsia="Arial" w:hAnsi="Arial"/>
          <w:sz w:val="15"/>
          <w:szCs w:val="15"/>
          <w:color w:val="auto"/>
        </w:rPr>
      </w:pPr>
      <w:r>
        <w:rPr>
          <w:rFonts w:ascii="Arial" w:cs="Arial" w:eastAsia="Arial" w:hAnsi="Arial"/>
          <w:sz w:val="17"/>
          <w:szCs w:val="17"/>
          <w:color w:val="auto"/>
        </w:rPr>
        <w:t>. We estimate that the sales volume we power for our top 20 retail partners represented 5.0% of their total sales in 2022, up from 0.6% in 2018.</w:t>
      </w:r>
      <w:r>
        <w:rPr>
          <w:rFonts w:ascii="Arial" w:cs="Arial" w:eastAsia="Arial" w:hAnsi="Arial"/>
          <w:sz w:val="25"/>
          <w:szCs w:val="25"/>
          <w:color w:val="auto"/>
          <w:vertAlign w:val="superscript"/>
        </w:rPr>
        <w:t>104</w:t>
      </w:r>
    </w:p>
    <w:p>
      <w:pPr>
        <w:ind w:left="1360" w:hanging="498"/>
        <w:spacing w:after="0" w:line="183"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Customers</w:t>
      </w:r>
      <w:r>
        <w:rPr>
          <w:rFonts w:ascii="Arial" w:cs="Arial" w:eastAsia="Arial" w:hAnsi="Arial"/>
          <w:sz w:val="17"/>
          <w:szCs w:val="17"/>
          <w:color w:val="auto"/>
        </w:rPr>
        <w:t>. We help 7.7 million monthly active orderers</w:t>
      </w:r>
      <w:r>
        <w:rPr>
          <w:rFonts w:ascii="Arial" w:cs="Arial" w:eastAsia="Arial" w:hAnsi="Arial"/>
          <w:sz w:val="25"/>
          <w:szCs w:val="25"/>
          <w:color w:val="auto"/>
          <w:vertAlign w:val="superscript"/>
        </w:rPr>
        <w:t>105</w:t>
      </w:r>
      <w:r>
        <w:rPr>
          <w:rFonts w:ascii="Arial" w:cs="Arial" w:eastAsia="Arial" w:hAnsi="Arial"/>
          <w:sz w:val="17"/>
          <w:szCs w:val="17"/>
          <w:i w:val="1"/>
          <w:iCs w:val="1"/>
          <w:color w:val="auto"/>
        </w:rPr>
        <w:t xml:space="preserve"> </w:t>
      </w:r>
      <w:r>
        <w:rPr>
          <w:rFonts w:ascii="Arial" w:cs="Arial" w:eastAsia="Arial" w:hAnsi="Arial"/>
          <w:sz w:val="17"/>
          <w:szCs w:val="17"/>
          <w:color w:val="auto"/>
        </w:rPr>
        <w:t>shop at their favorite retailers and enjoy selection, quality,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convenience. We reach over 95% of households in North America.</w:t>
      </w:r>
      <w:r>
        <w:rPr>
          <w:rFonts w:ascii="Arial" w:cs="Arial" w:eastAsia="Arial" w:hAnsi="Arial"/>
          <w:sz w:val="25"/>
          <w:szCs w:val="25"/>
          <w:color w:val="auto"/>
          <w:vertAlign w:val="superscript"/>
        </w:rPr>
        <w:t>106</w:t>
      </w:r>
      <w:r>
        <w:rPr>
          <w:rFonts w:ascii="Arial" w:cs="Arial" w:eastAsia="Arial" w:hAnsi="Arial"/>
          <w:sz w:val="17"/>
          <w:szCs w:val="17"/>
          <w:color w:val="auto"/>
        </w:rPr>
        <w:t xml:space="preserve"> Our membership program, Instacart+, offers expanded customer benefits to our 5.1 million members,</w:t>
      </w:r>
      <w:r>
        <w:rPr>
          <w:rFonts w:ascii="Arial" w:cs="Arial" w:eastAsia="Arial" w:hAnsi="Arial"/>
          <w:sz w:val="25"/>
          <w:szCs w:val="25"/>
          <w:color w:val="auto"/>
          <w:vertAlign w:val="superscript"/>
        </w:rPr>
        <w:t>107</w:t>
      </w:r>
      <w:r>
        <w:rPr>
          <w:rFonts w:ascii="Arial" w:cs="Arial" w:eastAsia="Arial" w:hAnsi="Arial"/>
          <w:sz w:val="17"/>
          <w:szCs w:val="17"/>
          <w:color w:val="auto"/>
        </w:rPr>
        <w:t xml:space="preserve"> including unlimited free delivery on orders over a certain size, a reduced service fee, credit back on eligible pickup orders, and exclusive benefits.</w:t>
      </w:r>
    </w:p>
    <w:p>
      <w:pPr>
        <w:spacing w:after="0" w:line="103" w:lineRule="exact"/>
        <w:rPr>
          <w:rFonts w:ascii="Arial" w:cs="Arial" w:eastAsia="Arial" w:hAnsi="Arial"/>
          <w:sz w:val="17"/>
          <w:szCs w:val="17"/>
          <w:color w:val="auto"/>
        </w:rPr>
      </w:pPr>
    </w:p>
    <w:p>
      <w:pPr>
        <w:ind w:left="1360" w:right="60" w:hanging="498"/>
        <w:spacing w:after="0" w:line="211"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Brands</w:t>
      </w:r>
      <w:r>
        <w:rPr>
          <w:rFonts w:ascii="Arial" w:cs="Arial" w:eastAsia="Arial" w:hAnsi="Arial"/>
          <w:sz w:val="17"/>
          <w:szCs w:val="17"/>
          <w:color w:val="auto"/>
        </w:rPr>
        <w:t>. We represent one of the largest and fastest growing eCommerce channels for CPG brands. We provide discovery and attractive</w:t>
      </w:r>
      <w:r>
        <w:rPr>
          <w:rFonts w:ascii="Arial" w:cs="Arial" w:eastAsia="Arial" w:hAnsi="Arial"/>
          <w:sz w:val="17"/>
          <w:szCs w:val="17"/>
          <w:i w:val="1"/>
          <w:iCs w:val="1"/>
          <w:color w:val="auto"/>
        </w:rPr>
        <w:t xml:space="preserve"> </w:t>
      </w:r>
      <w:r>
        <w:rPr>
          <w:rFonts w:ascii="Arial" w:cs="Arial" w:eastAsia="Arial" w:hAnsi="Arial"/>
          <w:sz w:val="17"/>
          <w:szCs w:val="17"/>
          <w:color w:val="auto"/>
        </w:rPr>
        <w:t>ROI for over 5,500 brands through our industry-leading advertising tools and insights purpose-built for the online grocery category.</w:t>
      </w:r>
      <w:r>
        <w:rPr>
          <w:rFonts w:ascii="Arial" w:cs="Arial" w:eastAsia="Arial" w:hAnsi="Arial"/>
          <w:sz w:val="25"/>
          <w:szCs w:val="25"/>
          <w:color w:val="auto"/>
          <w:vertAlign w:val="superscript"/>
        </w:rPr>
        <w:t>108</w:t>
      </w:r>
      <w:r>
        <w:rPr>
          <w:rFonts w:ascii="Arial" w:cs="Arial" w:eastAsia="Arial" w:hAnsi="Arial"/>
          <w:sz w:val="17"/>
          <w:szCs w:val="17"/>
          <w:color w:val="auto"/>
        </w:rPr>
        <w:t xml:space="preserve"> We estimate that on average, our ads deliver more than a 15% incremental sales lift, and in some cases twice that, for our brand partners.</w:t>
      </w:r>
      <w:r>
        <w:rPr>
          <w:rFonts w:ascii="Arial" w:cs="Arial" w:eastAsia="Arial" w:hAnsi="Arial"/>
          <w:sz w:val="25"/>
          <w:szCs w:val="25"/>
          <w:color w:val="auto"/>
          <w:vertAlign w:val="superscript"/>
        </w:rPr>
        <w:t>109</w:t>
      </w:r>
      <w:r>
        <w:rPr>
          <w:rFonts w:ascii="Arial" w:cs="Arial" w:eastAsia="Arial" w:hAnsi="Arial"/>
          <w:sz w:val="17"/>
          <w:szCs w:val="17"/>
          <w:color w:val="auto"/>
        </w:rPr>
        <w:t xml:space="preserve"> Our brand partners include household brands such as Campbell’s and Nestlé and emerging brands such as Banza, Chloe’s Fruit Pops, and Whisps.</w:t>
      </w:r>
    </w:p>
    <w:p>
      <w:pPr>
        <w:spacing w:after="0" w:line="106" w:lineRule="exact"/>
        <w:rPr>
          <w:rFonts w:ascii="Arial" w:cs="Arial" w:eastAsia="Arial" w:hAnsi="Arial"/>
          <w:sz w:val="17"/>
          <w:szCs w:val="17"/>
          <w:color w:val="auto"/>
        </w:rPr>
      </w:pPr>
    </w:p>
    <w:p>
      <w:pPr>
        <w:ind w:left="1360" w:right="20" w:hanging="498"/>
        <w:spacing w:after="0" w:line="228" w:lineRule="auto"/>
        <w:tabs>
          <w:tab w:leader="none" w:pos="136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Shoppers</w:t>
      </w:r>
      <w:r>
        <w:rPr>
          <w:rFonts w:ascii="Arial" w:cs="Arial" w:eastAsia="Arial" w:hAnsi="Arial"/>
          <w:sz w:val="16"/>
          <w:szCs w:val="16"/>
          <w:color w:val="auto"/>
        </w:rPr>
        <w:t>. We offer over 600,000 shoppers an immediate, flexible earnings opportunity that allows them to choose when and how much to</w:t>
      </w:r>
      <w:r>
        <w:rPr>
          <w:rFonts w:ascii="Arial" w:cs="Arial" w:eastAsia="Arial" w:hAnsi="Arial"/>
          <w:sz w:val="16"/>
          <w:szCs w:val="16"/>
          <w:i w:val="1"/>
          <w:iCs w:val="1"/>
          <w:color w:val="auto"/>
        </w:rPr>
        <w:t xml:space="preserve"> </w:t>
      </w:r>
      <w:r>
        <w:rPr>
          <w:rFonts w:ascii="Arial" w:cs="Arial" w:eastAsia="Arial" w:hAnsi="Arial"/>
          <w:sz w:val="16"/>
          <w:szCs w:val="16"/>
          <w:color w:val="auto"/>
        </w:rPr>
        <w:t>work.</w:t>
      </w:r>
      <w:r>
        <w:rPr>
          <w:rFonts w:ascii="Arial" w:cs="Arial" w:eastAsia="Arial" w:hAnsi="Arial"/>
          <w:sz w:val="24"/>
          <w:szCs w:val="24"/>
          <w:color w:val="auto"/>
          <w:vertAlign w:val="superscript"/>
        </w:rPr>
        <w:t>110</w:t>
      </w:r>
      <w:r>
        <w:rPr>
          <w:rFonts w:ascii="Arial" w:cs="Arial" w:eastAsia="Arial" w:hAnsi="Arial"/>
          <w:sz w:val="16"/>
          <w:szCs w:val="16"/>
          <w:color w:val="auto"/>
        </w:rPr>
        <w:t xml:space="preserve"> Distinct from other on-demand workers, shoppers are about two-thirds female, about half of them are parents, and they work on average about 9 hours per week, nearly half of which is spent shopping as opposed to driving.</w:t>
      </w:r>
      <w:r>
        <w:rPr>
          <w:rFonts w:ascii="Arial" w:cs="Arial" w:eastAsia="Arial" w:hAnsi="Arial"/>
          <w:sz w:val="24"/>
          <w:szCs w:val="24"/>
          <w:color w:val="auto"/>
          <w:vertAlign w:val="superscript"/>
        </w:rPr>
        <w:t>111</w:t>
      </w:r>
      <w:r>
        <w:rPr>
          <w:rFonts w:ascii="Arial" w:cs="Arial" w:eastAsia="Arial" w:hAnsi="Arial"/>
          <w:sz w:val="16"/>
          <w:szCs w:val="16"/>
          <w:color w:val="auto"/>
        </w:rPr>
        <w:t xml:space="preserve"> Because the most important part of the job is picking the right products for customers, Instacart tends to attract people who use empathy, efficiency, communication, and problem-solving to pick, pack, and deliver an order. Shoppers are deeply valued members of the Instacart community, and we strive to make the shopping experience as seamless as possible and protect shoppers while they work.</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Model</w:t>
      </w:r>
    </w:p>
    <w:p>
      <w:pPr>
        <w:spacing w:after="0" w:line="108" w:lineRule="exact"/>
        <w:rPr>
          <w:sz w:val="20"/>
          <w:szCs w:val="20"/>
          <w:color w:val="auto"/>
        </w:rPr>
      </w:pPr>
    </w:p>
    <w:p>
      <w:pPr>
        <w:ind w:left="460" w:right="160" w:firstLine="413"/>
        <w:spacing w:after="0" w:line="253" w:lineRule="auto"/>
        <w:rPr>
          <w:sz w:val="20"/>
          <w:szCs w:val="20"/>
          <w:color w:val="auto"/>
        </w:rPr>
      </w:pPr>
      <w:r>
        <w:rPr>
          <w:rFonts w:ascii="Arial" w:cs="Arial" w:eastAsia="Arial" w:hAnsi="Arial"/>
          <w:sz w:val="17"/>
          <w:szCs w:val="17"/>
          <w:color w:val="auto"/>
        </w:rPr>
        <w:t>We believe that every Instacart order benefits retailers, customers, brands, and shoppers. The success of our business relies on the success of all these constituents. As more customers increase engagement, we benefit from more orders and GTV that generate diversified revenue streams and improve operational efficiencies. Our revenue consists of transaction revenue, primarily from fees paid on each order by retail partners and customers, as well as advertising and other revenue, primarily from advertising fees paid by brand partners. In 2022 and the six months ended June 30, 2023, our transaction revenue and advertising and other revenue were approximately 6.3% and 2.6% and 7.2% and 2.7%, respectively, of GTV. Since grocery is one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83185</wp:posOffset>
            </wp:positionV>
            <wp:extent cx="7239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3" w:lineRule="exact"/>
        <w:rPr>
          <w:sz w:val="20"/>
          <w:szCs w:val="20"/>
          <w:color w:val="auto"/>
        </w:rPr>
      </w:pPr>
    </w:p>
    <w:p>
      <w:pPr>
        <w:ind w:left="860" w:hanging="403"/>
        <w:spacing w:after="0"/>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86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For the month ended June 30, 2023.</w:t>
      </w:r>
    </w:p>
    <w:p>
      <w:pPr>
        <w:ind w:left="860" w:right="22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U.S. Census Bureau (July 2021) and Statistics Canada (2021, the year of the last Canadian census). Based on number of households in Instacart’s active delivery-enabled or pickup zones as of June 30, 2023.</w:t>
      </w:r>
    </w:p>
    <w:p>
      <w:pPr>
        <w:ind w:left="86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As of June 30, 2023. Includes paying Instacart+ members only and excludes free trial members.</w:t>
      </w:r>
    </w:p>
    <w:p>
      <w:pPr>
        <w:ind w:left="86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right="14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Based on internal tests run across all brand partners using our Sponsored Product ads offering in the quarter ended June 30, 2023 and individual tests run for select brands or types of brands.</w:t>
      </w:r>
    </w:p>
    <w:p>
      <w:pPr>
        <w:ind w:left="860" w:hanging="403"/>
        <w:spacing w:after="0" w:line="223" w:lineRule="auto"/>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Based on shoppers who completed at least one order during the month ended June 30, 2023.</w:t>
      </w:r>
    </w:p>
    <w:p>
      <w:pPr>
        <w:ind w:left="860" w:hanging="403"/>
        <w:spacing w:after="0"/>
        <w:tabs>
          <w:tab w:leader="none" w:pos="860" w:val="left"/>
        </w:tabs>
        <w:numPr>
          <w:ilvl w:val="0"/>
          <w:numId w:val="147"/>
        </w:numPr>
        <w:rPr>
          <w:rFonts w:ascii="Arial" w:cs="Arial" w:eastAsia="Arial" w:hAnsi="Arial"/>
          <w:sz w:val="10"/>
          <w:szCs w:val="10"/>
          <w:color w:val="auto"/>
        </w:rPr>
      </w:pPr>
      <w:r>
        <w:rPr>
          <w:rFonts w:ascii="Arial" w:cs="Arial" w:eastAsia="Arial" w:hAnsi="Arial"/>
          <w:sz w:val="13"/>
          <w:szCs w:val="13"/>
          <w:color w:val="auto"/>
        </w:rPr>
        <w:t>Based on a random sampling of 2,906 shoppers who completed at least one order during the month ended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780"/>
          </w:cols>
          <w:pgMar w:left="320" w:top="440" w:right="79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20"/>
        <w:spacing w:after="0" w:line="260" w:lineRule="auto"/>
        <w:rPr>
          <w:sz w:val="20"/>
          <w:szCs w:val="20"/>
          <w:color w:val="auto"/>
        </w:rPr>
      </w:pPr>
      <w:r>
        <w:rPr>
          <w:rFonts w:ascii="Arial" w:cs="Arial" w:eastAsia="Arial" w:hAnsi="Arial"/>
          <w:sz w:val="17"/>
          <w:szCs w:val="17"/>
          <w:color w:val="auto"/>
        </w:rPr>
        <w:t>the largest recurring monthly household expenses, we have high average order values, which allows us to keep fees as a percent of GTV lower for retailers and customers relative to other on-demand delivery platforms and enables us to allocate certain costs, such as shopper earnings and hosting expenses, across a larger base.</w:t>
      </w:r>
    </w:p>
    <w:p>
      <w:pPr>
        <w:spacing w:after="0" w:line="175" w:lineRule="exact"/>
        <w:rPr>
          <w:sz w:val="20"/>
          <w:szCs w:val="20"/>
          <w:color w:val="auto"/>
        </w:rPr>
      </w:pPr>
    </w:p>
    <w:p>
      <w:pPr>
        <w:ind w:left="460" w:right="160" w:firstLine="413"/>
        <w:spacing w:after="0" w:line="256" w:lineRule="auto"/>
        <w:rPr>
          <w:sz w:val="20"/>
          <w:szCs w:val="20"/>
          <w:color w:val="auto"/>
        </w:rPr>
      </w:pPr>
      <w:r>
        <w:rPr>
          <w:rFonts w:ascii="Arial" w:cs="Arial" w:eastAsia="Arial" w:hAnsi="Arial"/>
          <w:sz w:val="17"/>
          <w:szCs w:val="17"/>
          <w:color w:val="auto"/>
        </w:rPr>
        <w:t>By growing advertising and other revenue and making fulfillment more efficient at scale, we have historically been able to increase gross profit consistently faster than GTV. Expanding gross profit as a percent of GTV contributes to our improving unit economics. This, in turn, allows us to reinvest in our business, particularly in research and development to build new technologies for retailers and in sales and marketing to help attract and engage customers to grow orders and GTV.</w:t>
      </w:r>
    </w:p>
    <w:p>
      <w:pPr>
        <w:spacing w:after="0" w:line="179" w:lineRule="exact"/>
        <w:rPr>
          <w:sz w:val="20"/>
          <w:szCs w:val="20"/>
          <w:color w:val="auto"/>
        </w:rPr>
      </w:pPr>
    </w:p>
    <w:p>
      <w:pPr>
        <w:jc w:val="both"/>
        <w:ind w:left="460" w:right="80" w:firstLine="413"/>
        <w:spacing w:after="0" w:line="284" w:lineRule="auto"/>
        <w:rPr>
          <w:sz w:val="20"/>
          <w:szCs w:val="20"/>
          <w:color w:val="auto"/>
        </w:rPr>
      </w:pPr>
      <w:r>
        <w:rPr>
          <w:rFonts w:ascii="Arial" w:cs="Arial" w:eastAsia="Arial" w:hAnsi="Arial"/>
          <w:sz w:val="16"/>
          <w:szCs w:val="16"/>
          <w:color w:val="auto"/>
        </w:rPr>
        <w:t>Since our founding, we have achieved substantial growth and an improved margin. Starting in March 2020 and through the first quarter of 2022, our growth was significantly accelerated by the COVID-19 pandemic. While we do not expect our pandemic-accelerated growth rates to recur in future periods, our growth during this period helped establish a business with much greater scale and much higher gross profit.</w:t>
      </w:r>
    </w:p>
    <w:p>
      <w:pPr>
        <w:spacing w:after="0" w:line="69" w:lineRule="exact"/>
        <w:rPr>
          <w:sz w:val="20"/>
          <w:szCs w:val="20"/>
          <w:color w:val="auto"/>
        </w:rPr>
      </w:pPr>
    </w:p>
    <w:p>
      <w:pPr>
        <w:ind w:left="1360" w:right="100" w:hanging="498"/>
        <w:spacing w:after="0" w:line="272" w:lineRule="auto"/>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Orders grew from 223.4 million in 2021 to 262.6 million in 2022, an increase of 18%, and remained consistent from 132.3 million for the six months ended June 30, 2022 to 132.9 million for the six months ended June 30, 2023;</w:t>
      </w:r>
    </w:p>
    <w:p>
      <w:pPr>
        <w:spacing w:after="0" w:line="76" w:lineRule="exact"/>
        <w:rPr>
          <w:rFonts w:ascii="Arial" w:cs="Arial" w:eastAsia="Arial" w:hAnsi="Arial"/>
          <w:sz w:val="17"/>
          <w:szCs w:val="17"/>
          <w:color w:val="auto"/>
        </w:rPr>
      </w:pPr>
    </w:p>
    <w:p>
      <w:pPr>
        <w:ind w:left="1360" w:right="320" w:hanging="498"/>
        <w:spacing w:after="0" w:line="272" w:lineRule="auto"/>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GTV grew from $24,909 million in 2021 to $28,826 million in 2022, an increase of 16%, and from $14,356 million for the six months ended June 30, 2022 to $14,937 million for the six months ended June 30, 2023, an increase of 4%;</w:t>
      </w:r>
    </w:p>
    <w:p>
      <w:pPr>
        <w:spacing w:after="0" w:line="7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Total revenue grew from $1,834 million in 2021 to $2,551 million in 2022, an increase of 39%, and from $1,126 million for the six months ended June 30, 2022 to $1,475 million for the six months ended June 30, 2023, an increase of 31%;</w:t>
      </w:r>
    </w:p>
    <w:p>
      <w:pPr>
        <w:spacing w:after="0" w:line="76" w:lineRule="exact"/>
        <w:rPr>
          <w:rFonts w:ascii="Arial" w:cs="Arial" w:eastAsia="Arial" w:hAnsi="Arial"/>
          <w:sz w:val="17"/>
          <w:szCs w:val="17"/>
          <w:color w:val="auto"/>
        </w:rPr>
      </w:pPr>
    </w:p>
    <w:p>
      <w:pPr>
        <w:ind w:left="1360" w:right="180" w:hanging="498"/>
        <w:spacing w:after="0" w:line="260" w:lineRule="auto"/>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Transaction revenue grew from $1,262 million (or 69% of total revenue) in 2021 to $1,811 million (or 71% of total revenue) in 2022, an increase of 44%, and from $799 million (or 71% of total revenue) for the six months ended June 30, 2022 to $1,069 million (or 72% of total revenue) for the six months ended June 30, 2023, an increase of 34%;</w:t>
      </w:r>
    </w:p>
    <w:p>
      <w:pPr>
        <w:spacing w:after="0" w:line="86" w:lineRule="exact"/>
        <w:rPr>
          <w:rFonts w:ascii="Arial" w:cs="Arial" w:eastAsia="Arial" w:hAnsi="Arial"/>
          <w:sz w:val="17"/>
          <w:szCs w:val="17"/>
          <w:color w:val="auto"/>
        </w:rPr>
      </w:pPr>
    </w:p>
    <w:p>
      <w:pPr>
        <w:ind w:left="1360" w:right="300" w:hanging="498"/>
        <w:spacing w:after="0" w:line="260" w:lineRule="auto"/>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Advertising and other revenue grew from $572 million (or 31% of total revenue) in 2021 to $740 million (or 29% of total revenue) in 2022, an increase of 29%, and from $327 million (or 29% of total revenue) for the six months ended June 30, 2022 to $406 million (or 28% of total revenue) for the six months ended June 30, 2023, an increase of 24%;</w:t>
      </w:r>
    </w:p>
    <w:p>
      <w:pPr>
        <w:spacing w:after="0" w:line="86" w:lineRule="exact"/>
        <w:rPr>
          <w:rFonts w:ascii="Arial" w:cs="Arial" w:eastAsia="Arial" w:hAnsi="Arial"/>
          <w:sz w:val="17"/>
          <w:szCs w:val="17"/>
          <w:color w:val="auto"/>
        </w:rPr>
      </w:pPr>
    </w:p>
    <w:p>
      <w:pPr>
        <w:ind w:left="1360" w:right="240" w:hanging="498"/>
        <w:spacing w:after="0" w:line="272" w:lineRule="auto"/>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Gross profit grew from $1,226 million in 2021 to $1,831 million in 2022, an increase of 49%, and from $769 million for the six months ended June 30, 2022 to $1,109 million for the six months ended June 30, 2023, an increase of 44%;</w:t>
      </w:r>
    </w:p>
    <w:p>
      <w:pPr>
        <w:spacing w:after="0" w:line="76" w:lineRule="exact"/>
        <w:rPr>
          <w:rFonts w:ascii="Arial" w:cs="Arial" w:eastAsia="Arial" w:hAnsi="Arial"/>
          <w:sz w:val="17"/>
          <w:szCs w:val="17"/>
          <w:color w:val="auto"/>
        </w:rPr>
      </w:pPr>
    </w:p>
    <w:p>
      <w:pPr>
        <w:ind w:left="1360" w:right="20" w:hanging="498"/>
        <w:spacing w:after="0" w:line="296" w:lineRule="auto"/>
        <w:tabs>
          <w:tab w:leader="none" w:pos="13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Net income (loss) improved from $(73) million in 2021 to $428 million in 2022 (including a $358 million benefit from the release of our valuation allowance on our deferred tax assets in the United States) and grew as a percent of GTV from (0.3)% in 2021 to 1.5% in 2022, and from $(74) million for the six months ended June 30, 2022 to $242 million for the six months ended June 30, 2023 and grew as a percent of GTV from (0.5)% for the six months ended June 30, 2022 to 1.6% for the six months ended June 30, 2023. We have a history of losses and have only recently began generating profit, and as of June 30, 2023, we had an accumulated deficit of $735 million; and</w:t>
      </w:r>
    </w:p>
    <w:p>
      <w:pPr>
        <w:spacing w:after="0" w:line="63" w:lineRule="exact"/>
        <w:rPr>
          <w:rFonts w:ascii="Arial" w:cs="Arial" w:eastAsia="Arial" w:hAnsi="Arial"/>
          <w:sz w:val="15"/>
          <w:szCs w:val="15"/>
          <w:color w:val="auto"/>
        </w:rPr>
      </w:pPr>
    </w:p>
    <w:p>
      <w:pPr>
        <w:ind w:left="1360" w:hanging="498"/>
        <w:spacing w:after="0" w:line="311" w:lineRule="auto"/>
        <w:tabs>
          <w:tab w:leader="none" w:pos="13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Adjusted EBITDA grew as a percent of GTV from 0.1% in 2021 to 0.6% in 2022, and Adjusted EBITDA margin grew from 2% in 2021 to 7% in 2022, and from (0.1)% for the six months ended June 30, 2022 to 1.9% for the six months ended June 30, 2023 and (2)% for the six months ended June 30, 2022 to 19% for the six months ended June 30, 2023, respectively, demonstrating significant operating leverage.</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760"/>
          </w:cols>
          <w:pgMar w:left="320" w:top="440" w:right="81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Industry</w:t>
      </w:r>
    </w:p>
    <w:p>
      <w:pPr>
        <w:spacing w:after="0" w:line="214"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6"/>
          <w:szCs w:val="16"/>
          <w:color w:val="auto"/>
        </w:rPr>
        <w:t>Grocery has one of the lowest levels of digitization of any industry. Grocery retailers in the United States spent an estimated $14.2 billion on enterprise IT in 2022,</w:t>
      </w:r>
      <w:r>
        <w:rPr>
          <w:rFonts w:ascii="Arial" w:cs="Arial" w:eastAsia="Arial" w:hAnsi="Arial"/>
          <w:sz w:val="23"/>
          <w:szCs w:val="23"/>
          <w:color w:val="auto"/>
          <w:vertAlign w:val="superscript"/>
        </w:rPr>
        <w:t>112</w:t>
      </w:r>
      <w:r>
        <w:rPr>
          <w:rFonts w:ascii="Arial" w:cs="Arial" w:eastAsia="Arial" w:hAnsi="Arial"/>
          <w:sz w:val="16"/>
          <w:szCs w:val="16"/>
          <w:color w:val="auto"/>
        </w:rPr>
        <w:t xml:space="preserve"> which represents approximately 1% of their total sales.</w:t>
      </w:r>
      <w:r>
        <w:rPr>
          <w:rFonts w:ascii="Arial" w:cs="Arial" w:eastAsia="Arial" w:hAnsi="Arial"/>
          <w:sz w:val="23"/>
          <w:szCs w:val="23"/>
          <w:color w:val="auto"/>
          <w:vertAlign w:val="superscript"/>
        </w:rPr>
        <w:t>113</w:t>
      </w:r>
      <w:r>
        <w:rPr>
          <w:rFonts w:ascii="Arial" w:cs="Arial" w:eastAsia="Arial" w:hAnsi="Arial"/>
          <w:sz w:val="16"/>
          <w:szCs w:val="16"/>
          <w:color w:val="auto"/>
        </w:rPr>
        <w:t xml:space="preserve"> This compares to average estimated technology budgets as a percent of revenue of approximately 25% for telecommunications, 11% for air travel, and 4% for hospital services for the same year.</w:t>
      </w:r>
      <w:r>
        <w:rPr>
          <w:rFonts w:ascii="Arial" w:cs="Arial" w:eastAsia="Arial" w:hAnsi="Arial"/>
          <w:sz w:val="23"/>
          <w:szCs w:val="23"/>
          <w:color w:val="auto"/>
          <w:vertAlign w:val="superscript"/>
        </w:rPr>
        <w:t>114</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Complexities of Grocery Retail</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grocery industry has attributes not found in other consumer retail categories due to inherent market structure differences and the uniqueness of grocery operations: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Market Structure</w:t>
      </w:r>
    </w:p>
    <w:p>
      <w:pPr>
        <w:spacing w:after="0" w:line="121" w:lineRule="exact"/>
        <w:rPr>
          <w:sz w:val="20"/>
          <w:szCs w:val="20"/>
          <w:color w:val="auto"/>
        </w:rPr>
      </w:pPr>
    </w:p>
    <w:p>
      <w:pPr>
        <w:ind w:left="1360" w:right="400" w:hanging="498"/>
        <w:spacing w:after="0" w:line="186" w:lineRule="auto"/>
        <w:tabs>
          <w:tab w:leader="none" w:pos="136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Enterprise Market Structure</w:t>
      </w:r>
      <w:r>
        <w:rPr>
          <w:rFonts w:ascii="Arial" w:cs="Arial" w:eastAsia="Arial" w:hAnsi="Arial"/>
          <w:sz w:val="17"/>
          <w:szCs w:val="17"/>
          <w:color w:val="auto"/>
        </w:rPr>
        <w:t>. In the United States, there are over 3,000 companies in grocery retail</w:t>
      </w:r>
      <w:r>
        <w:rPr>
          <w:rFonts w:ascii="Arial" w:cs="Arial" w:eastAsia="Arial" w:hAnsi="Arial"/>
          <w:sz w:val="25"/>
          <w:szCs w:val="25"/>
          <w:color w:val="auto"/>
          <w:vertAlign w:val="superscript"/>
        </w:rPr>
        <w:t>115</w:t>
      </w:r>
      <w:r>
        <w:rPr>
          <w:rFonts w:ascii="Arial" w:cs="Arial" w:eastAsia="Arial" w:hAnsi="Arial"/>
          <w:sz w:val="17"/>
          <w:szCs w:val="17"/>
          <w:i w:val="1"/>
          <w:iCs w:val="1"/>
          <w:color w:val="auto"/>
        </w:rPr>
        <w:t xml:space="preserve"> </w:t>
      </w:r>
      <w:r>
        <w:rPr>
          <w:rFonts w:ascii="Arial" w:cs="Arial" w:eastAsia="Arial" w:hAnsi="Arial"/>
          <w:sz w:val="17"/>
          <w:szCs w:val="17"/>
          <w:color w:val="auto"/>
        </w:rPr>
        <w:t>that collectively manage tens of</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thousands of store locations.</w:t>
      </w:r>
      <w:r>
        <w:rPr>
          <w:rFonts w:ascii="Arial" w:cs="Arial" w:eastAsia="Arial" w:hAnsi="Arial"/>
          <w:sz w:val="25"/>
          <w:szCs w:val="25"/>
          <w:color w:val="auto"/>
          <w:vertAlign w:val="superscript"/>
        </w:rPr>
        <w:t>116</w:t>
      </w:r>
      <w:r>
        <w:rPr>
          <w:rFonts w:ascii="Arial" w:cs="Arial" w:eastAsia="Arial" w:hAnsi="Arial"/>
          <w:sz w:val="17"/>
          <w:szCs w:val="17"/>
          <w:color w:val="auto"/>
        </w:rPr>
        <w:t xml:space="preserve"> 68% of the total U.S. grocery market comes from the top 20 grocers,</w:t>
      </w:r>
      <w:r>
        <w:rPr>
          <w:rFonts w:ascii="Arial" w:cs="Arial" w:eastAsia="Arial" w:hAnsi="Arial"/>
          <w:sz w:val="25"/>
          <w:szCs w:val="25"/>
          <w:color w:val="auto"/>
          <w:vertAlign w:val="superscript"/>
        </w:rPr>
        <w:t>117</w:t>
      </w:r>
      <w:r>
        <w:rPr>
          <w:rFonts w:ascii="Arial" w:cs="Arial" w:eastAsia="Arial" w:hAnsi="Arial"/>
          <w:sz w:val="17"/>
          <w:szCs w:val="17"/>
          <w:color w:val="auto"/>
        </w:rPr>
        <w:t xml:space="preserve"> yet market share significantly differs by region within the United States. The largest retailers operate multiple banners, across hundreds of locations, and require nationwide integration.</w:t>
      </w:r>
    </w:p>
    <w:p>
      <w:pPr>
        <w:spacing w:after="0" w:line="104" w:lineRule="exact"/>
        <w:rPr>
          <w:rFonts w:ascii="Arial" w:cs="Arial" w:eastAsia="Arial" w:hAnsi="Arial"/>
          <w:sz w:val="17"/>
          <w:szCs w:val="17"/>
          <w:color w:val="auto"/>
        </w:rPr>
      </w:pPr>
    </w:p>
    <w:p>
      <w:pPr>
        <w:ind w:left="1360" w:right="300" w:hanging="498"/>
        <w:spacing w:after="0" w:line="260" w:lineRule="auto"/>
        <w:tabs>
          <w:tab w:leader="none" w:pos="136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Disaggregated Supply Chain</w:t>
      </w:r>
      <w:r>
        <w:rPr>
          <w:rFonts w:ascii="Arial" w:cs="Arial" w:eastAsia="Arial" w:hAnsi="Arial"/>
          <w:sz w:val="17"/>
          <w:szCs w:val="17"/>
          <w:color w:val="auto"/>
        </w:rPr>
        <w:t>. There are multiple participants in the grocery supply chain, including food producers,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wholesalers, and distributors, each of whom capture a considerable portion of the value chain and introduce operational complexity.</w:t>
      </w:r>
    </w:p>
    <w:p>
      <w:pPr>
        <w:spacing w:after="0" w:line="86" w:lineRule="exact"/>
        <w:rPr>
          <w:rFonts w:ascii="Arial" w:cs="Arial" w:eastAsia="Arial" w:hAnsi="Arial"/>
          <w:sz w:val="17"/>
          <w:szCs w:val="17"/>
          <w:color w:val="auto"/>
        </w:rPr>
      </w:pPr>
    </w:p>
    <w:p>
      <w:pPr>
        <w:ind w:left="1360" w:right="80" w:hanging="498"/>
        <w:spacing w:after="0" w:line="256" w:lineRule="auto"/>
        <w:tabs>
          <w:tab w:leader="none" w:pos="136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Intense Competition from Digital-First Platforms</w:t>
      </w:r>
      <w:r>
        <w:rPr>
          <w:rFonts w:ascii="Arial" w:cs="Arial" w:eastAsia="Arial" w:hAnsi="Arial"/>
          <w:sz w:val="17"/>
          <w:szCs w:val="17"/>
          <w:color w:val="auto"/>
        </w:rPr>
        <w:t>. Traditional grocers have spent generations building loyalty with consumers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and quality. However, consumers increasingly expect a high-quality digital experience. Digital-first platforms and quick delivery disruptors are investing large amounts of capital to create online experiences and develop in-store technology to compete with traditional retailers for consumer wallet share.</w:t>
      </w:r>
    </w:p>
    <w:p>
      <w:pPr>
        <w:spacing w:after="0" w:line="90" w:lineRule="exact"/>
        <w:rPr>
          <w:rFonts w:ascii="Arial" w:cs="Arial" w:eastAsia="Arial" w:hAnsi="Arial"/>
          <w:sz w:val="17"/>
          <w:szCs w:val="17"/>
          <w:color w:val="auto"/>
        </w:rPr>
      </w:pPr>
    </w:p>
    <w:p>
      <w:pPr>
        <w:ind w:left="1360" w:right="120" w:hanging="498"/>
        <w:spacing w:after="0" w:line="260" w:lineRule="auto"/>
        <w:tabs>
          <w:tab w:leader="none" w:pos="136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Regulations</w:t>
      </w:r>
      <w:r>
        <w:rPr>
          <w:rFonts w:ascii="Arial" w:cs="Arial" w:eastAsia="Arial" w:hAnsi="Arial"/>
          <w:sz w:val="17"/>
          <w:szCs w:val="17"/>
          <w:color w:val="auto"/>
        </w:rPr>
        <w:t>. The grocery industry is highly regulated, particularly in categories such as alcohol, prescriptions, and supplemental nutrition</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programs. Grocers must comply with different state and local laws, which vary significantly state by state and city by city and require a comprehensive compliance system.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Grocery Operations</w:t>
      </w:r>
    </w:p>
    <w:p>
      <w:pPr>
        <w:spacing w:after="0" w:line="121" w:lineRule="exact"/>
        <w:rPr>
          <w:sz w:val="20"/>
          <w:szCs w:val="20"/>
          <w:color w:val="auto"/>
        </w:rPr>
      </w:pPr>
    </w:p>
    <w:p>
      <w:pPr>
        <w:ind w:left="1360" w:hanging="498"/>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Expansive and Diverse Product Assortment</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2400" w:right="180" w:hanging="600"/>
        <w:spacing w:after="0" w:line="260" w:lineRule="auto"/>
        <w:tabs>
          <w:tab w:leader="none" w:pos="2400" w:val="left"/>
        </w:tabs>
        <w:numPr>
          <w:ilvl w:val="1"/>
          <w:numId w:val="150"/>
        </w:numPr>
        <w:rPr>
          <w:rFonts w:ascii="Arial" w:cs="Arial" w:eastAsia="Arial" w:hAnsi="Arial"/>
          <w:sz w:val="17"/>
          <w:szCs w:val="17"/>
          <w:color w:val="auto"/>
        </w:rPr>
      </w:pPr>
      <w:r>
        <w:rPr>
          <w:rFonts w:ascii="Arial" w:cs="Arial" w:eastAsia="Arial" w:hAnsi="Arial"/>
          <w:sz w:val="17"/>
          <w:szCs w:val="17"/>
          <w:i w:val="1"/>
          <w:iCs w:val="1"/>
          <w:color w:val="auto"/>
        </w:rPr>
        <w:t>Diversity of Products</w:t>
      </w:r>
      <w:r>
        <w:rPr>
          <w:rFonts w:ascii="Arial" w:cs="Arial" w:eastAsia="Arial" w:hAnsi="Arial"/>
          <w:sz w:val="17"/>
          <w:szCs w:val="17"/>
          <w:color w:val="auto"/>
        </w:rPr>
        <w:t>. In order to have the assortment consumers expect, grocers sell a high volume of products.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grocer carries over 31,000 products in a single store location across a wide range of categories like food, alcohol, consumer health, pet care, ready-made meals, and more.</w:t>
      </w:r>
      <w:r>
        <w:rPr>
          <w:rFonts w:ascii="Arial" w:cs="Arial" w:eastAsia="Arial" w:hAnsi="Arial"/>
          <w:sz w:val="25"/>
          <w:szCs w:val="25"/>
          <w:color w:val="auto"/>
          <w:vertAlign w:val="superscript"/>
        </w:rPr>
        <w:t>118</w:t>
      </w:r>
    </w:p>
    <w:p>
      <w:pPr>
        <w:ind w:left="2400" w:right="20" w:hanging="600"/>
        <w:spacing w:after="0" w:line="250" w:lineRule="auto"/>
        <w:tabs>
          <w:tab w:leader="none" w:pos="2400" w:val="left"/>
        </w:tabs>
        <w:numPr>
          <w:ilvl w:val="1"/>
          <w:numId w:val="150"/>
        </w:numPr>
        <w:rPr>
          <w:rFonts w:ascii="Arial" w:cs="Arial" w:eastAsia="Arial" w:hAnsi="Arial"/>
          <w:sz w:val="17"/>
          <w:szCs w:val="17"/>
          <w:color w:val="auto"/>
        </w:rPr>
      </w:pPr>
      <w:r>
        <w:rPr>
          <w:rFonts w:ascii="Arial" w:cs="Arial" w:eastAsia="Arial" w:hAnsi="Arial"/>
          <w:sz w:val="17"/>
          <w:szCs w:val="17"/>
          <w:i w:val="1"/>
          <w:iCs w:val="1"/>
          <w:color w:val="auto"/>
        </w:rPr>
        <w:t>High Inventory Turnover</w:t>
      </w:r>
      <w:r>
        <w:rPr>
          <w:rFonts w:ascii="Arial" w:cs="Arial" w:eastAsia="Arial" w:hAnsi="Arial"/>
          <w:sz w:val="17"/>
          <w:szCs w:val="17"/>
          <w:color w:val="auto"/>
        </w:rPr>
        <w:t>. Grocery inventory turns over in real time with high velocity. Inventory forecasting and SKU</w:t>
      </w:r>
      <w:r>
        <w:rPr>
          <w:rFonts w:ascii="Arial" w:cs="Arial" w:eastAsia="Arial" w:hAnsi="Arial"/>
          <w:sz w:val="17"/>
          <w:szCs w:val="17"/>
          <w:i w:val="1"/>
          <w:iCs w:val="1"/>
          <w:color w:val="auto"/>
        </w:rPr>
        <w:t xml:space="preserve"> </w:t>
      </w:r>
      <w:r>
        <w:rPr>
          <w:rFonts w:ascii="Arial" w:cs="Arial" w:eastAsia="Arial" w:hAnsi="Arial"/>
          <w:sz w:val="17"/>
          <w:szCs w:val="17"/>
          <w:color w:val="auto"/>
        </w:rPr>
        <w:t>rationalization, as well as evaluating which products to sell or discontinue, are critical to maximizing sales and profitability. For pickup or delivery orders, high inventory turnover also means that it is critical for grocers to direct consumers to appropriate replacements to avoid lost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85090</wp:posOffset>
            </wp:positionV>
            <wp:extent cx="7239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6" w:lineRule="exact"/>
        <w:rPr>
          <w:sz w:val="20"/>
          <w:szCs w:val="20"/>
          <w:color w:val="auto"/>
        </w:rPr>
      </w:pPr>
    </w:p>
    <w:p>
      <w:pPr>
        <w:ind w:left="860" w:hanging="403"/>
        <w:spacing w:after="0"/>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Gartner.</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line="223" w:lineRule="auto"/>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Gartner.</w:t>
      </w:r>
    </w:p>
    <w:p>
      <w:pPr>
        <w:ind w:left="860" w:hanging="403"/>
        <w:spacing w:after="0" w:line="223" w:lineRule="auto"/>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As of 2021. FactSet.</w:t>
      </w:r>
    </w:p>
    <w:p>
      <w:pPr>
        <w:ind w:left="860" w:hanging="403"/>
        <w:spacing w:after="0" w:line="223" w:lineRule="auto"/>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As of 2022. IBISWorld.</w:t>
      </w:r>
    </w:p>
    <w:p>
      <w:pPr>
        <w:ind w:left="860" w:hanging="403"/>
        <w:spacing w:after="0" w:line="223" w:lineRule="auto"/>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 xml:space="preserve">In 2022. Euromonitor, </w:t>
      </w:r>
      <w:r>
        <w:rPr>
          <w:rFonts w:ascii="Arial" w:cs="Arial" w:eastAsia="Arial" w:hAnsi="Arial"/>
          <w:sz w:val="13"/>
          <w:szCs w:val="13"/>
          <w:i w:val="1"/>
          <w:iCs w:val="1"/>
          <w:color w:val="auto"/>
        </w:rPr>
        <w:t>Retail</w:t>
      </w:r>
      <w:r>
        <w:rPr>
          <w:rFonts w:ascii="Arial" w:cs="Arial" w:eastAsia="Arial" w:hAnsi="Arial"/>
          <w:sz w:val="13"/>
          <w:szCs w:val="13"/>
          <w:color w:val="auto"/>
        </w:rPr>
        <w:t xml:space="preserve"> (2023 edition), category: Grocery Retailers; retail value RSP in USD, excluding sales tax, calculated as a percentage of total Grocery Retailers retail value RSP in the United States in 2022 in USD, excluding sales tax.</w:t>
      </w:r>
    </w:p>
    <w:p>
      <w:pPr>
        <w:ind w:left="860" w:hanging="403"/>
        <w:spacing w:after="0"/>
        <w:tabs>
          <w:tab w:leader="none" w:pos="860" w:val="left"/>
        </w:tabs>
        <w:numPr>
          <w:ilvl w:val="0"/>
          <w:numId w:val="151"/>
        </w:numPr>
        <w:rPr>
          <w:rFonts w:ascii="Arial" w:cs="Arial" w:eastAsia="Arial" w:hAnsi="Arial"/>
          <w:sz w:val="10"/>
          <w:szCs w:val="10"/>
          <w:color w:val="auto"/>
        </w:rPr>
      </w:pPr>
      <w:r>
        <w:rPr>
          <w:rFonts w:ascii="Arial" w:cs="Arial" w:eastAsia="Arial" w:hAnsi="Arial"/>
          <w:sz w:val="13"/>
          <w:szCs w:val="13"/>
          <w:color w:val="auto"/>
        </w:rPr>
        <w:t xml:space="preserve">In 2019. FMI, </w:t>
      </w:r>
      <w:r>
        <w:rPr>
          <w:rFonts w:ascii="Arial" w:cs="Arial" w:eastAsia="Arial" w:hAnsi="Arial"/>
          <w:sz w:val="13"/>
          <w:szCs w:val="13"/>
          <w:i w:val="1"/>
          <w:iCs w:val="1"/>
          <w:color w:val="auto"/>
        </w:rPr>
        <w:t>Supermarket Facts</w:t>
      </w:r>
      <w:r>
        <w:rPr>
          <w:rFonts w:ascii="Arial" w:cs="Arial" w:eastAsia="Arial" w:hAnsi="Arial"/>
          <w:sz w:val="13"/>
          <w:szCs w:val="13"/>
          <w:color w:val="auto"/>
        </w:rPr>
        <w:t>.</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780"/>
          </w:cols>
          <w:pgMar w:left="320" w:top="440" w:right="79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400" w:right="60" w:hanging="600"/>
        <w:spacing w:after="0" w:line="219" w:lineRule="auto"/>
        <w:tabs>
          <w:tab w:leader="none" w:pos="2400" w:val="left"/>
        </w:tabs>
        <w:numPr>
          <w:ilvl w:val="1"/>
          <w:numId w:val="152"/>
        </w:numPr>
        <w:rPr>
          <w:rFonts w:ascii="Arial" w:cs="Arial" w:eastAsia="Arial" w:hAnsi="Arial"/>
          <w:sz w:val="17"/>
          <w:szCs w:val="17"/>
          <w:color w:val="auto"/>
        </w:rPr>
      </w:pPr>
      <w:r>
        <w:rPr>
          <w:rFonts w:ascii="Arial" w:cs="Arial" w:eastAsia="Arial" w:hAnsi="Arial"/>
          <w:sz w:val="17"/>
          <w:szCs w:val="17"/>
          <w:i w:val="1"/>
          <w:iCs w:val="1"/>
          <w:color w:val="auto"/>
        </w:rPr>
        <w:t>Large Portion of Perishables</w:t>
      </w:r>
      <w:r>
        <w:rPr>
          <w:rFonts w:ascii="Arial" w:cs="Arial" w:eastAsia="Arial" w:hAnsi="Arial"/>
          <w:sz w:val="17"/>
          <w:szCs w:val="17"/>
          <w:color w:val="auto"/>
        </w:rPr>
        <w:t>. Perishables account for 16% of North American grocery sales.</w:t>
      </w:r>
      <w:r>
        <w:rPr>
          <w:rFonts w:ascii="Arial" w:cs="Arial" w:eastAsia="Arial" w:hAnsi="Arial"/>
          <w:sz w:val="25"/>
          <w:szCs w:val="25"/>
          <w:color w:val="auto"/>
          <w:vertAlign w:val="superscript"/>
        </w:rPr>
        <w:t>119</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it is imperative</w:t>
      </w:r>
      <w:r>
        <w:rPr>
          <w:rFonts w:ascii="Arial" w:cs="Arial" w:eastAsia="Arial" w:hAnsi="Arial"/>
          <w:sz w:val="17"/>
          <w:szCs w:val="17"/>
          <w:i w:val="1"/>
          <w:iCs w:val="1"/>
          <w:color w:val="auto"/>
        </w:rPr>
        <w:t xml:space="preserve"> </w:t>
      </w:r>
      <w:r>
        <w:rPr>
          <w:rFonts w:ascii="Arial" w:cs="Arial" w:eastAsia="Arial" w:hAnsi="Arial"/>
          <w:sz w:val="17"/>
          <w:szCs w:val="17"/>
          <w:color w:val="auto"/>
        </w:rPr>
        <w:t>for grocers to manage this inventory carefully and maintain specific temperatures to reduce food waste and operational inefficiencies.</w:t>
      </w:r>
    </w:p>
    <w:p>
      <w:pPr>
        <w:spacing w:after="0" w:line="102" w:lineRule="exact"/>
        <w:rPr>
          <w:rFonts w:ascii="Arial" w:cs="Arial" w:eastAsia="Arial" w:hAnsi="Arial"/>
          <w:sz w:val="17"/>
          <w:szCs w:val="17"/>
          <w:color w:val="auto"/>
        </w:rPr>
      </w:pPr>
    </w:p>
    <w:p>
      <w:pPr>
        <w:ind w:left="1360" w:right="300" w:hanging="498"/>
        <w:spacing w:after="0" w:line="225"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Breadth of Fulfillment Options</w:t>
      </w:r>
      <w:r>
        <w:rPr>
          <w:rFonts w:ascii="Arial" w:cs="Arial" w:eastAsia="Arial" w:hAnsi="Arial"/>
          <w:sz w:val="17"/>
          <w:szCs w:val="17"/>
          <w:color w:val="auto"/>
        </w:rPr>
        <w:t>. Whether a consumer chooses pickup, scheduled delivery, or on-demand delivery, each order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picking and packing. Picking is complex due to the sheer scale of grocery stores, where the over 48,000 square feet on average of each distinct location may be merchandised differently.</w:t>
      </w:r>
      <w:r>
        <w:rPr>
          <w:rFonts w:ascii="Arial" w:cs="Arial" w:eastAsia="Arial" w:hAnsi="Arial"/>
          <w:sz w:val="25"/>
          <w:szCs w:val="25"/>
          <w:color w:val="auto"/>
          <w:vertAlign w:val="superscript"/>
        </w:rPr>
        <w:t>120</w:t>
      </w:r>
      <w:r>
        <w:rPr>
          <w:rFonts w:ascii="Arial" w:cs="Arial" w:eastAsia="Arial" w:hAnsi="Arial"/>
          <w:sz w:val="17"/>
          <w:szCs w:val="17"/>
          <w:color w:val="auto"/>
        </w:rPr>
        <w:t xml:space="preserve"> There are a number of factors that require quality control, such as accuracy of the item, preferred replacement, and product freshness.</w:t>
      </w:r>
    </w:p>
    <w:p>
      <w:pPr>
        <w:spacing w:after="0" w:line="105" w:lineRule="exact"/>
        <w:rPr>
          <w:rFonts w:ascii="Arial" w:cs="Arial" w:eastAsia="Arial" w:hAnsi="Arial"/>
          <w:sz w:val="17"/>
          <w:szCs w:val="17"/>
          <w:color w:val="auto"/>
        </w:rPr>
      </w:pPr>
    </w:p>
    <w:p>
      <w:pPr>
        <w:ind w:left="1360" w:hanging="498"/>
        <w:spacing w:after="0" w:line="264"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Competition for Technical Talent</w:t>
      </w:r>
      <w:r>
        <w:rPr>
          <w:rFonts w:ascii="Arial" w:cs="Arial" w:eastAsia="Arial" w:hAnsi="Arial"/>
          <w:sz w:val="17"/>
          <w:szCs w:val="17"/>
          <w:color w:val="auto"/>
        </w:rPr>
        <w:t>. In a survey, more than half of respondents in the grocery industry reported they believe it will be difficult</w:t>
      </w:r>
      <w:r>
        <w:rPr>
          <w:rFonts w:ascii="Arial" w:cs="Arial" w:eastAsia="Arial" w:hAnsi="Arial"/>
          <w:sz w:val="17"/>
          <w:szCs w:val="17"/>
          <w:i w:val="1"/>
          <w:iCs w:val="1"/>
          <w:color w:val="auto"/>
        </w:rPr>
        <w:t xml:space="preserve"> </w:t>
      </w:r>
      <w:r>
        <w:rPr>
          <w:rFonts w:ascii="Arial" w:cs="Arial" w:eastAsia="Arial" w:hAnsi="Arial"/>
          <w:sz w:val="17"/>
          <w:szCs w:val="17"/>
          <w:color w:val="auto"/>
        </w:rPr>
        <w:t>to attract the necessary talent to support digital growth in the next five years.</w:t>
      </w:r>
      <w:r>
        <w:rPr>
          <w:rFonts w:ascii="Arial" w:cs="Arial" w:eastAsia="Arial" w:hAnsi="Arial"/>
          <w:sz w:val="25"/>
          <w:szCs w:val="25"/>
          <w:color w:val="auto"/>
          <w:vertAlign w:val="superscript"/>
        </w:rPr>
        <w:t>121</w:t>
      </w:r>
    </w:p>
    <w:p>
      <w:pPr>
        <w:spacing w:after="0" w:line="1" w:lineRule="exact"/>
        <w:rPr>
          <w:rFonts w:ascii="Arial" w:cs="Arial" w:eastAsia="Arial" w:hAnsi="Arial"/>
          <w:sz w:val="17"/>
          <w:szCs w:val="17"/>
          <w:color w:val="auto"/>
        </w:rPr>
      </w:pPr>
    </w:p>
    <w:p>
      <w:pPr>
        <w:ind w:left="1360" w:right="220" w:hanging="498"/>
        <w:spacing w:after="0" w:line="251"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Limited Personalization</w:t>
      </w:r>
      <w:r>
        <w:rPr>
          <w:rFonts w:ascii="Arial" w:cs="Arial" w:eastAsia="Arial" w:hAnsi="Arial"/>
          <w:sz w:val="17"/>
          <w:szCs w:val="17"/>
          <w:color w:val="auto"/>
        </w:rPr>
        <w:t>. Grocers have historically collected data through loyalty programs at checkout, but they have lacked access to a</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 to aggregate and analyze data across online and offline channels, provide actionable insights, and help create personalized experiences for customers while they are preparing to shop or in the act of shopping.</w:t>
      </w:r>
    </w:p>
    <w:p>
      <w:pPr>
        <w:spacing w:after="0" w:line="94" w:lineRule="exact"/>
        <w:rPr>
          <w:rFonts w:ascii="Arial" w:cs="Arial" w:eastAsia="Arial" w:hAnsi="Arial"/>
          <w:sz w:val="17"/>
          <w:szCs w:val="17"/>
          <w:color w:val="auto"/>
        </w:rPr>
      </w:pPr>
    </w:p>
    <w:p>
      <w:pPr>
        <w:ind w:left="1360" w:hanging="498"/>
        <w:spacing w:after="0" w:line="254"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Lack of Technology Custom-Built for Online Grocery</w:t>
      </w:r>
      <w:r>
        <w:rPr>
          <w:rFonts w:ascii="Arial" w:cs="Arial" w:eastAsia="Arial" w:hAnsi="Arial"/>
          <w:sz w:val="17"/>
          <w:szCs w:val="17"/>
          <w:color w:val="auto"/>
        </w:rPr>
        <w:t>. The industry has historically lacked a unified technology solution built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grocers. Even where adequate point solutions exist, grocers still have to engage large technical teams to integrate several point solutions into their systems, and these point solutions frequently do not integrate well with one another. With operations spread across multiple products with varying technology capabilities, many grocers struggle to manage their businesses while simultaneously providing a seamless experience for their customers.</w:t>
      </w:r>
    </w:p>
    <w:p>
      <w:pPr>
        <w:spacing w:after="0" w:line="92" w:lineRule="exact"/>
        <w:rPr>
          <w:rFonts w:ascii="Arial" w:cs="Arial" w:eastAsia="Arial" w:hAnsi="Arial"/>
          <w:sz w:val="17"/>
          <w:szCs w:val="17"/>
          <w:color w:val="auto"/>
        </w:rPr>
      </w:pPr>
    </w:p>
    <w:p>
      <w:pPr>
        <w:ind w:left="1360" w:right="20" w:hanging="498"/>
        <w:spacing w:after="0" w:line="225"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Low Operating Margins and High Fixed Costs</w:t>
      </w:r>
      <w:r>
        <w:rPr>
          <w:rFonts w:ascii="Arial" w:cs="Arial" w:eastAsia="Arial" w:hAnsi="Arial"/>
          <w:sz w:val="17"/>
          <w:szCs w:val="17"/>
          <w:color w:val="auto"/>
        </w:rPr>
        <w:t>. The typical grocery retail operating margin is 6%,</w:t>
      </w:r>
      <w:r>
        <w:rPr>
          <w:rFonts w:ascii="Arial" w:cs="Arial" w:eastAsia="Arial" w:hAnsi="Arial"/>
          <w:sz w:val="25"/>
          <w:szCs w:val="25"/>
          <w:color w:val="auto"/>
          <w:vertAlign w:val="superscript"/>
        </w:rPr>
        <w:t>122</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lower than other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 Many grocery retailers are also burdened by a high fixed cost base that is sensitive to market share gains and losses. We believe these factors, taken together, increase the importance of operational efficiencies and limit most grocers’ ability to deploy capital for digital transformation, which is key for competitive differentiation.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Diverse Consumer Use Cases</w:t>
      </w:r>
    </w:p>
    <w:p>
      <w:pPr>
        <w:spacing w:after="0" w:line="108" w:lineRule="exact"/>
        <w:rPr>
          <w:sz w:val="20"/>
          <w:szCs w:val="20"/>
          <w:color w:val="auto"/>
        </w:rPr>
      </w:pPr>
    </w:p>
    <w:p>
      <w:pPr>
        <w:ind w:left="460" w:right="240" w:firstLine="413"/>
        <w:spacing w:after="0" w:line="232" w:lineRule="auto"/>
        <w:rPr>
          <w:sz w:val="20"/>
          <w:szCs w:val="20"/>
          <w:color w:val="auto"/>
        </w:rPr>
      </w:pPr>
      <w:r>
        <w:rPr>
          <w:rFonts w:ascii="Arial" w:cs="Arial" w:eastAsia="Arial" w:hAnsi="Arial"/>
          <w:sz w:val="17"/>
          <w:szCs w:val="17"/>
          <w:color w:val="auto"/>
        </w:rPr>
        <w:t>Grocery is a large, recurring, non-discretionary, and high frequency consumer category. Americans shop for groceries 1.6 times per week on average,</w:t>
      </w:r>
      <w:r>
        <w:rPr>
          <w:rFonts w:ascii="Arial" w:cs="Arial" w:eastAsia="Arial" w:hAnsi="Arial"/>
          <w:sz w:val="25"/>
          <w:szCs w:val="25"/>
          <w:color w:val="auto"/>
          <w:vertAlign w:val="superscript"/>
        </w:rPr>
        <w:t>123</w:t>
      </w:r>
      <w:r>
        <w:rPr>
          <w:rFonts w:ascii="Arial" w:cs="Arial" w:eastAsia="Arial" w:hAnsi="Arial"/>
          <w:sz w:val="17"/>
          <w:szCs w:val="17"/>
          <w:color w:val="auto"/>
        </w:rPr>
        <w:t xml:space="preserve"> spend $438 per month on groceries on average,</w:t>
      </w:r>
      <w:r>
        <w:rPr>
          <w:rFonts w:ascii="Arial" w:cs="Arial" w:eastAsia="Arial" w:hAnsi="Arial"/>
          <w:sz w:val="25"/>
          <w:szCs w:val="25"/>
          <w:color w:val="auto"/>
          <w:vertAlign w:val="superscript"/>
        </w:rPr>
        <w:t>124</w:t>
      </w:r>
      <w:r>
        <w:rPr>
          <w:rFonts w:ascii="Arial" w:cs="Arial" w:eastAsia="Arial" w:hAnsi="Arial"/>
          <w:sz w:val="17"/>
          <w:szCs w:val="17"/>
          <w:color w:val="auto"/>
        </w:rPr>
        <w:t xml:space="preserve"> and have a wide range of brand and retailer loyalties. For example, a consumer may prefer the produce selection from one retailer and the pantry selection from another. Given grocery is a non-discretionary expense, it touches a broad demographic of consumers, and value is critical. Urgency varies each time a consumer shops. For example, a consumer may be looking to buy a last-minute ingredient before dinner that same day or may be comfortable purchasing household goods in bulk and receiving them later. We categorize consumer shopping occasions as follows:</w:t>
      </w:r>
    </w:p>
    <w:p>
      <w:pPr>
        <w:spacing w:after="0" w:line="107" w:lineRule="exact"/>
        <w:rPr>
          <w:sz w:val="20"/>
          <w:szCs w:val="20"/>
          <w:color w:val="auto"/>
        </w:rPr>
      </w:pPr>
    </w:p>
    <w:p>
      <w:pPr>
        <w:ind w:left="1360" w:hanging="498"/>
        <w:spacing w:after="0" w:line="256"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Weekly shop </w:t>
      </w:r>
      <w:r>
        <w:rPr>
          <w:rFonts w:ascii="Arial" w:cs="Arial" w:eastAsia="Arial" w:hAnsi="Arial"/>
          <w:sz w:val="17"/>
          <w:szCs w:val="17"/>
          <w:color w:val="auto"/>
        </w:rPr>
        <w:t>is a recurring, planned shop to buy groceries and household items. We believe that weekly grocery shopping represents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portion of the market and has historically been the most common consumer use case, balancing the optimal mix of selection, quality, value, and convenience. We started by solving for the weekly shop and have expanded to serve broader needs for our retail partners and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81280</wp:posOffset>
            </wp:positionV>
            <wp:extent cx="7239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1" w:lineRule="exact"/>
        <w:rPr>
          <w:sz w:val="20"/>
          <w:szCs w:val="20"/>
          <w:color w:val="auto"/>
        </w:rPr>
      </w:pPr>
    </w:p>
    <w:p>
      <w:pPr>
        <w:ind w:left="860" w:hanging="403"/>
        <w:spacing w:after="0" w:line="252" w:lineRule="auto"/>
        <w:tabs>
          <w:tab w:leader="none" w:pos="860" w:val="left"/>
        </w:tabs>
        <w:numPr>
          <w:ilvl w:val="0"/>
          <w:numId w:val="154"/>
        </w:numPr>
        <w:rPr>
          <w:rFonts w:ascii="Arial" w:cs="Arial" w:eastAsia="Arial" w:hAnsi="Arial"/>
          <w:sz w:val="9"/>
          <w:szCs w:val="9"/>
          <w:color w:val="auto"/>
        </w:rPr>
      </w:pPr>
      <w:r>
        <w:rPr>
          <w:rFonts w:ascii="Arial" w:cs="Arial" w:eastAsia="Arial" w:hAnsi="Arial"/>
          <w:sz w:val="12"/>
          <w:szCs w:val="12"/>
          <w:color w:val="auto"/>
        </w:rPr>
        <w:t>In 2022. Euromonitor, Retail (2023 edition), Fresh Food (2023 edition). Fresh Food retail value RSP in North America in 2022 in USD, including sales tax, current terms, calculated as a percentage of total Grocery Retailers, Food E-Commerce, and Drinks and Tobacco retail value RSP in North America in 2022 in USD, including sales tax, current terms.</w:t>
      </w:r>
    </w:p>
    <w:p>
      <w:pPr>
        <w:ind w:left="860" w:hanging="403"/>
        <w:spacing w:after="0" w:line="223" w:lineRule="auto"/>
        <w:tabs>
          <w:tab w:leader="none" w:pos="860" w:val="left"/>
        </w:tabs>
        <w:numPr>
          <w:ilvl w:val="0"/>
          <w:numId w:val="154"/>
        </w:numPr>
        <w:rPr>
          <w:rFonts w:ascii="Arial" w:cs="Arial" w:eastAsia="Arial" w:hAnsi="Arial"/>
          <w:sz w:val="10"/>
          <w:szCs w:val="10"/>
          <w:color w:val="auto"/>
        </w:rPr>
      </w:pPr>
      <w:r>
        <w:rPr>
          <w:rFonts w:ascii="Arial" w:cs="Arial" w:eastAsia="Arial" w:hAnsi="Arial"/>
          <w:sz w:val="13"/>
          <w:szCs w:val="13"/>
          <w:color w:val="auto"/>
        </w:rPr>
        <w:t xml:space="preserve">Average in the United States. FMI, </w:t>
      </w:r>
      <w:r>
        <w:rPr>
          <w:rFonts w:ascii="Arial" w:cs="Arial" w:eastAsia="Arial" w:hAnsi="Arial"/>
          <w:sz w:val="13"/>
          <w:szCs w:val="13"/>
          <w:i w:val="1"/>
          <w:iCs w:val="1"/>
          <w:color w:val="auto"/>
        </w:rPr>
        <w:t>Supermarket Facts</w:t>
      </w:r>
      <w:r>
        <w:rPr>
          <w:rFonts w:ascii="Arial" w:cs="Arial" w:eastAsia="Arial" w:hAnsi="Arial"/>
          <w:sz w:val="13"/>
          <w:szCs w:val="13"/>
          <w:color w:val="auto"/>
        </w:rPr>
        <w:t>.</w:t>
      </w:r>
    </w:p>
    <w:p>
      <w:pPr>
        <w:ind w:left="860" w:hanging="403"/>
        <w:spacing w:after="0" w:line="223" w:lineRule="auto"/>
        <w:tabs>
          <w:tab w:leader="none" w:pos="860" w:val="left"/>
        </w:tabs>
        <w:numPr>
          <w:ilvl w:val="0"/>
          <w:numId w:val="154"/>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ind w:left="860" w:hanging="403"/>
        <w:spacing w:after="0" w:line="223" w:lineRule="auto"/>
        <w:tabs>
          <w:tab w:leader="none" w:pos="860" w:val="left"/>
        </w:tabs>
        <w:numPr>
          <w:ilvl w:val="0"/>
          <w:numId w:val="154"/>
        </w:numPr>
        <w:rPr>
          <w:rFonts w:ascii="Arial" w:cs="Arial" w:eastAsia="Arial" w:hAnsi="Arial"/>
          <w:sz w:val="10"/>
          <w:szCs w:val="10"/>
          <w:color w:val="auto"/>
        </w:rPr>
      </w:pPr>
      <w:r>
        <w:rPr>
          <w:rFonts w:ascii="Arial" w:cs="Arial" w:eastAsia="Arial" w:hAnsi="Arial"/>
          <w:sz w:val="13"/>
          <w:szCs w:val="13"/>
          <w:color w:val="auto"/>
        </w:rPr>
        <w:t>Instacart estimate based on publicly available information of five leading grocers with business in the United States.</w:t>
      </w:r>
    </w:p>
    <w:p>
      <w:pPr>
        <w:ind w:left="860" w:hanging="403"/>
        <w:spacing w:after="0" w:line="223" w:lineRule="auto"/>
        <w:tabs>
          <w:tab w:leader="none" w:pos="860" w:val="left"/>
        </w:tabs>
        <w:numPr>
          <w:ilvl w:val="0"/>
          <w:numId w:val="154"/>
        </w:numPr>
        <w:rPr>
          <w:rFonts w:ascii="Arial" w:cs="Arial" w:eastAsia="Arial" w:hAnsi="Arial"/>
          <w:sz w:val="10"/>
          <w:szCs w:val="10"/>
          <w:color w:val="auto"/>
        </w:rPr>
      </w:pPr>
      <w:r>
        <w:rPr>
          <w:rFonts w:ascii="Arial" w:cs="Arial" w:eastAsia="Arial" w:hAnsi="Arial"/>
          <w:sz w:val="13"/>
          <w:szCs w:val="13"/>
          <w:color w:val="auto"/>
        </w:rPr>
        <w:t>In 2022. Statista; based on 2,091 respondents interviewed through online survey.</w:t>
      </w:r>
    </w:p>
    <w:p>
      <w:pPr>
        <w:ind w:left="860" w:hanging="403"/>
        <w:spacing w:after="0"/>
        <w:tabs>
          <w:tab w:leader="none" w:pos="860" w:val="left"/>
        </w:tabs>
        <w:numPr>
          <w:ilvl w:val="0"/>
          <w:numId w:val="154"/>
        </w:numPr>
        <w:rPr>
          <w:rFonts w:ascii="Arial" w:cs="Arial" w:eastAsia="Arial" w:hAnsi="Arial"/>
          <w:sz w:val="10"/>
          <w:szCs w:val="10"/>
          <w:color w:val="auto"/>
        </w:rPr>
      </w:pPr>
      <w:r>
        <w:rPr>
          <w:rFonts w:ascii="Arial" w:cs="Arial" w:eastAsia="Arial" w:hAnsi="Arial"/>
          <w:sz w:val="13"/>
          <w:szCs w:val="13"/>
          <w:color w:val="auto"/>
        </w:rPr>
        <w:t>U.S. Bureau of Labor Statistics; based on consumer expenditures in 2021.</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780"/>
          </w:cols>
          <w:pgMar w:left="320" w:top="440" w:right="79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140" w:hanging="498"/>
        <w:spacing w:after="0" w:line="272"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Bulk stock-up </w:t>
      </w:r>
      <w:r>
        <w:rPr>
          <w:rFonts w:ascii="Arial" w:cs="Arial" w:eastAsia="Arial" w:hAnsi="Arial"/>
          <w:sz w:val="17"/>
          <w:szCs w:val="17"/>
          <w:color w:val="auto"/>
        </w:rPr>
        <w:t>is a less frequent shop for groceries and household items in large quantities. This use case has become increasingly popular</w:t>
      </w:r>
      <w:r>
        <w:rPr>
          <w:rFonts w:ascii="Arial" w:cs="Arial" w:eastAsia="Arial" w:hAnsi="Arial"/>
          <w:sz w:val="17"/>
          <w:szCs w:val="17"/>
          <w:i w:val="1"/>
          <w:iCs w:val="1"/>
          <w:color w:val="auto"/>
        </w:rPr>
        <w:t xml:space="preserve"> </w:t>
      </w:r>
      <w:r>
        <w:rPr>
          <w:rFonts w:ascii="Arial" w:cs="Arial" w:eastAsia="Arial" w:hAnsi="Arial"/>
          <w:sz w:val="17"/>
          <w:szCs w:val="17"/>
          <w:color w:val="auto"/>
        </w:rPr>
        <w:t>as we have added retailers like Costco that specifically cater to such orders.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Convenience </w:t>
      </w:r>
      <w:r>
        <w:rPr>
          <w:rFonts w:ascii="Arial" w:cs="Arial" w:eastAsia="Arial" w:hAnsi="Arial"/>
          <w:sz w:val="17"/>
          <w:szCs w:val="17"/>
          <w:color w:val="auto"/>
        </w:rPr>
        <w:t>is a frequent top-up shop to replenish items.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Special occasion </w:t>
      </w:r>
      <w:r>
        <w:rPr>
          <w:rFonts w:ascii="Arial" w:cs="Arial" w:eastAsia="Arial" w:hAnsi="Arial"/>
          <w:sz w:val="16"/>
          <w:szCs w:val="16"/>
          <w:color w:val="auto"/>
        </w:rPr>
        <w:t>is a planned shop for a known event, like a holiday or a gift, often requiring special items on a tight schedule.</w:t>
      </w:r>
    </w:p>
    <w:p>
      <w:pPr>
        <w:spacing w:after="0" w:line="221" w:lineRule="exact"/>
        <w:rPr>
          <w:sz w:val="20"/>
          <w:szCs w:val="20"/>
          <w:color w:val="auto"/>
        </w:rPr>
      </w:pPr>
    </w:p>
    <w:p>
      <w:pPr>
        <w:ind w:left="460" w:right="440" w:firstLine="413"/>
        <w:spacing w:after="0" w:line="340" w:lineRule="auto"/>
        <w:rPr>
          <w:sz w:val="20"/>
          <w:szCs w:val="20"/>
          <w:color w:val="auto"/>
        </w:rPr>
      </w:pPr>
      <w:r>
        <w:rPr>
          <w:rFonts w:ascii="Arial" w:cs="Arial" w:eastAsia="Arial" w:hAnsi="Arial"/>
          <w:sz w:val="15"/>
          <w:szCs w:val="15"/>
          <w:color w:val="auto"/>
        </w:rPr>
        <w:t>Consumers will expect to have a seamless, personalized experience across these four use cases both online and in-store. The only way that a retailer can meet this demand is by leveraging an integrated technology solution that can seamlessly enable omni-channel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Online Grocery Market Dynamics</w:t>
      </w:r>
    </w:p>
    <w:p>
      <w:pPr>
        <w:spacing w:after="0" w:line="108"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Given its inherent market structure differences and the complexity of operations, grocery retail’s shift online demonstrates unique characteristics not seen in other consumer categories.</w:t>
      </w:r>
    </w:p>
    <w:p>
      <w:pPr>
        <w:spacing w:after="0" w:line="165" w:lineRule="exact"/>
        <w:rPr>
          <w:sz w:val="20"/>
          <w:szCs w:val="20"/>
          <w:color w:val="auto"/>
        </w:rPr>
      </w:pPr>
    </w:p>
    <w:p>
      <w:pPr>
        <w:ind w:left="460" w:right="40" w:firstLine="413"/>
        <w:spacing w:after="0" w:line="214" w:lineRule="auto"/>
        <w:rPr>
          <w:sz w:val="20"/>
          <w:szCs w:val="20"/>
          <w:color w:val="auto"/>
        </w:rPr>
      </w:pPr>
      <w:r>
        <w:rPr>
          <w:rFonts w:ascii="Arial" w:cs="Arial" w:eastAsia="Arial" w:hAnsi="Arial"/>
          <w:sz w:val="16"/>
          <w:szCs w:val="16"/>
          <w:color w:val="auto"/>
        </w:rPr>
        <w:t>In 2022, 12% of grocery sales in the United States were online, defined as orders placed online for pickup or delivery.</w:t>
      </w:r>
      <w:r>
        <w:rPr>
          <w:rFonts w:ascii="Arial" w:cs="Arial" w:eastAsia="Arial" w:hAnsi="Arial"/>
          <w:sz w:val="24"/>
          <w:szCs w:val="24"/>
          <w:color w:val="auto"/>
          <w:vertAlign w:val="superscript"/>
        </w:rPr>
        <w:t>125</w:t>
      </w:r>
      <w:r>
        <w:rPr>
          <w:rFonts w:ascii="Arial" w:cs="Arial" w:eastAsia="Arial" w:hAnsi="Arial"/>
          <w:sz w:val="16"/>
          <w:szCs w:val="16"/>
          <w:color w:val="auto"/>
        </w:rPr>
        <w:t xml:space="preserve"> Within online grocery sales, pickup fulfillment method accounts for 46% of total online sales while delivery accounts for 54%.</w:t>
      </w:r>
      <w:r>
        <w:rPr>
          <w:rFonts w:ascii="Arial" w:cs="Arial" w:eastAsia="Arial" w:hAnsi="Arial"/>
          <w:sz w:val="24"/>
          <w:szCs w:val="24"/>
          <w:color w:val="auto"/>
          <w:vertAlign w:val="superscript"/>
        </w:rPr>
        <w:t>126</w:t>
      </w:r>
      <w:r>
        <w:rPr>
          <w:rFonts w:ascii="Arial" w:cs="Arial" w:eastAsia="Arial" w:hAnsi="Arial"/>
          <w:sz w:val="16"/>
          <w:szCs w:val="16"/>
          <w:color w:val="auto"/>
        </w:rPr>
        <w:t xml:space="preserve"> While delivery has consistently grown faster than pickup on a market level since 2020, pickup is expected to continue to be a meaningful component of the online grocery market, as it appeals to more value-oriented consumers focused on minimizing fees but who still want the convenience of online grocery.</w:t>
      </w:r>
    </w:p>
    <w:p>
      <w:pPr>
        <w:spacing w:after="0" w:line="193" w:lineRule="exact"/>
        <w:rPr>
          <w:sz w:val="20"/>
          <w:szCs w:val="20"/>
          <w:color w:val="auto"/>
        </w:rPr>
      </w:pPr>
    </w:p>
    <w:p>
      <w:pPr>
        <w:ind w:left="460" w:right="100" w:firstLine="413"/>
        <w:spacing w:after="0" w:line="270" w:lineRule="auto"/>
        <w:rPr>
          <w:sz w:val="20"/>
          <w:szCs w:val="20"/>
          <w:color w:val="auto"/>
        </w:rPr>
      </w:pPr>
      <w:r>
        <w:rPr>
          <w:rFonts w:ascii="Arial" w:cs="Arial" w:eastAsia="Arial" w:hAnsi="Arial"/>
          <w:sz w:val="17"/>
          <w:szCs w:val="17"/>
          <w:color w:val="auto"/>
        </w:rPr>
        <w:t>Given the enterprise market structure of grocery retail, the majority of online sales are processed through traditional grocery retailers’ owned and operated online storefronts. While GTV processed through traditional retailers’ owned and operated online storefronts consisted of 95% of the pickup market, it accounted for 48% of the delivery market.</w:t>
      </w:r>
      <w:r>
        <w:rPr>
          <w:rFonts w:ascii="Arial" w:cs="Arial" w:eastAsia="Arial" w:hAnsi="Arial"/>
          <w:sz w:val="25"/>
          <w:szCs w:val="25"/>
          <w:color w:val="auto"/>
          <w:vertAlign w:val="superscript"/>
        </w:rPr>
        <w:t>127</w:t>
      </w:r>
    </w:p>
    <w:p>
      <w:pPr>
        <w:spacing w:after="0" w:line="47" w:lineRule="exact"/>
        <w:rPr>
          <w:sz w:val="20"/>
          <w:szCs w:val="20"/>
          <w:color w:val="auto"/>
        </w:rPr>
      </w:pPr>
    </w:p>
    <w:p>
      <w:pPr>
        <w:ind w:left="460" w:right="60" w:firstLine="413"/>
        <w:spacing w:after="0" w:line="225" w:lineRule="auto"/>
        <w:rPr>
          <w:sz w:val="20"/>
          <w:szCs w:val="20"/>
          <w:color w:val="auto"/>
        </w:rPr>
      </w:pPr>
      <w:r>
        <w:rPr>
          <w:rFonts w:ascii="Arial" w:cs="Arial" w:eastAsia="Arial" w:hAnsi="Arial"/>
          <w:sz w:val="17"/>
          <w:szCs w:val="17"/>
          <w:color w:val="auto"/>
        </w:rPr>
        <w:t>The remaining 5% and 52% of online grocery sales for pickup and delivery, respectively, occurred on digital-first platforms.</w:t>
      </w:r>
      <w:r>
        <w:rPr>
          <w:rFonts w:ascii="Arial" w:cs="Arial" w:eastAsia="Arial" w:hAnsi="Arial"/>
          <w:sz w:val="25"/>
          <w:szCs w:val="25"/>
          <w:color w:val="auto"/>
          <w:vertAlign w:val="superscript"/>
        </w:rPr>
        <w:t>128</w:t>
      </w:r>
      <w:r>
        <w:rPr>
          <w:rFonts w:ascii="Arial" w:cs="Arial" w:eastAsia="Arial" w:hAnsi="Arial"/>
          <w:sz w:val="17"/>
          <w:szCs w:val="17"/>
          <w:color w:val="auto"/>
        </w:rPr>
        <w:t xml:space="preserve"> While certain digital-first platforms own and manage inventory, we distinguish them from traditional retailers because digital-first platforms are purpose built to operate eCommerce businesses. We believe this data highlights the strength of digital-first platforms in delivery, and that pickup is a large and untapped opportunity for digital-first platforms.</w:t>
      </w:r>
    </w:p>
    <w:p>
      <w:pPr>
        <w:spacing w:after="0" w:line="194"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combination of Instacart Marketplace and Instacart Enterprise Platform enables us to power online transactions across channel types, whether orders are placed on Instacart Marketplace or on our retail partners’ owned and operated online storefronts. This advantage results in our leading share of sales among the digital-first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78740</wp:posOffset>
            </wp:positionV>
            <wp:extent cx="7239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7" w:lineRule="exact"/>
        <w:rPr>
          <w:sz w:val="20"/>
          <w:szCs w:val="20"/>
          <w:color w:val="auto"/>
        </w:rPr>
      </w:pPr>
    </w:p>
    <w:p>
      <w:pPr>
        <w:ind w:left="860" w:hanging="403"/>
        <w:spacing w:after="0"/>
        <w:tabs>
          <w:tab w:leader="none" w:pos="860" w:val="left"/>
        </w:tabs>
        <w:numPr>
          <w:ilvl w:val="0"/>
          <w:numId w:val="156"/>
        </w:numPr>
        <w:rPr>
          <w:rFonts w:ascii="Arial" w:cs="Arial" w:eastAsia="Arial" w:hAnsi="Arial"/>
          <w:sz w:val="10"/>
          <w:szCs w:val="10"/>
          <w:color w:val="auto"/>
        </w:rPr>
      </w:pPr>
      <w:r>
        <w:rPr>
          <w:rFonts w:ascii="Arial" w:cs="Arial" w:eastAsia="Arial" w:hAnsi="Arial"/>
          <w:sz w:val="13"/>
          <w:szCs w:val="13"/>
          <w:color w:val="auto"/>
        </w:rPr>
        <w:t>Incisiv.</w:t>
      </w:r>
    </w:p>
    <w:p>
      <w:pPr>
        <w:spacing w:after="0" w:line="1" w:lineRule="exact"/>
        <w:rPr>
          <w:rFonts w:ascii="Arial" w:cs="Arial" w:eastAsia="Arial" w:hAnsi="Arial"/>
          <w:sz w:val="10"/>
          <w:szCs w:val="10"/>
          <w:color w:val="auto"/>
        </w:rPr>
      </w:pPr>
    </w:p>
    <w:p>
      <w:pPr>
        <w:ind w:left="860" w:hanging="403"/>
        <w:spacing w:after="0" w:line="242" w:lineRule="auto"/>
        <w:tabs>
          <w:tab w:leader="none" w:pos="860" w:val="left"/>
        </w:tabs>
        <w:numPr>
          <w:ilvl w:val="0"/>
          <w:numId w:val="156"/>
        </w:numPr>
        <w:rPr>
          <w:rFonts w:ascii="Arial" w:cs="Arial" w:eastAsia="Arial" w:hAnsi="Arial"/>
          <w:sz w:val="9"/>
          <w:szCs w:val="9"/>
          <w:color w:val="auto"/>
        </w:rPr>
      </w:pPr>
      <w:r>
        <w:rPr>
          <w:rFonts w:ascii="Arial" w:cs="Arial" w:eastAsia="Arial" w:hAnsi="Arial"/>
          <w:sz w:val="12"/>
          <w:szCs w:val="12"/>
          <w:color w:val="auto"/>
        </w:rPr>
        <w:t>Based on data provided by YipitData. For the period from July 1, 2022 to June 30, 2023. Sales data are based on email receipts for online transactions from select U.S. grocery retailers for which representative data were available to YipitData, as well as online transactions from select online grocery platforms, including Instacart. YipitData’s affiliate collects the email receipts from consumers who have opted to provide YipitData’s affiliate with access to such receipts. YipitData’s affiliate does not apply any other selection criteria or parameters for which consumers can opt in and provide data. While the number of consumers providing data to YipitData’s affiliate fluctuates over time depending on various factors, including which consumers have opted in, over the time period for which data were collected, the total number was greater than 1,000,000 consumers. For Instacart, the data exclude transactions on retailers’ owned and operated online storefronts powered by Storefront Pro and Instacart APIs and include transactions on retailers’ owned and operated online storefronts powered by Storefront. The data also reflect certain additional adjustments for non-representative transactions (such as duplicate orders) and overrepresented geographies. Because the data are based only on email purchase receipts from consumers who have opted to provide data to YipitData’s affiliate, the data represent only a sample of consumers and may not be representative of online sales for all consumers on each platform or at each retailer for the measurement period.</w:t>
      </w:r>
    </w:p>
    <w:p>
      <w:pPr>
        <w:spacing w:after="0" w:line="1" w:lineRule="exact"/>
        <w:rPr>
          <w:rFonts w:ascii="Arial" w:cs="Arial" w:eastAsia="Arial" w:hAnsi="Arial"/>
          <w:sz w:val="9"/>
          <w:szCs w:val="9"/>
          <w:color w:val="auto"/>
        </w:rPr>
      </w:pPr>
    </w:p>
    <w:p>
      <w:pPr>
        <w:ind w:left="860" w:hanging="403"/>
        <w:spacing w:after="0" w:line="223" w:lineRule="auto"/>
        <w:tabs>
          <w:tab w:leader="none" w:pos="860" w:val="left"/>
        </w:tabs>
        <w:numPr>
          <w:ilvl w:val="0"/>
          <w:numId w:val="156"/>
        </w:numPr>
        <w:rPr>
          <w:rFonts w:ascii="Arial" w:cs="Arial" w:eastAsia="Arial" w:hAnsi="Arial"/>
          <w:sz w:val="10"/>
          <w:szCs w:val="10"/>
          <w:color w:val="auto"/>
        </w:rPr>
      </w:pPr>
      <w:r>
        <w:rPr>
          <w:rFonts w:ascii="Arial" w:cs="Arial" w:eastAsia="Arial" w:hAnsi="Arial"/>
          <w:sz w:val="13"/>
          <w:szCs w:val="13"/>
          <w:color w:val="auto"/>
        </w:rPr>
        <w:t>YipitData. See footnote 126 for additional information.</w:t>
      </w:r>
    </w:p>
    <w:p>
      <w:pPr>
        <w:ind w:left="860" w:hanging="403"/>
        <w:spacing w:after="0"/>
        <w:tabs>
          <w:tab w:leader="none" w:pos="860" w:val="left"/>
        </w:tabs>
        <w:numPr>
          <w:ilvl w:val="0"/>
          <w:numId w:val="156"/>
        </w:numPr>
        <w:rPr>
          <w:rFonts w:ascii="Arial" w:cs="Arial" w:eastAsia="Arial" w:hAnsi="Arial"/>
          <w:sz w:val="10"/>
          <w:szCs w:val="10"/>
          <w:color w:val="auto"/>
        </w:rPr>
      </w:pPr>
      <w:r>
        <w:rPr>
          <w:rFonts w:ascii="Arial" w:cs="Arial" w:eastAsia="Arial" w:hAnsi="Arial"/>
          <w:sz w:val="13"/>
          <w:szCs w:val="13"/>
          <w:color w:val="auto"/>
        </w:rPr>
        <w:t>YipitData. See footnote 126 for additional information.</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780"/>
          </w:cols>
          <w:pgMar w:left="320" w:top="440" w:right="79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60"/>
        <w:spacing w:after="0" w:line="268" w:lineRule="auto"/>
        <w:rPr>
          <w:sz w:val="20"/>
          <w:szCs w:val="20"/>
          <w:color w:val="auto"/>
        </w:rPr>
      </w:pPr>
      <w:r>
        <w:rPr>
          <w:rFonts w:ascii="Arial" w:cs="Arial" w:eastAsia="Arial" w:hAnsi="Arial"/>
          <w:sz w:val="15"/>
          <w:szCs w:val="15"/>
          <w:color w:val="auto"/>
        </w:rPr>
        <w:t>platforms that represent 30% of online grocery sales.</w:t>
      </w:r>
      <w:r>
        <w:rPr>
          <w:rFonts w:ascii="Arial" w:cs="Arial" w:eastAsia="Arial" w:hAnsi="Arial"/>
          <w:sz w:val="22"/>
          <w:szCs w:val="22"/>
          <w:color w:val="auto"/>
          <w:vertAlign w:val="superscript"/>
        </w:rPr>
        <w:t>129</w:t>
      </w:r>
      <w:r>
        <w:rPr>
          <w:rFonts w:ascii="Arial" w:cs="Arial" w:eastAsia="Arial" w:hAnsi="Arial"/>
          <w:sz w:val="15"/>
          <w:szCs w:val="15"/>
          <w:color w:val="auto"/>
        </w:rPr>
        <w:t xml:space="preserve"> Our broader Instacart Enterprise Platform allows us to serve the other 70% of online grocery sales, powering our retail partners’ owned and operated online storefronts and helping them grow their share of online grocery sales.</w:t>
      </w:r>
      <w:r>
        <w:rPr>
          <w:rFonts w:ascii="Arial" w:cs="Arial" w:eastAsia="Arial" w:hAnsi="Arial"/>
          <w:sz w:val="22"/>
          <w:szCs w:val="22"/>
          <w:color w:val="auto"/>
          <w:vertAlign w:val="superscript"/>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51435</wp:posOffset>
            </wp:positionV>
            <wp:extent cx="5717540" cy="24765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17540"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0" w:hanging="403"/>
        <w:spacing w:after="0" w:line="249" w:lineRule="auto"/>
        <w:tabs>
          <w:tab w:leader="none" w:pos="86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Based on data provided by YipitData. For the period from July 1, 2022 to June 30, 2023. Sales data are based on email receipts for online transactions from select U.S. grocery retailers for which representative data were available to YipitData, as well as online transactions from select online grocery platforms, including Instacart. YipitData’s affiliate collects the email receipts from consumers who have opted to provide YipitData’s affiliate with access to such receipts. YipitData’s affiliate does not apply any other selection criteria or parameters for which consumers can opt in and provide data. While the number of consumers providing data to YipitData’s affiliate fluctuates over time depending on various factors, including which consumers have opted in, over the time period for which data were collected, the total number was greater than 1,000,000 consumers. For Instacart, the data exclude transactions on retailers’ owned and operated online storefronts powered by Storefront Pro and Instacart APIs and include transactions on retailers’ owned and operated online storefronts powered by Storefront. The data also reflect certain additional adjustments for non-representative transactions (such as duplicate orders) and overrepresented geographies. Because the data are based only on email purchase receipts from consumers who have opted to provide data to YipitData’s affiliate, the data represent only a sample of consumers and may not be representative of online sales for all consumers on each platform or at each retailer for the measurement period.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 of Sales among Digital-First Platforms</w:t>
      </w:r>
    </w:p>
    <w:p>
      <w:pPr>
        <w:spacing w:after="0" w:line="108"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For purposes of evaluating our share of sales in smaller and larger order sizes, relative to certain other digital-first platforms, we focus on the portion of the online grocery segment that consists of digital-first platforms. We make a distinction between digital-first platforms that own and manage inventory from traditional retailers because such digital-first platforms are purpose built to operate eCommerce businesses and include our competition. On the other hand, traditional retailers represent current or future partners of Instacart.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charts below show the shares of sales by order value among select digital-first platforms in the United States based on third-party data.</w:t>
      </w:r>
    </w:p>
    <w:p>
      <w:pPr>
        <w:spacing w:after="0" w:line="221"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This data illustrates that the sales volume of our retail partners generated through Instacart Marketplace and Storefront represents the leading share of sales based on total online grocery sales in the United States of the digital-first platforms included in this analysis in both larger and smaller order sizes, representing nearly 74% of orders greater than $75 and nearly 56% of orders less than $75. In both instances, we have partnered with our retailers to help them grow their share of online grocery sales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73660</wp:posOffset>
            </wp:positionV>
            <wp:extent cx="7239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8" w:lineRule="exact"/>
        <w:rPr>
          <w:sz w:val="20"/>
          <w:szCs w:val="20"/>
          <w:color w:val="auto"/>
        </w:rPr>
      </w:pPr>
    </w:p>
    <w:p>
      <w:pPr>
        <w:ind w:left="860" w:hanging="403"/>
        <w:spacing w:after="0"/>
        <w:tabs>
          <w:tab w:leader="none" w:pos="860" w:val="left"/>
        </w:tabs>
        <w:numPr>
          <w:ilvl w:val="0"/>
          <w:numId w:val="158"/>
        </w:numPr>
        <w:rPr>
          <w:rFonts w:ascii="Arial" w:cs="Arial" w:eastAsia="Arial" w:hAnsi="Arial"/>
          <w:sz w:val="10"/>
          <w:szCs w:val="10"/>
          <w:color w:val="auto"/>
        </w:rPr>
      </w:pPr>
      <w:r>
        <w:rPr>
          <w:rFonts w:ascii="Arial" w:cs="Arial" w:eastAsia="Arial" w:hAnsi="Arial"/>
          <w:sz w:val="13"/>
          <w:szCs w:val="13"/>
          <w:color w:val="auto"/>
        </w:rPr>
        <w:t>YipitData. See footnote 126 for additional information.</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158"/>
        </w:numPr>
        <w:rPr>
          <w:rFonts w:ascii="Arial" w:cs="Arial" w:eastAsia="Arial" w:hAnsi="Arial"/>
          <w:sz w:val="10"/>
          <w:szCs w:val="10"/>
          <w:color w:val="auto"/>
        </w:rPr>
      </w:pPr>
      <w:r>
        <w:rPr>
          <w:rFonts w:ascii="Arial" w:cs="Arial" w:eastAsia="Arial" w:hAnsi="Arial"/>
          <w:sz w:val="13"/>
          <w:szCs w:val="13"/>
          <w:color w:val="auto"/>
        </w:rPr>
        <w:t>YipitData. See footnote 126 for additional information.</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80"/>
          </w:cols>
          <w:pgMar w:left="320" w:top="440" w:right="79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We believe this is an indicator of our ability to help retailers meet their customers preferences for how and where they want to shop by supporting a wide array of fulfillment options, shopping occasions, and categories. Our retailers are particularly strong in large orders over $75, representing nearly 74% of the aggregate sales of the digital-first platforms included in this analysis. We view this as an important competitive advantage because larger order values are structurally more profitable for us, including because costs such as shopper earnings, customer incentives, promotions, appeasement credits, refunds, hosting, cancellations, and redeliveries are allocated across a larger average order value. This allows us to drive greater gross profit dollars on a per order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2407285</wp:posOffset>
            </wp:positionV>
            <wp:extent cx="7239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hanging="403"/>
        <w:spacing w:after="0" w:line="228" w:lineRule="auto"/>
        <w:tabs>
          <w:tab w:leader="none" w:pos="86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Based on data provided by YipitData. For the period from January 1, 2020 to June 30, 2023. Order value data are based on email receipts for online transactions from select online grocery platforms, including Instacart. YipitData’s affiliate collects the email receipts from a panel of consumers who have opted to provide YipitData’s affiliate with access to such receipts. YipitData’s affiliate does not apply any other selection criteria or parameters for which consumers can opt in and provide data. While the number of consumers providing data to YipitData’s affiliate fluctuates over time depending on various factors, including which consumers have opted in, over the time period for which data were collected, the total number was greater than 1,000,000 consumers. Order values for each platform include total amounts paid as derived from the email receipts, including item subtotals, fees, taxes, and tips as well as discounts, as determined by YipitData. Data include transactions for online grocery and convenience, including both delivery and pickup orders. For Instacart, the data exclude transactions on retailers’ owned and operated online storefronts powered by Storefront Pro and Instacart APIs as described in the following footnote, and include transactions on retailers’ owned and operated online storefronts powered by Storefront. The data also reflect certain additional adjustments for non-representative transactions (such as duplicate orders) and overrepresented geographies. Because the order values are based only on email purchase receipts from consumers who have opted to provide data to YipitData’s affiliate, the data represent only a sample of consumers on each online platform and may not be representative of order values for all consumers on each platform or at each retailer for the measurement period.</w:t>
      </w:r>
    </w:p>
    <w:p>
      <w:pPr>
        <w:spacing w:after="0" w:line="84" w:lineRule="exact"/>
        <w:rPr>
          <w:rFonts w:ascii="Arial" w:cs="Arial" w:eastAsia="Arial" w:hAnsi="Arial"/>
          <w:sz w:val="13"/>
          <w:szCs w:val="13"/>
          <w:color w:val="auto"/>
        </w:rPr>
      </w:pPr>
    </w:p>
    <w:p>
      <w:pPr>
        <w:ind w:left="860" w:right="140" w:hanging="403"/>
        <w:spacing w:after="0" w:line="262" w:lineRule="auto"/>
        <w:tabs>
          <w:tab w:leader="none" w:pos="8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YipitData identifies order values based on email receipts from consumers who have opted to provide YipitData’s affiliate with access to such receipts. Consumer transactions on our retailers’ owned and operated online storefronts powered by Storefront Pro (our more customizable eCommerce storefront offering) and Instacart APIs (our fulfillment APIs that are embedded in retailers’ own eCommerce storefronts), two of our Instacart Enterprise Platform offerings, cannot be identified as Instacart-related transactions on email receipts. As a result, such transactions are not counted as Instacart orders for purposes of the charts above and are attributed to GTV of our retail partners instead.</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Challenges for CPG Brands</w:t>
      </w:r>
    </w:p>
    <w:p>
      <w:pPr>
        <w:spacing w:after="0" w:line="108" w:lineRule="exact"/>
        <w:rPr>
          <w:sz w:val="20"/>
          <w:szCs w:val="20"/>
          <w:color w:val="auto"/>
        </w:rPr>
      </w:pPr>
    </w:p>
    <w:p>
      <w:pPr>
        <w:jc w:val="both"/>
        <w:ind w:left="460" w:right="140" w:firstLine="413"/>
        <w:spacing w:after="0" w:line="311" w:lineRule="auto"/>
        <w:rPr>
          <w:sz w:val="20"/>
          <w:szCs w:val="20"/>
          <w:color w:val="auto"/>
        </w:rPr>
      </w:pPr>
      <w:r>
        <w:rPr>
          <w:rFonts w:ascii="Arial" w:cs="Arial" w:eastAsia="Arial" w:hAnsi="Arial"/>
          <w:sz w:val="15"/>
          <w:szCs w:val="15"/>
          <w:color w:val="auto"/>
        </w:rPr>
        <w:t>For many commerce categories, digital advertising has provided significant advantages — from precise targeting, to the ability for consumers to take immediate action on the ads, to exceptional measurement tools. For CPG brands, there has not yet been an advertising solution that combines the actionability and measurability of digital advertising with the ability to move products off the shelves at grocery retail stores.</w:t>
      </w:r>
    </w:p>
    <w:p>
      <w:pPr>
        <w:spacing w:after="0" w:line="14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As grocery moves online, CPG brands increasingly need to drive sales through digital channels. Brands have lacked access to a solution that runs a full-funnel marketing strategy purpose-built for online grocery. This is relevant</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760"/>
          </w:cols>
          <w:pgMar w:left="320" w:top="440" w:right="81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00"/>
        <w:spacing w:after="0" w:line="256" w:lineRule="auto"/>
        <w:rPr>
          <w:sz w:val="20"/>
          <w:szCs w:val="20"/>
          <w:color w:val="auto"/>
        </w:rPr>
      </w:pPr>
      <w:r>
        <w:rPr>
          <w:rFonts w:ascii="Arial" w:cs="Arial" w:eastAsia="Arial" w:hAnsi="Arial"/>
          <w:sz w:val="17"/>
          <w:szCs w:val="17"/>
          <w:color w:val="auto"/>
        </w:rPr>
        <w:t>for brands of all sizes, as even the most established brands must maintain mind share as consumers move online or risk being disrupted by emerging digital-first brands. Emerging brands face their own unique challenges in driving discovery through the traditional in-store model. Brands have historically lacked access to omni-channel insights to drive product development decisions, such as which items are selling and what consumers are searching for.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Instacart’s Role</w:t>
      </w:r>
    </w:p>
    <w:p>
      <w:pPr>
        <w:spacing w:after="0" w:line="108" w:lineRule="exact"/>
        <w:rPr>
          <w:sz w:val="20"/>
          <w:szCs w:val="20"/>
          <w:color w:val="auto"/>
        </w:rPr>
      </w:pPr>
    </w:p>
    <w:p>
      <w:pPr>
        <w:jc w:val="both"/>
        <w:ind w:left="460" w:right="220" w:firstLine="413"/>
        <w:spacing w:after="0" w:line="260" w:lineRule="auto"/>
        <w:rPr>
          <w:sz w:val="20"/>
          <w:szCs w:val="20"/>
          <w:color w:val="auto"/>
        </w:rPr>
      </w:pPr>
      <w:r>
        <w:rPr>
          <w:rFonts w:ascii="Arial" w:cs="Arial" w:eastAsia="Arial" w:hAnsi="Arial"/>
          <w:sz w:val="17"/>
          <w:szCs w:val="17"/>
          <w:color w:val="auto"/>
        </w:rPr>
        <w:t>We believe we can continue to lead the way in grocery innovation by offering a set of modular technology solutions to retailers, customers, and brands. Retailers across consumer verticals are facing similar hurdles, though the challenges we are solving for are particularly acute in grocery. This provides us with a significant opportunity to power the future of grocery.</w:t>
      </w: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Instacart Technology</w:t>
      </w:r>
    </w:p>
    <w:p>
      <w:pPr>
        <w:spacing w:after="0" w:line="214" w:lineRule="exact"/>
        <w:rPr>
          <w:sz w:val="20"/>
          <w:szCs w:val="20"/>
          <w:color w:val="auto"/>
        </w:rPr>
      </w:pPr>
    </w:p>
    <w:p>
      <w:pPr>
        <w:ind w:left="460" w:firstLine="413"/>
        <w:spacing w:after="0" w:line="273" w:lineRule="auto"/>
        <w:rPr>
          <w:sz w:val="20"/>
          <w:szCs w:val="20"/>
          <w:color w:val="auto"/>
        </w:rPr>
      </w:pPr>
      <w:r>
        <w:rPr>
          <w:rFonts w:ascii="Arial" w:cs="Arial" w:eastAsia="Arial" w:hAnsi="Arial"/>
          <w:sz w:val="15"/>
          <w:szCs w:val="15"/>
          <w:color w:val="auto"/>
        </w:rPr>
        <w:t>We built Instacart to serve the entire grocery ecosystem. The key pillars of our technology are Instacart Marketplace, Instacart Enterprise Platform, and Instacart Ads. Our solutions are underpinned by a shared foundation of technology, infrastructure, data insights, and fulfillment that leverages our scale and expertise specific to the grocery category. Our technology solutions are better together. Instacart Marketplace is the largest online grocery marketplace in North America and has powered hundreds of millions of orders placed by millions of customers.</w:t>
      </w:r>
      <w:r>
        <w:rPr>
          <w:rFonts w:ascii="Arial" w:cs="Arial" w:eastAsia="Arial" w:hAnsi="Arial"/>
          <w:sz w:val="22"/>
          <w:szCs w:val="22"/>
          <w:color w:val="auto"/>
          <w:vertAlign w:val="superscript"/>
        </w:rPr>
        <w:t>131</w:t>
      </w:r>
      <w:r>
        <w:rPr>
          <w:rFonts w:ascii="Arial" w:cs="Arial" w:eastAsia="Arial" w:hAnsi="Arial"/>
          <w:sz w:val="15"/>
          <w:szCs w:val="15"/>
          <w:color w:val="auto"/>
        </w:rPr>
        <w:t xml:space="preserve"> This scale gives us unique insights into customer buying behavior, needs, and trends across the entire grocery industry in North America. We then utilize these insights to enhance Instacart Enterprise Platform, ensuring retailers can best meet their customers’ needs on their owned and operated online storefronts. Similarly, Instacart Enterprise Platform enhances Instacart Marketplace, as our deep integration with retailers allows us to expand marketplace capabilities for our customers. For example, as we integrate more deeply with our retail partners, we give them the ability to offer more fulfillment options, get more control over their brand, generate new revenue streams via Carrot Ads and Marketing Solutions, and integrate their own loyalty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-12700</wp:posOffset>
            </wp:positionV>
            <wp:extent cx="4639945" cy="19297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63994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As we continue to scale and refine our technology and data insights across Instacart Marketplace and Instacart Enterprise Platform, our algorithms also continue to improve to provide significant benefits for all of our constituents. We believe these benefits can drive both growth and operational efficiencies in our business that contribute to margin expansion.</w:t>
      </w:r>
    </w:p>
    <w:p>
      <w:pPr>
        <w:spacing w:after="0" w:line="87" w:lineRule="exact"/>
        <w:rPr>
          <w:sz w:val="20"/>
          <w:szCs w:val="20"/>
          <w:color w:val="auto"/>
        </w:rPr>
      </w:pPr>
    </w:p>
    <w:p>
      <w:pPr>
        <w:ind w:left="1360" w:right="40" w:hanging="396"/>
        <w:spacing w:after="0" w:line="272"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For Retailers. </w:t>
      </w:r>
      <w:r>
        <w:rPr>
          <w:rFonts w:ascii="Arial" w:cs="Arial" w:eastAsia="Arial" w:hAnsi="Arial"/>
          <w:sz w:val="17"/>
          <w:szCs w:val="17"/>
          <w:color w:val="auto"/>
        </w:rPr>
        <w:t>Actionable business insights that empower retailers to make better informed decisions about assortment, inventory, quantity,</w:t>
      </w:r>
      <w:r>
        <w:rPr>
          <w:rFonts w:ascii="Arial" w:cs="Arial" w:eastAsia="Arial" w:hAnsi="Arial"/>
          <w:sz w:val="17"/>
          <w:szCs w:val="17"/>
          <w:i w:val="1"/>
          <w:iCs w:val="1"/>
          <w:color w:val="auto"/>
        </w:rPr>
        <w:t xml:space="preserve"> </w:t>
      </w:r>
      <w:r>
        <w:rPr>
          <w:rFonts w:ascii="Arial" w:cs="Arial" w:eastAsia="Arial" w:hAnsi="Arial"/>
          <w:sz w:val="17"/>
          <w:szCs w:val="17"/>
          <w:color w:val="auto"/>
        </w:rPr>
        <w:t>and replenishment.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72390</wp:posOffset>
            </wp:positionV>
            <wp:extent cx="7239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6" w:lineRule="exact"/>
        <w:rPr>
          <w:sz w:val="20"/>
          <w:szCs w:val="20"/>
          <w:color w:val="auto"/>
        </w:rPr>
      </w:pPr>
    </w:p>
    <w:p>
      <w:pPr>
        <w:ind w:left="860" w:hanging="403"/>
        <w:spacing w:after="0"/>
        <w:tabs>
          <w:tab w:leader="none" w:pos="860" w:val="left"/>
        </w:tabs>
        <w:numPr>
          <w:ilvl w:val="0"/>
          <w:numId w:val="161"/>
        </w:numPr>
        <w:rPr>
          <w:rFonts w:ascii="Arial" w:cs="Arial" w:eastAsia="Arial" w:hAnsi="Arial"/>
          <w:sz w:val="10"/>
          <w:szCs w:val="10"/>
          <w:color w:val="auto"/>
        </w:rPr>
      </w:pPr>
      <w:r>
        <w:rPr>
          <w:rFonts w:ascii="Arial" w:cs="Arial" w:eastAsia="Arial" w:hAnsi="Arial"/>
          <w:sz w:val="13"/>
          <w:szCs w:val="13"/>
          <w:color w:val="auto"/>
        </w:rPr>
        <w:t>Based on GTV generated on Instacart and total grocery sales in 2022.</w:t>
      </w:r>
    </w:p>
    <w:p>
      <w:pPr>
        <w:spacing w:after="0" w:line="13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780"/>
          </w:cols>
          <w:pgMar w:left="320" w:top="440" w:right="79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220" w:hanging="396"/>
        <w:spacing w:after="0" w:line="272" w:lineRule="auto"/>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For Customers. </w:t>
      </w:r>
      <w:r>
        <w:rPr>
          <w:rFonts w:ascii="Arial" w:cs="Arial" w:eastAsia="Arial" w:hAnsi="Arial"/>
          <w:sz w:val="17"/>
          <w:szCs w:val="17"/>
          <w:color w:val="auto"/>
        </w:rPr>
        <w:t>Better search results, intelligent replacements, more seamless checkout flows, and greater personalization that promotes</w:t>
      </w:r>
      <w:r>
        <w:rPr>
          <w:rFonts w:ascii="Arial" w:cs="Arial" w:eastAsia="Arial" w:hAnsi="Arial"/>
          <w:sz w:val="17"/>
          <w:szCs w:val="17"/>
          <w:i w:val="1"/>
          <w:iCs w:val="1"/>
          <w:color w:val="auto"/>
        </w:rPr>
        <w:t xml:space="preserve"> </w:t>
      </w:r>
      <w:r>
        <w:rPr>
          <w:rFonts w:ascii="Arial" w:cs="Arial" w:eastAsia="Arial" w:hAnsi="Arial"/>
          <w:sz w:val="17"/>
          <w:szCs w:val="17"/>
          <w:color w:val="auto"/>
        </w:rPr>
        <w:t>engagement.</w:t>
      </w:r>
    </w:p>
    <w:p>
      <w:pPr>
        <w:spacing w:after="0" w:line="76" w:lineRule="exact"/>
        <w:rPr>
          <w:rFonts w:ascii="Arial" w:cs="Arial" w:eastAsia="Arial" w:hAnsi="Arial"/>
          <w:sz w:val="17"/>
          <w:szCs w:val="17"/>
          <w:color w:val="auto"/>
        </w:rPr>
      </w:pPr>
    </w:p>
    <w:p>
      <w:pPr>
        <w:ind w:left="1360" w:right="200" w:hanging="396"/>
        <w:spacing w:after="0" w:line="272" w:lineRule="auto"/>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For Brands. </w:t>
      </w:r>
      <w:r>
        <w:rPr>
          <w:rFonts w:ascii="Arial" w:cs="Arial" w:eastAsia="Arial" w:hAnsi="Arial"/>
          <w:sz w:val="17"/>
          <w:szCs w:val="17"/>
          <w:color w:val="auto"/>
        </w:rPr>
        <w:t>More measurable and targeted ads offerings that deliver higher returns and draw more brands to Instacart Ads, which yields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for Instacart Marketplace and Instacart Enterprise Platform.</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For Shoppers. </w:t>
      </w:r>
      <w:r>
        <w:rPr>
          <w:rFonts w:ascii="Arial" w:cs="Arial" w:eastAsia="Arial" w:hAnsi="Arial"/>
          <w:sz w:val="17"/>
          <w:szCs w:val="17"/>
          <w:color w:val="auto"/>
        </w:rPr>
        <w:t>More seamless and efficient delivery, leading to greater shopper satisfaction and earnings opportunities.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Instacart Marketplace</w:t>
      </w:r>
    </w:p>
    <w:p>
      <w:pPr>
        <w:spacing w:after="0" w:line="108" w:lineRule="exact"/>
        <w:rPr>
          <w:sz w:val="20"/>
          <w:szCs w:val="20"/>
          <w:color w:val="auto"/>
        </w:rPr>
      </w:pPr>
    </w:p>
    <w:p>
      <w:pPr>
        <w:ind w:left="460" w:right="40" w:firstLine="413"/>
        <w:spacing w:after="0" w:line="235" w:lineRule="auto"/>
        <w:rPr>
          <w:sz w:val="20"/>
          <w:szCs w:val="20"/>
          <w:color w:val="auto"/>
        </w:rPr>
      </w:pPr>
      <w:r>
        <w:rPr>
          <w:rFonts w:ascii="Arial" w:cs="Arial" w:eastAsia="Arial" w:hAnsi="Arial"/>
          <w:sz w:val="17"/>
          <w:szCs w:val="17"/>
          <w:color w:val="auto"/>
        </w:rPr>
        <w:t>We launched Instacart Marketplace in 2012 and quickly became the first company to make online grocery shopping affordable and accessible to households across North America. Over the next decade, we built partnerships with more than 1,400 retail banners with more than 80,000 stores serving millions of households with same-day delivery.</w:t>
      </w:r>
      <w:r>
        <w:rPr>
          <w:rFonts w:ascii="Arial" w:cs="Arial" w:eastAsia="Arial" w:hAnsi="Arial"/>
          <w:sz w:val="25"/>
          <w:szCs w:val="25"/>
          <w:color w:val="auto"/>
          <w:vertAlign w:val="superscript"/>
        </w:rPr>
        <w:t>132</w:t>
      </w:r>
      <w:r>
        <w:rPr>
          <w:rFonts w:ascii="Arial" w:cs="Arial" w:eastAsia="Arial" w:hAnsi="Arial"/>
          <w:sz w:val="17"/>
          <w:szCs w:val="17"/>
          <w:color w:val="auto"/>
        </w:rPr>
        <w:t xml:space="preserve"> We focused on allowing customers to shop from grocers they trust while creating a differentiated customer experience. Today, through Instacart Marketplace, we help customers find their favorite products, provide an innovative ad business that inspires people to try new brands, connect customers to our dedicated shopper community, and help retailers and customers build deeper relationships. We help retailers serve their customers’ needs as to how and where they want to shop by supporting a wide array of fulfillment options, shopping occasions, and categories.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Instacart Enterprise Platform</w:t>
      </w:r>
    </w:p>
    <w:p>
      <w:pPr>
        <w:spacing w:after="0" w:line="108" w:lineRule="exact"/>
        <w:rPr>
          <w:sz w:val="20"/>
          <w:szCs w:val="20"/>
          <w:color w:val="auto"/>
        </w:rPr>
      </w:pPr>
    </w:p>
    <w:p>
      <w:pPr>
        <w:ind w:left="460" w:right="200" w:firstLine="413"/>
        <w:spacing w:after="0" w:line="311" w:lineRule="auto"/>
        <w:rPr>
          <w:sz w:val="20"/>
          <w:szCs w:val="20"/>
          <w:color w:val="auto"/>
        </w:rPr>
      </w:pPr>
      <w:r>
        <w:rPr>
          <w:rFonts w:ascii="Arial" w:cs="Arial" w:eastAsia="Arial" w:hAnsi="Arial"/>
          <w:sz w:val="15"/>
          <w:szCs w:val="15"/>
          <w:color w:val="auto"/>
        </w:rPr>
        <w:t>Instacart Enterprise Platform is an end-to-end technology solution that powers retailers across all aspects of their business. Our offerings are modular, allowing retail partners to pick and choose which technologies best fit their needs. These solutions work seamlessly together, so retailers can more efficiently integrate with Instacart than they can with multiple separate technologies. Key components of Instacart Enterprise Platform include:</w:t>
      </w:r>
    </w:p>
    <w:p>
      <w:pPr>
        <w:sectPr>
          <w:pgSz w:w="11900" w:h="16838" w:orient="portrait"/>
          <w:cols w:equalWidth="0" w:num="1">
            <w:col w:w="10780"/>
          </w:cols>
          <w:pgMar w:left="320" w:top="440" w:right="799" w:bottom="1440" w:gutter="0" w:footer="0" w:header="0"/>
        </w:sectPr>
      </w:pPr>
    </w:p>
    <w:p>
      <w:pPr>
        <w:spacing w:after="0" w:line="5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340" w:lineRule="auto"/>
        <w:rPr>
          <w:sz w:val="20"/>
          <w:szCs w:val="20"/>
          <w:color w:val="auto"/>
        </w:rPr>
      </w:pPr>
      <w:r>
        <w:rPr>
          <w:rFonts w:ascii="Arial" w:cs="Arial" w:eastAsia="Arial" w:hAnsi="Arial"/>
          <w:sz w:val="15"/>
          <w:szCs w:val="15"/>
          <w:i w:val="1"/>
          <w:iCs w:val="1"/>
          <w:color w:val="auto"/>
        </w:rPr>
        <w:t>eCommerce</w:t>
      </w:r>
      <w:r>
        <w:rPr>
          <w:rFonts w:ascii="Arial" w:cs="Arial" w:eastAsia="Arial" w:hAnsi="Arial"/>
          <w:sz w:val="15"/>
          <w:szCs w:val="15"/>
          <w:color w:val="auto"/>
        </w:rPr>
        <w:t>. We power world class eCommerce storefronts for more than 550 retail banners,</w:t>
      </w:r>
      <w:r>
        <w:rPr>
          <w:rFonts w:ascii="Arial" w:cs="Arial" w:eastAsia="Arial" w:hAnsi="Arial"/>
          <w:sz w:val="11"/>
          <w:szCs w:val="11"/>
          <w:color w:val="auto"/>
        </w:rPr>
        <w:t>133</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discovery tools, to merchandising, to different payment models, to loyalty-as-a-service.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 and services, from</w:t>
      </w:r>
    </w:p>
    <w:p>
      <w:pPr>
        <w:spacing w:after="0" w:line="347" w:lineRule="exact"/>
        <w:rPr>
          <w:sz w:val="20"/>
          <w:szCs w:val="20"/>
          <w:color w:val="auto"/>
        </w:rPr>
      </w:pPr>
    </w:p>
    <w:p>
      <w:pPr>
        <w:sectPr>
          <w:pgSz w:w="11900" w:h="16838" w:orient="portrait"/>
          <w:cols w:equalWidth="0" w:num="3">
            <w:col w:w="920" w:space="440"/>
            <w:col w:w="7120" w:space="560"/>
            <w:col w:w="1740"/>
          </w:cols>
          <w:pgMar w:left="320" w:top="440" w:right="799" w:bottom="1440" w:gutter="0" w:footer="0" w:header="0"/>
          <w:type w:val="continuous"/>
        </w:sectPr>
      </w:pPr>
    </w:p>
    <w:p>
      <w:pPr>
        <w:ind w:left="1360" w:hanging="498"/>
        <w:spacing w:after="0" w:line="256" w:lineRule="auto"/>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Fulfillment</w:t>
      </w:r>
      <w:r>
        <w:rPr>
          <w:rFonts w:ascii="Arial" w:cs="Arial" w:eastAsia="Arial" w:hAnsi="Arial"/>
          <w:sz w:val="17"/>
          <w:szCs w:val="17"/>
          <w:color w:val="auto"/>
        </w:rPr>
        <w:t>. We help retailers fulfill grocery orders directly from their stores through our community of dedicated shoppers. Retailers can</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 our fulfillment API, to help fulfill orders that are placed through their owned and operated online storefronts. In most instances, Instacart shoppers pick, pack, and deliver these orders, but retailers can also use our technology to enable orders that are picked and packed by their own employees.</w:t>
      </w:r>
    </w:p>
    <w:p>
      <w:pPr>
        <w:spacing w:after="0" w:line="90" w:lineRule="exact"/>
        <w:rPr>
          <w:rFonts w:ascii="Arial" w:cs="Arial" w:eastAsia="Arial" w:hAnsi="Arial"/>
          <w:sz w:val="17"/>
          <w:szCs w:val="17"/>
          <w:color w:val="auto"/>
        </w:rPr>
      </w:pPr>
    </w:p>
    <w:p>
      <w:pPr>
        <w:ind w:left="1360" w:hanging="498"/>
        <w:spacing w:after="0" w:line="303" w:lineRule="auto"/>
        <w:tabs>
          <w:tab w:leader="none" w:pos="136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 xml:space="preserve">Connected Stores. </w:t>
      </w:r>
      <w:r>
        <w:rPr>
          <w:rFonts w:ascii="Arial" w:cs="Arial" w:eastAsia="Arial" w:hAnsi="Arial"/>
          <w:sz w:val="16"/>
          <w:szCs w:val="16"/>
          <w:color w:val="auto"/>
        </w:rPr>
        <w:t>Instacart helps retailers create a unified, seamless, and personalized experience across their online and in-store footprints</w:t>
      </w:r>
      <w:r>
        <w:rPr>
          <w:rFonts w:ascii="Arial" w:cs="Arial" w:eastAsia="Arial" w:hAnsi="Arial"/>
          <w:sz w:val="16"/>
          <w:szCs w:val="16"/>
          <w:i w:val="1"/>
          <w:iCs w:val="1"/>
          <w:color w:val="auto"/>
        </w:rPr>
        <w:t xml:space="preserve"> </w:t>
      </w:r>
      <w:r>
        <w:rPr>
          <w:rFonts w:ascii="Arial" w:cs="Arial" w:eastAsia="Arial" w:hAnsi="Arial"/>
          <w:sz w:val="16"/>
          <w:szCs w:val="16"/>
          <w:color w:val="auto"/>
        </w:rPr>
        <w:t>by leveraging technologies like Caper Carts, Scan &amp; Pay, Lists, Carrot Tags, FoodStorm, and Out of Stock Insights.</w:t>
      </w:r>
    </w:p>
    <w:p>
      <w:pPr>
        <w:spacing w:after="0" w:line="54" w:lineRule="exact"/>
        <w:rPr>
          <w:rFonts w:ascii="Arial" w:cs="Arial" w:eastAsia="Arial" w:hAnsi="Arial"/>
          <w:sz w:val="16"/>
          <w:szCs w:val="16"/>
          <w:color w:val="auto"/>
        </w:rPr>
      </w:pPr>
    </w:p>
    <w:p>
      <w:pPr>
        <w:ind w:left="1360" w:right="140" w:hanging="498"/>
        <w:spacing w:after="0" w:line="272" w:lineRule="auto"/>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Ads</w:t>
      </w:r>
      <w:r>
        <w:rPr>
          <w:rFonts w:ascii="Arial" w:cs="Arial" w:eastAsia="Arial" w:hAnsi="Arial"/>
          <w:sz w:val="17"/>
          <w:szCs w:val="17"/>
          <w:color w:val="auto"/>
        </w:rPr>
        <w:t>. Carrot Ads, our enterprise ads offering, brings the best of Instacart Ads to retailers’ owned and operated online storefronts and apps.</w:t>
      </w:r>
      <w:r>
        <w:rPr>
          <w:rFonts w:ascii="Arial" w:cs="Arial" w:eastAsia="Arial" w:hAnsi="Arial"/>
          <w:sz w:val="17"/>
          <w:szCs w:val="17"/>
          <w:i w:val="1"/>
          <w:iCs w:val="1"/>
          <w:color w:val="auto"/>
        </w:rPr>
        <w:t xml:space="preserve"> </w:t>
      </w:r>
      <w:r>
        <w:rPr>
          <w:rFonts w:ascii="Arial" w:cs="Arial" w:eastAsia="Arial" w:hAnsi="Arial"/>
          <w:sz w:val="17"/>
          <w:szCs w:val="17"/>
          <w:color w:val="auto"/>
        </w:rPr>
        <w:t>This opens up new revenue streams for retailers and increases the profitability of online orders.</w:t>
      </w:r>
    </w:p>
    <w:p>
      <w:pPr>
        <w:spacing w:after="0" w:line="76" w:lineRule="exact"/>
        <w:rPr>
          <w:rFonts w:ascii="Arial" w:cs="Arial" w:eastAsia="Arial" w:hAnsi="Arial"/>
          <w:sz w:val="17"/>
          <w:szCs w:val="17"/>
          <w:color w:val="auto"/>
        </w:rPr>
      </w:pPr>
    </w:p>
    <w:p>
      <w:pPr>
        <w:ind w:left="1360" w:right="160" w:hanging="498"/>
        <w:spacing w:after="0" w:line="260" w:lineRule="auto"/>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Insights</w:t>
      </w:r>
      <w:r>
        <w:rPr>
          <w:rFonts w:ascii="Arial" w:cs="Arial" w:eastAsia="Arial" w:hAnsi="Arial"/>
          <w:sz w:val="17"/>
          <w:szCs w:val="17"/>
          <w:color w:val="auto"/>
        </w:rPr>
        <w:t>. Insights gives retailers near real-time visibility into their operations. By enabling visibility into key metrics like item popularity,</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levels and availability, order sizes, delivery times, delivery ratings, and sales, Insights helps retailers optimize operations and provide better customer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78740</wp:posOffset>
            </wp:positionV>
            <wp:extent cx="7239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7" w:lineRule="exact"/>
        <w:rPr>
          <w:sz w:val="20"/>
          <w:szCs w:val="20"/>
          <w:color w:val="auto"/>
        </w:rPr>
      </w:pPr>
    </w:p>
    <w:p>
      <w:pPr>
        <w:ind w:left="860" w:hanging="403"/>
        <w:spacing w:after="0"/>
        <w:tabs>
          <w:tab w:leader="none" w:pos="860" w:val="left"/>
        </w:tabs>
        <w:numPr>
          <w:ilvl w:val="0"/>
          <w:numId w:val="164"/>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164"/>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80"/>
          </w:cols>
          <w:pgMar w:left="320" w:top="440" w:right="79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Instacart Ads</w:t>
      </w:r>
    </w:p>
    <w:p>
      <w:pPr>
        <w:spacing w:after="0" w:line="108"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Instacart Ads combines the best of digital advertising — precision, actionability, and measurability — with the ability to directly move products off the shelves at stores, getting these products into the hands of customers within hours. Because it offers CPG brands a way to reach customers at the point of purchase and within minutes of delivery and consumption, our solution delivers highly measurable and strong ROI across all parts of the customer shopping journey, from awareness to consideration to purchase. We have a wide breadth of advertising solutions, including sponsored product, display ads, brand pages, and coupons, to meet all of our brand partners’ needs. Instacart Ads also enables brands to fully track customer behavior from discovery to purchase, offering valuable insights about how to optimize their advertising spend.</w:t>
      </w:r>
    </w:p>
    <w:p>
      <w:pPr>
        <w:spacing w:after="0" w:line="155" w:lineRule="exact"/>
        <w:rPr>
          <w:sz w:val="20"/>
          <w:szCs w:val="20"/>
          <w:color w:val="auto"/>
        </w:rPr>
      </w:pPr>
    </w:p>
    <w:p>
      <w:pPr>
        <w:ind w:left="460" w:right="100" w:firstLine="413"/>
        <w:spacing w:after="0" w:line="277" w:lineRule="auto"/>
        <w:rPr>
          <w:sz w:val="20"/>
          <w:szCs w:val="20"/>
          <w:color w:val="auto"/>
        </w:rPr>
      </w:pPr>
      <w:r>
        <w:rPr>
          <w:rFonts w:ascii="Arial" w:cs="Arial" w:eastAsia="Arial" w:hAnsi="Arial"/>
          <w:sz w:val="16"/>
          <w:szCs w:val="16"/>
          <w:color w:val="auto"/>
        </w:rPr>
        <w:t>We are not only building our advertising solutions to benefit brands, but also customers and retailers. We believe Instacart Ads delivers a superior shopping experience and pricing for customers by giving them access to thousands of deals and discounts, which in turn drives larger average order values for our retail partners. Retailers are also able to leverage Carrot Ads, an Instacart Enterprise Platform product that brings Instacart Ads to retailers’ own eCommerce sites and expands the customer reach available to our brand partners.</w:t>
      </w:r>
    </w:p>
    <w:p>
      <w:pPr>
        <w:spacing w:after="0" w:line="362"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Strengths</w:t>
      </w:r>
    </w:p>
    <w:p>
      <w:pPr>
        <w:spacing w:after="0" w:line="214" w:lineRule="exact"/>
        <w:rPr>
          <w:sz w:val="20"/>
          <w:szCs w:val="20"/>
          <w:color w:val="auto"/>
        </w:rPr>
      </w:pPr>
    </w:p>
    <w:p>
      <w:pPr>
        <w:ind w:left="460" w:right="520" w:firstLine="930"/>
        <w:spacing w:after="0" w:line="272" w:lineRule="auto"/>
        <w:rPr>
          <w:sz w:val="20"/>
          <w:szCs w:val="20"/>
          <w:color w:val="auto"/>
        </w:rPr>
      </w:pPr>
      <w:r>
        <w:rPr>
          <w:rFonts w:ascii="Arial" w:cs="Arial" w:eastAsia="Arial" w:hAnsi="Arial"/>
          <w:sz w:val="17"/>
          <w:szCs w:val="17"/>
          <w:color w:val="auto"/>
        </w:rPr>
        <w:t>We believe the following strengths represent key strategic advantages for Instacart and have allowed us to build the leading grocery technology company in North America:</w:t>
      </w:r>
    </w:p>
    <w:p>
      <w:pPr>
        <w:spacing w:after="0" w:line="76" w:lineRule="exact"/>
        <w:rPr>
          <w:sz w:val="20"/>
          <w:szCs w:val="20"/>
          <w:color w:val="auto"/>
        </w:rPr>
      </w:pPr>
    </w:p>
    <w:p>
      <w:pPr>
        <w:ind w:left="1360" w:right="80" w:hanging="498"/>
        <w:spacing w:after="0" w:line="265" w:lineRule="auto"/>
        <w:tabs>
          <w:tab w:leader="none" w:pos="1360"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 xml:space="preserve">Deep Partnerships with Grocers that Represent more than 85% of the U.S. Grocery Industry. </w:t>
      </w:r>
      <w:r>
        <w:rPr>
          <w:rFonts w:ascii="Arial" w:cs="Arial" w:eastAsia="Arial" w:hAnsi="Arial"/>
          <w:sz w:val="15"/>
          <w:szCs w:val="15"/>
          <w:color w:val="auto"/>
        </w:rPr>
        <w:t>Today, more than 1,400 national, regional,</w:t>
      </w:r>
      <w:r>
        <w:rPr>
          <w:rFonts w:ascii="Arial" w:cs="Arial" w:eastAsia="Arial" w:hAnsi="Arial"/>
          <w:sz w:val="15"/>
          <w:szCs w:val="15"/>
          <w:i w:val="1"/>
          <w:iCs w:val="1"/>
          <w:color w:val="auto"/>
        </w:rPr>
        <w:t xml:space="preserve"> </w:t>
      </w:r>
      <w:r>
        <w:rPr>
          <w:rFonts w:ascii="Arial" w:cs="Arial" w:eastAsia="Arial" w:hAnsi="Arial"/>
          <w:sz w:val="15"/>
          <w:szCs w:val="15"/>
          <w:color w:val="auto"/>
        </w:rPr>
        <w:t>and local retail banners</w:t>
      </w:r>
      <w:r>
        <w:rPr>
          <w:rFonts w:ascii="Arial" w:cs="Arial" w:eastAsia="Arial" w:hAnsi="Arial"/>
          <w:sz w:val="22"/>
          <w:szCs w:val="22"/>
          <w:color w:val="auto"/>
          <w:vertAlign w:val="superscript"/>
        </w:rPr>
        <w:t>134</w:t>
      </w:r>
      <w:r>
        <w:rPr>
          <w:rFonts w:ascii="Arial" w:cs="Arial" w:eastAsia="Arial" w:hAnsi="Arial"/>
          <w:sz w:val="15"/>
          <w:szCs w:val="15"/>
          <w:color w:val="auto"/>
        </w:rPr>
        <w:t xml:space="preserve"> that collectively represent more than 85% of the U.S. grocery industry partner with Instacart.</w:t>
      </w:r>
      <w:r>
        <w:rPr>
          <w:rFonts w:ascii="Arial" w:cs="Arial" w:eastAsia="Arial" w:hAnsi="Arial"/>
          <w:sz w:val="22"/>
          <w:szCs w:val="22"/>
          <w:color w:val="auto"/>
          <w:vertAlign w:val="superscript"/>
        </w:rPr>
        <w:t>135</w:t>
      </w:r>
      <w:r>
        <w:rPr>
          <w:rFonts w:ascii="Arial" w:cs="Arial" w:eastAsia="Arial" w:hAnsi="Arial"/>
          <w:sz w:val="15"/>
          <w:szCs w:val="15"/>
          <w:color w:val="auto"/>
        </w:rPr>
        <w:t xml:space="preserve"> We believe this represents the broadest selection of grocers on a marketplace in North America, providing customers with a superior online grocery shopping experience. Beyond Instacart Marketplace, we also power many of our retail partners’ owned and operated online storefronts through Instacart Enterprise Platform, positioning us as an increasingly integral part of our retail partners’ future growth.</w:t>
      </w:r>
    </w:p>
    <w:p>
      <w:pPr>
        <w:spacing w:after="0" w:line="85" w:lineRule="exact"/>
        <w:rPr>
          <w:rFonts w:ascii="Arial" w:cs="Arial" w:eastAsia="Arial" w:hAnsi="Arial"/>
          <w:sz w:val="15"/>
          <w:szCs w:val="15"/>
          <w:color w:val="auto"/>
        </w:rPr>
      </w:pPr>
    </w:p>
    <w:p>
      <w:pPr>
        <w:ind w:left="1360" w:right="60" w:hanging="498"/>
        <w:spacing w:after="0" w:line="268" w:lineRule="auto"/>
        <w:tabs>
          <w:tab w:leader="none" w:pos="1360"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Trusted Technology Partner to the Grocery Industry. </w:t>
      </w:r>
      <w:r>
        <w:rPr>
          <w:rFonts w:ascii="Arial" w:cs="Arial" w:eastAsia="Arial" w:hAnsi="Arial"/>
          <w:sz w:val="16"/>
          <w:szCs w:val="16"/>
          <w:color w:val="auto"/>
        </w:rPr>
        <w:t>For more than a decade, we have invested in technology that is custom-built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aspects of grocers’ businesses. We are investing more in technology custom-built for online grocery than any single grocer could on their own. Our machine learning algorithms process billions of data points each day to optimize a range of decisions and tasks, including basket building, merchandising, replacements, personalization, ads quality, demand forecasting, order fulfillment, shopper fleet mobilization, dispatching, and routing. Whenever a relevant new technology emerges, we work to adapt this technology for the specific needs of the grocery industry and make it available to our retail partners in short order. We believe this incentivizes grocers to partner with Instacart, as they know that our technology will enable them to transform their businesses and enhance their customer experiences. Our business model has been built on shared success with grocers, and because we do not own inventory, we do not compete with our retail partners. We believe this combination puts us in a unique position to foster greater trust between grocers and Instacart, making us the preferred technology partner.</w:t>
      </w:r>
    </w:p>
    <w:p>
      <w:pPr>
        <w:spacing w:after="0" w:line="85" w:lineRule="exact"/>
        <w:rPr>
          <w:rFonts w:ascii="Arial" w:cs="Arial" w:eastAsia="Arial" w:hAnsi="Arial"/>
          <w:sz w:val="16"/>
          <w:szCs w:val="16"/>
          <w:color w:val="auto"/>
        </w:rPr>
      </w:pPr>
    </w:p>
    <w:p>
      <w:pPr>
        <w:ind w:left="1360" w:hanging="498"/>
        <w:spacing w:after="0" w:line="230" w:lineRule="auto"/>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Scale Benefits for Instacart as well as Our Retail Partners and Brands. </w:t>
      </w:r>
      <w:r>
        <w:rPr>
          <w:rFonts w:ascii="Arial" w:cs="Arial" w:eastAsia="Arial" w:hAnsi="Arial"/>
          <w:sz w:val="17"/>
          <w:szCs w:val="17"/>
          <w:color w:val="auto"/>
        </w:rPr>
        <w:t>We believe that we have the greatest breadth of grocer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with over 1,400 retail banners that operate more than 80,000 stores, coupled with 7.7 million monthly active orderers and 262.6 million orders fulfilled in 2022 alone.</w:t>
      </w:r>
      <w:r>
        <w:rPr>
          <w:rFonts w:ascii="Arial" w:cs="Arial" w:eastAsia="Arial" w:hAnsi="Arial"/>
          <w:sz w:val="25"/>
          <w:szCs w:val="25"/>
          <w:color w:val="auto"/>
          <w:vertAlign w:val="superscript"/>
        </w:rPr>
        <w:t>136</w:t>
      </w:r>
      <w:r>
        <w:rPr>
          <w:rFonts w:ascii="Arial" w:cs="Arial" w:eastAsia="Arial" w:hAnsi="Arial"/>
          <w:sz w:val="17"/>
          <w:szCs w:val="17"/>
          <w:color w:val="auto"/>
        </w:rPr>
        <w:t xml:space="preserve"> We fulfill hundreds of millions of orders each year, a scale that is necessary to realize the operational expertise and efficiencies that drive profitability and underpin our attractive financial model. Our scale also allows us to offer our customers the best selection, quality, value,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88900</wp:posOffset>
            </wp:positionV>
            <wp:extent cx="7239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hanging="403"/>
        <w:spacing w:after="0"/>
        <w:tabs>
          <w:tab w:leader="none" w:pos="860" w:val="left"/>
        </w:tabs>
        <w:numPr>
          <w:ilvl w:val="0"/>
          <w:numId w:val="166"/>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66"/>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860" w:hanging="403"/>
        <w:spacing w:after="0"/>
        <w:tabs>
          <w:tab w:leader="none" w:pos="860" w:val="left"/>
        </w:tabs>
        <w:numPr>
          <w:ilvl w:val="0"/>
          <w:numId w:val="166"/>
        </w:numPr>
        <w:rPr>
          <w:rFonts w:ascii="Arial" w:cs="Arial" w:eastAsia="Arial" w:hAnsi="Arial"/>
          <w:sz w:val="10"/>
          <w:szCs w:val="10"/>
          <w:color w:val="auto"/>
        </w:rPr>
      </w:pPr>
      <w:r>
        <w:rPr>
          <w:rFonts w:ascii="Arial" w:cs="Arial" w:eastAsia="Arial" w:hAnsi="Arial"/>
          <w:sz w:val="13"/>
          <w:szCs w:val="13"/>
          <w:color w:val="auto"/>
        </w:rPr>
        <w:t>Retail banners and stores as of June 30, 2023. Monthly active orderers for the month ended June 30, 2023. Orders for the year ended December 31, 2022.</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800"/>
          </w:cols>
          <w:pgMar w:left="320" w:top="440" w:right="77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120"/>
        <w:spacing w:after="0" w:line="284" w:lineRule="auto"/>
        <w:rPr>
          <w:sz w:val="20"/>
          <w:szCs w:val="20"/>
          <w:color w:val="auto"/>
        </w:rPr>
      </w:pPr>
      <w:r>
        <w:rPr>
          <w:rFonts w:ascii="Arial" w:cs="Arial" w:eastAsia="Arial" w:hAnsi="Arial"/>
          <w:sz w:val="16"/>
          <w:szCs w:val="16"/>
          <w:color w:val="auto"/>
        </w:rPr>
        <w:t>convenience, which attracts more customers and drives higher engagement. This results in more orders and increased customer wallet share for our retail partners, driving compelling economics for both retailers and Instacart. When brands advertise with us, they can reach their target audience more efficiently and at greater scale than is possible through other online channels.</w:t>
      </w:r>
    </w:p>
    <w:p>
      <w:pPr>
        <w:spacing w:after="0" w:line="69" w:lineRule="exact"/>
        <w:rPr>
          <w:sz w:val="20"/>
          <w:szCs w:val="20"/>
          <w:color w:val="auto"/>
        </w:rPr>
      </w:pPr>
    </w:p>
    <w:p>
      <w:pPr>
        <w:ind w:left="1360" w:right="60" w:hanging="498"/>
        <w:spacing w:after="0" w:line="270" w:lineRule="auto"/>
        <w:tabs>
          <w:tab w:leader="none" w:pos="136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Large Average Order Value Underpins Profitable Unit Economics. </w:t>
      </w:r>
      <w:r>
        <w:rPr>
          <w:rFonts w:ascii="Arial" w:cs="Arial" w:eastAsia="Arial" w:hAnsi="Arial"/>
          <w:sz w:val="16"/>
          <w:szCs w:val="16"/>
          <w:color w:val="auto"/>
        </w:rPr>
        <w:t>Given grocery is one of the largest recurring monthly household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 have a high average order value, which was $110 in 2022. Larger order values are structurally more profitable as certain costs, such as shopper earnings and hosting expenses, are allocated across a larger base, and the advertising opportunity increases with more items in an order. While we have a leading share of orders among digital-first platforms both above and below $75, our share is even more pronounced in orders larger than $75, where retailers on Instacart command 74% of the sales volume and where we believe the majority of the profit opportunity exists. See the charts under the section titled “—Our Industry—Online Grocery Market Dynamics— Share of Sales among Digital-First Platforms—Share of Sales by Order Value” for more information.</w:t>
      </w:r>
    </w:p>
    <w:p>
      <w:pPr>
        <w:spacing w:after="0" w:line="83" w:lineRule="exact"/>
        <w:rPr>
          <w:rFonts w:ascii="Arial" w:cs="Arial" w:eastAsia="Arial" w:hAnsi="Arial"/>
          <w:sz w:val="16"/>
          <w:szCs w:val="16"/>
          <w:color w:val="auto"/>
        </w:rPr>
      </w:pPr>
    </w:p>
    <w:p>
      <w:pPr>
        <w:ind w:left="1360" w:hanging="498"/>
        <w:spacing w:after="0" w:line="268" w:lineRule="auto"/>
        <w:tabs>
          <w:tab w:leader="none" w:pos="136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Synergies from the Unique Combination of Marketplace and Enterprise Platform. </w:t>
      </w:r>
      <w:r>
        <w:rPr>
          <w:rFonts w:ascii="Arial" w:cs="Arial" w:eastAsia="Arial" w:hAnsi="Arial"/>
          <w:sz w:val="16"/>
          <w:szCs w:val="16"/>
          <w:color w:val="auto"/>
        </w:rPr>
        <w:t>We create powerful synergies by combining Instacart</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and Instacart Enterprise Platform. Our high-intent customers, their deep engagement with our marketplace, and our deep understanding of customer shopping behavior and preferences enable us to develop the best enterprise technology solutions to serve the grocery industry. We leverage data generated through Instacart Marketplace to continuously enhance our enterprise offerings and help our retail partners best meet their customers’ demands. For example, successful features like advanced search, personalized replacements, and EBT SNAP acceptance can be developed on Instacart Marketplace and quickly launched on retailers’ owned and operated online storefronts, leveraging Instacart Enterprise Platform. In turn, as we continue to improve our enterprise offering and deepen our partnerships with retailers, our retail partners benefit from enhanced marketplace capabilities such as the ability to offer more fulfillment options, get more control over their brand, generate new revenue streams via Carrot Ads and Marketing Solutions, and integrate their own loyalty program. Our deeply integrated solutions provide a seamless and unmatched omni-channel experience for both our retail partners and our customers.</w:t>
      </w:r>
    </w:p>
    <w:p>
      <w:pPr>
        <w:spacing w:after="0" w:line="82" w:lineRule="exact"/>
        <w:rPr>
          <w:rFonts w:ascii="Arial" w:cs="Arial" w:eastAsia="Arial" w:hAnsi="Arial"/>
          <w:sz w:val="16"/>
          <w:szCs w:val="16"/>
          <w:color w:val="auto"/>
        </w:rPr>
      </w:pPr>
    </w:p>
    <w:p>
      <w:pPr>
        <w:ind w:left="1360" w:hanging="498"/>
        <w:spacing w:after="0" w:line="272" w:lineRule="auto"/>
        <w:tabs>
          <w:tab w:leader="none" w:pos="136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Breadth and Diversity of Grocery Use Cases. </w:t>
      </w:r>
      <w:r>
        <w:rPr>
          <w:rFonts w:ascii="Arial" w:cs="Arial" w:eastAsia="Arial" w:hAnsi="Arial"/>
          <w:sz w:val="16"/>
          <w:szCs w:val="16"/>
          <w:color w:val="auto"/>
        </w:rPr>
        <w:t>Instacart allows customers to place orders across a variety of use cases including weekly</w:t>
      </w:r>
      <w:r>
        <w:rPr>
          <w:rFonts w:ascii="Arial" w:cs="Arial" w:eastAsia="Arial" w:hAnsi="Arial"/>
          <w:sz w:val="16"/>
          <w:szCs w:val="16"/>
          <w:i w:val="1"/>
          <w:iCs w:val="1"/>
          <w:color w:val="auto"/>
        </w:rPr>
        <w:t xml:space="preserve"> </w:t>
      </w:r>
      <w:r>
        <w:rPr>
          <w:rFonts w:ascii="Arial" w:cs="Arial" w:eastAsia="Arial" w:hAnsi="Arial"/>
          <w:sz w:val="16"/>
          <w:szCs w:val="16"/>
          <w:color w:val="auto"/>
        </w:rPr>
        <w:t>shop, bulk stock-up, convenience, and special occasions. For retailers, we enable them to offer customers a full range of fulfillment options from on-demand delivery in as fast as 30 minutes to two hours or next day. Our model is flexible and efficient, which allows us to help retailers serve all use cases of grocery, unlike other players that tend to focus on serving a particular use case. Because we serve this breadth of use cases, we are a better partner to retailers by helping them address consumer needs and drive engagement and a better partner to brands by creating more diverse and actionable advertising opportunities.</w:t>
      </w:r>
    </w:p>
    <w:p>
      <w:pPr>
        <w:spacing w:after="0" w:line="78" w:lineRule="exact"/>
        <w:rPr>
          <w:rFonts w:ascii="Arial" w:cs="Arial" w:eastAsia="Arial" w:hAnsi="Arial"/>
          <w:sz w:val="16"/>
          <w:szCs w:val="16"/>
          <w:color w:val="auto"/>
        </w:rPr>
      </w:pPr>
    </w:p>
    <w:p>
      <w:pPr>
        <w:ind w:left="1360" w:right="40" w:hanging="498"/>
        <w:spacing w:after="0" w:line="277" w:lineRule="auto"/>
        <w:tabs>
          <w:tab w:leader="none" w:pos="136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Ads Offerings that Combine Online Performance with the Ability to Move Products Off Shelves. </w:t>
      </w:r>
      <w:r>
        <w:rPr>
          <w:rFonts w:ascii="Arial" w:cs="Arial" w:eastAsia="Arial" w:hAnsi="Arial"/>
          <w:sz w:val="16"/>
          <w:szCs w:val="16"/>
          <w:color w:val="auto"/>
        </w:rPr>
        <w:t>Our grocery expertise has enabled us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differentiated advertising solutions and tools that allow CPG brands to reach and engage with high-intent customers at the point of purchase and within minutes of delivery and consumption. With our unique customer data and insights, we provide differentiated analytics for brands, allowing them to better optimize their advertising spend and grow their wallet share.</w:t>
      </w:r>
    </w:p>
    <w:p>
      <w:pPr>
        <w:spacing w:after="0" w:line="75" w:lineRule="exact"/>
        <w:rPr>
          <w:rFonts w:ascii="Arial" w:cs="Arial" w:eastAsia="Arial" w:hAnsi="Arial"/>
          <w:sz w:val="16"/>
          <w:szCs w:val="16"/>
          <w:color w:val="auto"/>
        </w:rPr>
      </w:pPr>
    </w:p>
    <w:p>
      <w:pPr>
        <w:ind w:left="1360" w:right="220" w:hanging="498"/>
        <w:spacing w:after="0" w:line="254" w:lineRule="auto"/>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Capital Efficient, Flexible Model. </w:t>
      </w:r>
      <w:r>
        <w:rPr>
          <w:rFonts w:ascii="Arial" w:cs="Arial" w:eastAsia="Arial" w:hAnsi="Arial"/>
          <w:sz w:val="17"/>
          <w:szCs w:val="17"/>
          <w:color w:val="auto"/>
        </w:rPr>
        <w:t>Our technology helps retail partners expand the consumer use cases and fulfillment options they offer</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their existing store footprints. This allows retailers to transition from a brick-and-mortar business to a complete omni-channel offering within weeks, and for us to seamlessly add new retail partners to Instacart without significant capital investments or the need to take on any inventory risk. Our capital efficiency enables us and our retail partners to react quickly to changes in the industry and consumer preferences.</w:t>
      </w:r>
    </w:p>
    <w:p>
      <w:pPr>
        <w:spacing w:after="0" w:line="92" w:lineRule="exact"/>
        <w:rPr>
          <w:rFonts w:ascii="Arial" w:cs="Arial" w:eastAsia="Arial" w:hAnsi="Arial"/>
          <w:sz w:val="17"/>
          <w:szCs w:val="17"/>
          <w:color w:val="auto"/>
        </w:rPr>
      </w:pPr>
    </w:p>
    <w:p>
      <w:pPr>
        <w:ind w:left="1360" w:right="100" w:hanging="498"/>
        <w:spacing w:after="0" w:line="311" w:lineRule="auto"/>
        <w:tabs>
          <w:tab w:leader="none" w:pos="1360"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 xml:space="preserve">Compelling Financial Model Based on Shared Success. </w:t>
      </w:r>
      <w:r>
        <w:rPr>
          <w:rFonts w:ascii="Arial" w:cs="Arial" w:eastAsia="Arial" w:hAnsi="Arial"/>
          <w:sz w:val="15"/>
          <w:szCs w:val="15"/>
          <w:color w:val="auto"/>
        </w:rPr>
        <w:t>Our technology helps drive growth and strengthen operational efficiencies for our</w:t>
      </w:r>
      <w:r>
        <w:rPr>
          <w:rFonts w:ascii="Arial" w:cs="Arial" w:eastAsia="Arial" w:hAnsi="Arial"/>
          <w:sz w:val="15"/>
          <w:szCs w:val="15"/>
          <w:i w:val="1"/>
          <w:iCs w:val="1"/>
          <w:color w:val="auto"/>
        </w:rPr>
        <w:t xml:space="preserve"> </w:t>
      </w:r>
      <w:r>
        <w:rPr>
          <w:rFonts w:ascii="Arial" w:cs="Arial" w:eastAsia="Arial" w:hAnsi="Arial"/>
          <w:sz w:val="15"/>
          <w:szCs w:val="15"/>
          <w:color w:val="auto"/>
        </w:rPr>
        <w:t>retail partners, which in turn strengthens Instacart’s financial model. For example, our technology helps retail partners expand the consumer use cases and fulfillment options they offer. This drives new customer acquisition and greater customer engagement,</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780"/>
          </w:cols>
          <w:pgMar w:left="320" w:top="440" w:right="79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60"/>
        <w:spacing w:after="0" w:line="291" w:lineRule="auto"/>
        <w:rPr>
          <w:sz w:val="20"/>
          <w:szCs w:val="20"/>
          <w:color w:val="auto"/>
        </w:rPr>
      </w:pPr>
      <w:r>
        <w:rPr>
          <w:rFonts w:ascii="Arial" w:cs="Arial" w:eastAsia="Arial" w:hAnsi="Arial"/>
          <w:sz w:val="15"/>
          <w:szCs w:val="15"/>
          <w:color w:val="auto"/>
        </w:rPr>
        <w:t>resulting in growth for retailers, CPG brands, and Instacart. Our ads offerings not only provide high marketing ROI and drive incremental sales for our brand partners, but our retail partners also benefit from CPG brands’ incremental sales, whether the consumer is shopping on Instacart Marketplace or retailers’ owned and operated online storefronts powered by Instacart Enterprise Platform. In turn, we believe the success of our brand partners and retail partners increases highly profitable advertising and other revenue on Instacart, improving our unit economics. The success of our partners enables them to deliver a superior shopping experience for customers, who become more engaged and more valuable, benefiting all constituents in our ecosystem and driving our financial success. As a result, over the long term, we believe we can drive profitable growth with a focus on improving operating leverage.</w:t>
      </w:r>
    </w:p>
    <w:p>
      <w:pPr>
        <w:spacing w:after="0" w:line="35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Our Value Proposition</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Retailers</w:t>
      </w:r>
    </w:p>
    <w:p>
      <w:pPr>
        <w:spacing w:after="0" w:line="108" w:lineRule="exact"/>
        <w:rPr>
          <w:sz w:val="20"/>
          <w:szCs w:val="20"/>
          <w:color w:val="auto"/>
        </w:rPr>
      </w:pPr>
    </w:p>
    <w:p>
      <w:pPr>
        <w:ind w:left="460" w:firstLine="413"/>
        <w:spacing w:after="0" w:line="219" w:lineRule="auto"/>
        <w:rPr>
          <w:sz w:val="20"/>
          <w:szCs w:val="20"/>
          <w:color w:val="auto"/>
        </w:rPr>
      </w:pPr>
      <w:r>
        <w:rPr>
          <w:rFonts w:ascii="Arial" w:cs="Arial" w:eastAsia="Arial" w:hAnsi="Arial"/>
          <w:sz w:val="17"/>
          <w:szCs w:val="17"/>
          <w:color w:val="auto"/>
        </w:rPr>
        <w:t>What makes Instacart technology powerful for retailers is this unique combination of enabling retailers to succeed on the largest online grocery marketplace in North America as well as on their own digital properties.</w:t>
      </w:r>
      <w:r>
        <w:rPr>
          <w:rFonts w:ascii="Arial" w:cs="Arial" w:eastAsia="Arial" w:hAnsi="Arial"/>
          <w:sz w:val="25"/>
          <w:szCs w:val="25"/>
          <w:color w:val="auto"/>
          <w:vertAlign w:val="superscript"/>
        </w:rPr>
        <w:t>137</w:t>
      </w:r>
      <w:r>
        <w:rPr>
          <w:rFonts w:ascii="Arial" w:cs="Arial" w:eastAsia="Arial" w:hAnsi="Arial"/>
          <w:sz w:val="17"/>
          <w:szCs w:val="17"/>
          <w:color w:val="auto"/>
        </w:rPr>
        <w:t xml:space="preserve"> This positions us to be retailers’ partner of choice to help them navigate their digital transformations. The key elements of our retailer value proposition include:</w:t>
      </w:r>
    </w:p>
    <w:p>
      <w:pPr>
        <w:spacing w:after="0" w:line="103" w:lineRule="exact"/>
        <w:rPr>
          <w:sz w:val="20"/>
          <w:szCs w:val="20"/>
          <w:color w:val="auto"/>
        </w:rPr>
      </w:pPr>
    </w:p>
    <w:p>
      <w:pPr>
        <w:ind w:left="1360" w:hanging="498"/>
        <w:spacing w:after="0"/>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End-to-End Technology Solution Custom-Built for Online Grocery</w:t>
      </w:r>
    </w:p>
    <w:p>
      <w:pPr>
        <w:spacing w:after="0" w:line="121" w:lineRule="exact"/>
        <w:rPr>
          <w:rFonts w:ascii="Arial" w:cs="Arial" w:eastAsia="Arial" w:hAnsi="Arial"/>
          <w:sz w:val="17"/>
          <w:szCs w:val="17"/>
          <w:color w:val="auto"/>
        </w:rPr>
      </w:pPr>
    </w:p>
    <w:p>
      <w:pPr>
        <w:ind w:left="2400" w:right="80" w:hanging="499"/>
        <w:spacing w:after="0" w:line="296" w:lineRule="auto"/>
        <w:tabs>
          <w:tab w:leader="none" w:pos="240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Instacart powers eCommerce, fulfillment, and customer and shopper care for all of our retail partners through Instacart Marketplace. Instacart Enterprise Platform, our end-to-end technology solution, supports our retail partners on their owned and operated online storefronts through offerings like storefronts and mobile apps, fulfillment solutions, ads offerings, in-store technologies, and business insights. Whenever a relevant new technology emerges, Instacart works to adapt this technology for the specific needs of the grocery industry and make it available to our retail partners in short order.</w:t>
      </w:r>
    </w:p>
    <w:p>
      <w:pPr>
        <w:spacing w:after="0" w:line="63" w:lineRule="exact"/>
        <w:rPr>
          <w:rFonts w:ascii="Arial" w:cs="Arial" w:eastAsia="Arial" w:hAnsi="Arial"/>
          <w:sz w:val="15"/>
          <w:szCs w:val="15"/>
          <w:color w:val="auto"/>
        </w:rPr>
      </w:pPr>
    </w:p>
    <w:p>
      <w:pPr>
        <w:ind w:left="2400" w:right="140" w:hanging="499"/>
        <w:spacing w:after="0" w:line="270" w:lineRule="auto"/>
        <w:tabs>
          <w:tab w:leader="none" w:pos="24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Our solutions are better together. Our enterprise solutions benefit from unique consumer and market insights that only a scaled marketplace can access. These insights inform the product development of our enterprise offerings. Functions such as EBT SNAP and personalized replacements were initially built for Instacart Marketplace and subsequently included in Instacart Enterprise Platform to better serve retailers. In turn, Instacart Enterprise Platform solutions allow for a deeper integration with retailers’ operations, and this provides retailers with more capabilities on Instacart Marketplace such as ability to offer more fulfillment options, get more control over their brand, generate new revenue streams via Carrot Ads and Marketing Solutions, and integrate their own loyalty program.</w:t>
      </w:r>
    </w:p>
    <w:p>
      <w:pPr>
        <w:spacing w:after="0" w:line="83" w:lineRule="exact"/>
        <w:rPr>
          <w:rFonts w:ascii="Arial" w:cs="Arial" w:eastAsia="Arial" w:hAnsi="Arial"/>
          <w:sz w:val="16"/>
          <w:szCs w:val="16"/>
          <w:color w:val="auto"/>
        </w:rPr>
      </w:pPr>
    </w:p>
    <w:p>
      <w:pPr>
        <w:ind w:left="2400" w:right="20" w:hanging="499"/>
        <w:spacing w:after="0" w:line="284" w:lineRule="auto"/>
        <w:tabs>
          <w:tab w:leader="none" w:pos="24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Our technology is modular, meaning retailers can use all of our offerings for a seamlessly integrated solution, or they may choose to select technologies à la carte, depending on which best fit their needs. For example, our storefronts come with the ability to run Instacart Ads by default, though it is up to the retailer if they want to implement it.</w:t>
      </w:r>
    </w:p>
    <w:p>
      <w:pPr>
        <w:spacing w:after="0" w:line="68" w:lineRule="exact"/>
        <w:rPr>
          <w:rFonts w:ascii="Arial" w:cs="Arial" w:eastAsia="Arial" w:hAnsi="Arial"/>
          <w:sz w:val="16"/>
          <w:szCs w:val="16"/>
          <w:color w:val="auto"/>
        </w:rPr>
      </w:pPr>
    </w:p>
    <w:p>
      <w:pPr>
        <w:ind w:left="1360" w:hanging="498"/>
        <w:spacing w:after="0" w:line="254" w:lineRule="auto"/>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Advertising Capabilities</w:t>
      </w:r>
      <w:r>
        <w:rPr>
          <w:rFonts w:ascii="Arial" w:cs="Arial" w:eastAsia="Arial" w:hAnsi="Arial"/>
          <w:sz w:val="17"/>
          <w:szCs w:val="17"/>
          <w:color w:val="auto"/>
        </w:rPr>
        <w:t>. Retailers can leverage our ads offerings through their owned and operated online storefronts powered by Instacart</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 Platform. We allow retailers to benefit from the scale advantages of Instacart Ads. By allowing retailers to use our turn-key ads offerings, they can avoid time and financial investment associated with building ad technology and sales. This is a prohibitive investment for most retailers, but with Carrot Ads, they can now open a new revenue stream using our solutions at scale without needing to make this upfront investment themselves.</w:t>
      </w:r>
    </w:p>
    <w:p>
      <w:pPr>
        <w:spacing w:after="0" w:line="92" w:lineRule="exact"/>
        <w:rPr>
          <w:rFonts w:ascii="Arial" w:cs="Arial" w:eastAsia="Arial" w:hAnsi="Arial"/>
          <w:sz w:val="17"/>
          <w:szCs w:val="17"/>
          <w:color w:val="auto"/>
        </w:rPr>
      </w:pPr>
    </w:p>
    <w:p>
      <w:pPr>
        <w:jc w:val="both"/>
        <w:ind w:left="1360" w:right="120" w:hanging="498"/>
        <w:spacing w:after="0" w:line="260" w:lineRule="auto"/>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Customer Access</w:t>
      </w:r>
      <w:r>
        <w:rPr>
          <w:rFonts w:ascii="Arial" w:cs="Arial" w:eastAsia="Arial" w:hAnsi="Arial"/>
          <w:sz w:val="17"/>
          <w:szCs w:val="17"/>
          <w:color w:val="auto"/>
        </w:rPr>
        <w:t>. We help retailers reach millions of customers—consumers and businesses alike. We generate incremental sales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retail partners through Instacart Marketplace and help retailers meet online demand wherever customers are. We believe pickup generates incremental foot traffic and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78740</wp:posOffset>
            </wp:positionV>
            <wp:extent cx="7239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7" w:lineRule="exact"/>
        <w:rPr>
          <w:sz w:val="20"/>
          <w:szCs w:val="20"/>
          <w:color w:val="auto"/>
        </w:rPr>
      </w:pPr>
    </w:p>
    <w:p>
      <w:pPr>
        <w:ind w:left="860" w:hanging="403"/>
        <w:spacing w:after="0"/>
        <w:tabs>
          <w:tab w:leader="none" w:pos="860" w:val="left"/>
        </w:tabs>
        <w:numPr>
          <w:ilvl w:val="0"/>
          <w:numId w:val="169"/>
        </w:numPr>
        <w:rPr>
          <w:rFonts w:ascii="Arial" w:cs="Arial" w:eastAsia="Arial" w:hAnsi="Arial"/>
          <w:sz w:val="10"/>
          <w:szCs w:val="10"/>
          <w:color w:val="auto"/>
        </w:rPr>
      </w:pPr>
      <w:r>
        <w:rPr>
          <w:rFonts w:ascii="Arial" w:cs="Arial" w:eastAsia="Arial" w:hAnsi="Arial"/>
          <w:sz w:val="13"/>
          <w:szCs w:val="13"/>
          <w:color w:val="auto"/>
        </w:rPr>
        <w:t>Based on GTV generated on Instacart and total grocery sales in 2022.</w:t>
      </w:r>
    </w:p>
    <w:p>
      <w:pPr>
        <w:spacing w:after="0" w:line="13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780"/>
          </w:cols>
          <w:pgMar w:left="320" w:top="440" w:right="79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60"/>
        <w:spacing w:after="0" w:line="296" w:lineRule="auto"/>
        <w:rPr>
          <w:sz w:val="20"/>
          <w:szCs w:val="20"/>
          <w:color w:val="auto"/>
        </w:rPr>
      </w:pPr>
      <w:r>
        <w:rPr>
          <w:rFonts w:ascii="Arial" w:cs="Arial" w:eastAsia="Arial" w:hAnsi="Arial"/>
          <w:sz w:val="15"/>
          <w:szCs w:val="15"/>
          <w:color w:val="auto"/>
        </w:rPr>
        <w:t>sales by providing customers with the ability to browse items, place orders wherever they are, and pick up their basket directly from local retailers. We also enable retailers to drive loyalty and engagement through branded online shopping experiences, personalization, and our membership program, Instacart+, where we pay for free delivery, among other benefits. With Instacart Business, retailers are able to reach customers shopping for their businesses of all sizes. Finally, our investments in sales and marketing help attract new customers and increase engagement among existing customers, helping drive sales for our retail partners.</w:t>
      </w:r>
    </w:p>
    <w:p>
      <w:pPr>
        <w:spacing w:after="0" w:line="63" w:lineRule="exact"/>
        <w:rPr>
          <w:sz w:val="20"/>
          <w:szCs w:val="20"/>
          <w:color w:val="auto"/>
        </w:rPr>
      </w:pPr>
    </w:p>
    <w:p>
      <w:pPr>
        <w:ind w:left="1360" w:right="260" w:hanging="498"/>
        <w:spacing w:after="0" w:line="256"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Breadth of Shopping and Fulfillment Options</w:t>
      </w:r>
      <w:r>
        <w:rPr>
          <w:rFonts w:ascii="Arial" w:cs="Arial" w:eastAsia="Arial" w:hAnsi="Arial"/>
          <w:sz w:val="17"/>
          <w:szCs w:val="17"/>
          <w:color w:val="auto"/>
        </w:rPr>
        <w:t>. We have expanded across in-store, delivery, and pickup to help retailers offer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fulfillment methods and speeds and address different shopping occasions and consumer categories. Because customers use different options based on the occasion, we help retailers offer a full portfolio of onmi-channel eCommerce options. This helps retailers increase spend and drive higher shopping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137795</wp:posOffset>
            </wp:positionV>
            <wp:extent cx="4414520" cy="14954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14520"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spacing w:after="0" w:line="290" w:lineRule="auto"/>
        <w:rPr>
          <w:sz w:val="20"/>
          <w:szCs w:val="20"/>
          <w:color w:val="auto"/>
        </w:rPr>
      </w:pPr>
      <w:r>
        <w:rPr>
          <w:rFonts w:ascii="Arial" w:cs="Arial" w:eastAsia="Arial" w:hAnsi="Arial"/>
          <w:sz w:val="15"/>
          <w:szCs w:val="15"/>
          <w:color w:val="auto"/>
        </w:rPr>
        <w:t>Our strategy is to help retailers capture the breadth of consumer demand, from a larger weekly basket that arrives the same day to a smaller convenience order that is at a customer’s door in as fast as 30 minutes. While it is difficult to do this in a physical store, we can create</w:t>
      </w:r>
    </w:p>
    <w:p>
      <w:pPr>
        <w:ind w:left="1380"/>
        <w:spacing w:after="0"/>
        <w:tabs>
          <w:tab w:leader="none" w:pos="3700" w:val="left"/>
        </w:tabs>
        <w:rPr>
          <w:sz w:val="20"/>
          <w:szCs w:val="20"/>
          <w:color w:val="auto"/>
        </w:rPr>
      </w:pPr>
      <w:r>
        <w:rPr>
          <w:rFonts w:ascii="Arial" w:cs="Arial" w:eastAsia="Arial" w:hAnsi="Arial"/>
          <w:sz w:val="17"/>
          <w:szCs w:val="17"/>
          <w:color w:val="auto"/>
        </w:rPr>
        <w:t>virtual stores such as</w:t>
      </w:r>
      <w:r>
        <w:rPr>
          <w:sz w:val="20"/>
          <w:szCs w:val="20"/>
          <w:color w:val="auto"/>
        </w:rPr>
        <w:tab/>
      </w:r>
      <w:r>
        <w:rPr>
          <w:rFonts w:ascii="Arial" w:cs="Arial" w:eastAsia="Arial" w:hAnsi="Arial"/>
          <w:sz w:val="14"/>
          <w:szCs w:val="14"/>
          <w:color w:val="auto"/>
        </w:rPr>
        <w:t>that enable these new use cases to customers on our marketplace.</w:t>
      </w:r>
    </w:p>
    <w:p>
      <w:pPr>
        <w:spacing w:after="0" w:line="109" w:lineRule="exact"/>
        <w:rPr>
          <w:sz w:val="20"/>
          <w:szCs w:val="20"/>
          <w:color w:val="auto"/>
        </w:rPr>
      </w:pPr>
    </w:p>
    <w:p>
      <w:pPr>
        <w:ind w:left="1360" w:hanging="498"/>
        <w:spacing w:after="0" w:line="301" w:lineRule="auto"/>
        <w:tabs>
          <w:tab w:leader="none" w:pos="1360" w:val="left"/>
        </w:tabs>
        <w:numPr>
          <w:ilvl w:val="0"/>
          <w:numId w:val="171"/>
        </w:numPr>
        <w:rPr>
          <w:rFonts w:ascii="Arial" w:cs="Arial" w:eastAsia="Arial" w:hAnsi="Arial"/>
          <w:sz w:val="15"/>
          <w:szCs w:val="15"/>
          <w:color w:val="auto"/>
        </w:rPr>
      </w:pPr>
      <w:r>
        <w:rPr>
          <w:rFonts w:ascii="Arial" w:cs="Arial" w:eastAsia="Arial" w:hAnsi="Arial"/>
          <w:sz w:val="15"/>
          <w:szCs w:val="15"/>
          <w:i w:val="1"/>
          <w:iCs w:val="1"/>
          <w:color w:val="auto"/>
        </w:rPr>
        <w:t xml:space="preserve">Ability to Drive Operational Efficiencies. </w:t>
      </w:r>
      <w:r>
        <w:rPr>
          <w:rFonts w:ascii="Arial" w:cs="Arial" w:eastAsia="Arial" w:hAnsi="Arial"/>
          <w:sz w:val="15"/>
          <w:szCs w:val="15"/>
          <w:color w:val="auto"/>
        </w:rPr>
        <w:t>We are able to provide a lower cost of fulfillment for retailers due to efficiencies primarily driven</w:t>
      </w:r>
      <w:r>
        <w:rPr>
          <w:rFonts w:ascii="Arial" w:cs="Arial" w:eastAsia="Arial" w:hAnsi="Arial"/>
          <w:sz w:val="15"/>
          <w:szCs w:val="15"/>
          <w:i w:val="1"/>
          <w:iCs w:val="1"/>
          <w:color w:val="auto"/>
        </w:rPr>
        <w:t xml:space="preserve"> </w:t>
      </w:r>
      <w:r>
        <w:rPr>
          <w:rFonts w:ascii="Arial" w:cs="Arial" w:eastAsia="Arial" w:hAnsi="Arial"/>
          <w:sz w:val="15"/>
          <w:szCs w:val="15"/>
          <w:color w:val="auto"/>
        </w:rPr>
        <w:t>by our scale and frequency of large orders. We fulfill millions of orders every week, with many large orders coming into a single location at a given time. Our shopper base can leverage our technology-backed picking and batching abilities to efficiently fulfill these orders. We believe this allows retailers to improve operating efficiencies and reduce costs without compromising the customer experience.</w:t>
      </w:r>
    </w:p>
    <w:p>
      <w:pPr>
        <w:spacing w:after="0" w:line="59" w:lineRule="exact"/>
        <w:rPr>
          <w:rFonts w:ascii="Arial" w:cs="Arial" w:eastAsia="Arial" w:hAnsi="Arial"/>
          <w:sz w:val="15"/>
          <w:szCs w:val="15"/>
          <w:color w:val="auto"/>
        </w:rPr>
      </w:pPr>
    </w:p>
    <w:p>
      <w:pPr>
        <w:ind w:left="1360" w:hanging="498"/>
        <w:spacing w:after="0" w:line="266" w:lineRule="auto"/>
        <w:tabs>
          <w:tab w:leader="none" w:pos="136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Seamless Onboarding and Depth of Integration</w:t>
      </w:r>
      <w:r>
        <w:rPr>
          <w:rFonts w:ascii="Arial" w:cs="Arial" w:eastAsia="Arial" w:hAnsi="Arial"/>
          <w:sz w:val="16"/>
          <w:szCs w:val="16"/>
          <w:color w:val="auto"/>
        </w:rPr>
        <w:t>. We designed our technology to enable retailers’ transition from a brick-and-mortar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to a complete omni-channel offering within weeks. When we partner with a retailer, we bring their entire store footprint online, helping them compete with digitally native competitors and meet consumers’ needs. This process includes ingesting data on tens of thousands of products, enriching that baseline data with additional information for online merchandising, and optimizing item availability on retailers’ owned and operated online storefronts using our proprietary algorithms. We then leverage machine learning to help retailers with their item pricing decisions using tools such as our price rounding algorithms. Our enterprise solutions can also integrate with existing operations to allow our retail partners to maintain existing loyalty and promotion programs. We help retailers optimize all aspects of their business by establishing data pipelines to help inform retailers’ store</w:t>
      </w:r>
    </w:p>
    <w:p>
      <w:pPr>
        <w:spacing w:after="0" w:line="1" w:lineRule="exact"/>
        <w:rPr>
          <w:rFonts w:ascii="Arial" w:cs="Arial" w:eastAsia="Arial" w:hAnsi="Arial"/>
          <w:sz w:val="16"/>
          <w:szCs w:val="16"/>
          <w:color w:val="auto"/>
        </w:rPr>
      </w:pPr>
    </w:p>
    <w:p>
      <w:pPr>
        <w:ind w:left="1380" w:right="40"/>
        <w:spacing w:after="0" w:line="323" w:lineRule="auto"/>
        <w:rPr>
          <w:rFonts w:ascii="Arial" w:cs="Arial" w:eastAsia="Arial" w:hAnsi="Arial"/>
          <w:sz w:val="16"/>
          <w:szCs w:val="16"/>
          <w:color w:val="auto"/>
        </w:rPr>
      </w:pPr>
      <w:r>
        <w:rPr>
          <w:rFonts w:ascii="Arial" w:cs="Arial" w:eastAsia="Arial" w:hAnsi="Arial"/>
          <w:sz w:val="15"/>
          <w:szCs w:val="15"/>
          <w:color w:val="auto"/>
        </w:rPr>
        <w:t>operations, merchandising, and marketing strategies. We also integrate physically in retailers’ stores including setting up dedicated staging areas to fulfill orders and a streamlined checkout process to ensure a more seamless experience for both our retail partners and shoppers.</w:t>
      </w:r>
    </w:p>
    <w:p>
      <w:pPr>
        <w:spacing w:after="0" w:line="6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780"/>
          </w:cols>
          <w:pgMar w:left="320" w:top="440" w:right="79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140" w:hanging="498"/>
        <w:spacing w:after="0" w:line="260" w:lineRule="auto"/>
        <w:tabs>
          <w:tab w:leader="none" w:pos="1360"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Dedicated Support</w:t>
      </w:r>
      <w:r>
        <w:rPr>
          <w:rFonts w:ascii="Arial" w:cs="Arial" w:eastAsia="Arial" w:hAnsi="Arial"/>
          <w:sz w:val="17"/>
          <w:szCs w:val="17"/>
          <w:color w:val="auto"/>
        </w:rPr>
        <w:t>. We have teams of account managers who focus on helping retailers succeed. These relationships include deep</w:t>
      </w:r>
      <w:r>
        <w:rPr>
          <w:rFonts w:ascii="Arial" w:cs="Arial" w:eastAsia="Arial" w:hAnsi="Arial"/>
          <w:sz w:val="17"/>
          <w:szCs w:val="17"/>
          <w:i w:val="1"/>
          <w:iCs w:val="1"/>
          <w:color w:val="auto"/>
        </w:rPr>
        <w:t xml:space="preserve"> </w:t>
      </w:r>
      <w:r>
        <w:rPr>
          <w:rFonts w:ascii="Arial" w:cs="Arial" w:eastAsia="Arial" w:hAnsi="Arial"/>
          <w:sz w:val="17"/>
          <w:szCs w:val="17"/>
          <w:color w:val="auto"/>
        </w:rPr>
        <w:t>involvement with operational initiatives like store planning and optimizing eCommerce fulfillment and data interpretation on key metrics such as in-store inventory levels.</w:t>
      </w:r>
    </w:p>
    <w:p>
      <w:pPr>
        <w:spacing w:after="0" w:line="175" w:lineRule="exact"/>
        <w:rPr>
          <w:sz w:val="20"/>
          <w:szCs w:val="20"/>
          <w:color w:val="auto"/>
        </w:rPr>
      </w:pPr>
    </w:p>
    <w:p>
      <w:pPr>
        <w:ind w:left="460" w:firstLine="413"/>
        <w:spacing w:after="0" w:line="230" w:lineRule="auto"/>
        <w:rPr>
          <w:sz w:val="20"/>
          <w:szCs w:val="20"/>
          <w:color w:val="auto"/>
        </w:rPr>
      </w:pPr>
      <w:r>
        <w:rPr>
          <w:rFonts w:ascii="Arial" w:cs="Arial" w:eastAsia="Arial" w:hAnsi="Arial"/>
          <w:sz w:val="17"/>
          <w:szCs w:val="17"/>
          <w:color w:val="auto"/>
        </w:rPr>
        <w:t>We have demonstrated our ability to drive growth for our retail partners. The chart below shows that retailers who partner with Instacart outperformed the market since 2018. Our GTV, which represents the online sales we power for all of our retail partners, grew at a CAGR of 80% between 2018 and 2022, compared to 50% for the overall online grocery market, and 1% for offline grocery.</w:t>
      </w:r>
      <w:r>
        <w:rPr>
          <w:rFonts w:ascii="Arial" w:cs="Arial" w:eastAsia="Arial" w:hAnsi="Arial"/>
          <w:sz w:val="25"/>
          <w:szCs w:val="25"/>
          <w:color w:val="auto"/>
          <w:vertAlign w:val="superscript"/>
        </w:rPr>
        <w:t>138</w:t>
      </w:r>
      <w:r>
        <w:rPr>
          <w:rFonts w:ascii="Arial" w:cs="Arial" w:eastAsia="Arial" w:hAnsi="Arial"/>
          <w:sz w:val="17"/>
          <w:szCs w:val="17"/>
          <w:color w:val="auto"/>
        </w:rPr>
        <w:t xml:space="preserve"> We believe that we are best positioned to help retailers grow their digital businesses in a competitive market, something that they may not otherwise have the resources to do themselves given grocery’s operating complexities and low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145415</wp:posOffset>
            </wp:positionV>
            <wp:extent cx="4760595" cy="21710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60595" cy="217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Customers</w:t>
      </w:r>
    </w:p>
    <w:p>
      <w:pPr>
        <w:spacing w:after="0" w:line="108" w:lineRule="exact"/>
        <w:rPr>
          <w:sz w:val="20"/>
          <w:szCs w:val="20"/>
          <w:color w:val="auto"/>
        </w:rPr>
      </w:pPr>
    </w:p>
    <w:p>
      <w:pPr>
        <w:ind w:left="460" w:right="340" w:firstLine="413"/>
        <w:spacing w:after="0" w:line="255" w:lineRule="auto"/>
        <w:rPr>
          <w:sz w:val="20"/>
          <w:szCs w:val="20"/>
          <w:color w:val="auto"/>
        </w:rPr>
      </w:pPr>
      <w:r>
        <w:rPr>
          <w:rFonts w:ascii="Arial" w:cs="Arial" w:eastAsia="Arial" w:hAnsi="Arial"/>
          <w:sz w:val="15"/>
          <w:szCs w:val="15"/>
          <w:color w:val="auto"/>
        </w:rPr>
        <w:t>At Instacart, we aim to provide our customers a superior online grocery shopping experience with optimal selection, quality, value, and convenience. We partner with more than 1,400 retail banners across the United States offering over a million unique products at attractive prices,</w:t>
      </w:r>
      <w:r>
        <w:rPr>
          <w:rFonts w:ascii="Arial" w:cs="Arial" w:eastAsia="Arial" w:hAnsi="Arial"/>
          <w:sz w:val="22"/>
          <w:szCs w:val="22"/>
          <w:color w:val="auto"/>
          <w:vertAlign w:val="superscript"/>
        </w:rPr>
        <w:t>139</w:t>
      </w:r>
      <w:r>
        <w:rPr>
          <w:rFonts w:ascii="Arial" w:cs="Arial" w:eastAsia="Arial" w:hAnsi="Arial"/>
          <w:sz w:val="15"/>
          <w:szCs w:val="15"/>
          <w:color w:val="auto"/>
        </w:rPr>
        <w:t xml:space="preserve"> while meeting our customers wherever they want to shop, however they want to shop, and across many use cases and fulfillment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207645</wp:posOffset>
            </wp:positionV>
            <wp:extent cx="7239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39" w:lineRule="exact"/>
        <w:rPr>
          <w:sz w:val="20"/>
          <w:szCs w:val="20"/>
          <w:color w:val="auto"/>
        </w:rPr>
      </w:pPr>
    </w:p>
    <w:p>
      <w:pPr>
        <w:ind w:left="860" w:hanging="403"/>
        <w:spacing w:after="0"/>
        <w:tabs>
          <w:tab w:leader="none" w:pos="860" w:val="left"/>
        </w:tabs>
        <w:numPr>
          <w:ilvl w:val="0"/>
          <w:numId w:val="173"/>
        </w:numPr>
        <w:rPr>
          <w:rFonts w:ascii="Arial" w:cs="Arial" w:eastAsia="Arial" w:hAnsi="Arial"/>
          <w:sz w:val="10"/>
          <w:szCs w:val="10"/>
          <w:color w:val="auto"/>
        </w:rPr>
      </w:pPr>
      <w:r>
        <w:rPr>
          <w:rFonts w:ascii="Arial" w:cs="Arial" w:eastAsia="Arial" w:hAnsi="Arial"/>
          <w:sz w:val="13"/>
          <w:szCs w:val="13"/>
          <w:color w:val="auto"/>
        </w:rPr>
        <w:t>Incisiv.</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173"/>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780"/>
          </w:cols>
          <w:pgMar w:left="320" w:top="440" w:right="79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40" w:firstLine="413"/>
        <w:spacing w:after="0" w:line="284" w:lineRule="auto"/>
        <w:rPr>
          <w:sz w:val="20"/>
          <w:szCs w:val="20"/>
          <w:color w:val="auto"/>
        </w:rPr>
      </w:pPr>
      <w:r>
        <w:rPr>
          <w:rFonts w:ascii="Arial" w:cs="Arial" w:eastAsia="Arial" w:hAnsi="Arial"/>
          <w:sz w:val="17"/>
          <w:szCs w:val="17"/>
          <w:color w:val="auto"/>
        </w:rPr>
        <w:t>The diversity and breadth of our offering attracts a wide range of customers to Instacart that is similar to the economic and geographic composition of the United States, as seen in the graphic below.</w:t>
      </w:r>
      <w:r>
        <w:rPr>
          <w:rFonts w:ascii="Arial" w:cs="Arial" w:eastAsia="Arial" w:hAnsi="Arial"/>
          <w:sz w:val="25"/>
          <w:szCs w:val="25"/>
          <w:color w:val="auto"/>
          <w:vertAlign w:val="superscript"/>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2145665</wp:posOffset>
            </wp:positionV>
            <wp:extent cx="7239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-97155</wp:posOffset>
            </wp:positionV>
            <wp:extent cx="4639945" cy="20104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639945"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0" w:right="300" w:hanging="403"/>
        <w:spacing w:after="0" w:line="260" w:lineRule="auto"/>
        <w:tabs>
          <w:tab w:leader="none" w:pos="8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For the 12 months ended March 13, 2022. Numerator. Data from approximately 105,000 households across the United States selected by Numerator and designed to be nationally representative compared to U.S. census data.</w:t>
      </w:r>
    </w:p>
    <w:p>
      <w:pPr>
        <w:spacing w:after="0" w:line="163" w:lineRule="exact"/>
        <w:rPr>
          <w:sz w:val="20"/>
          <w:szCs w:val="20"/>
          <w:color w:val="auto"/>
        </w:rPr>
      </w:pPr>
    </w:p>
    <w:p>
      <w:pPr>
        <w:ind w:left="460" w:firstLine="413"/>
        <w:spacing w:after="0" w:line="186" w:lineRule="auto"/>
        <w:rPr>
          <w:sz w:val="20"/>
          <w:szCs w:val="20"/>
          <w:color w:val="auto"/>
        </w:rPr>
      </w:pPr>
      <w:r>
        <w:rPr>
          <w:rFonts w:ascii="Arial" w:cs="Arial" w:eastAsia="Arial" w:hAnsi="Arial"/>
          <w:sz w:val="17"/>
          <w:szCs w:val="17"/>
          <w:color w:val="auto"/>
        </w:rPr>
        <w:t>This dynamic is also observed in our customers’ spending habits. On Instacart, the average order value is $110, compared to $100 for the broader U.S. grocery market.</w:t>
      </w:r>
      <w:r>
        <w:rPr>
          <w:rFonts w:ascii="Arial" w:cs="Arial" w:eastAsia="Arial" w:hAnsi="Arial"/>
          <w:sz w:val="25"/>
          <w:szCs w:val="25"/>
          <w:color w:val="auto"/>
          <w:vertAlign w:val="superscript"/>
        </w:rPr>
        <w:t>141</w:t>
      </w:r>
      <w:r>
        <w:rPr>
          <w:rFonts w:ascii="Arial" w:cs="Arial" w:eastAsia="Arial" w:hAnsi="Arial"/>
          <w:sz w:val="17"/>
          <w:szCs w:val="17"/>
          <w:color w:val="auto"/>
        </w:rPr>
        <w:t xml:space="preserve"> This translates into a monthly active orderer spending on average $226 per month in the year of their first order, increasing up to $480 per month by Year 6,</w:t>
      </w:r>
      <w:r>
        <w:rPr>
          <w:rFonts w:ascii="Arial" w:cs="Arial" w:eastAsia="Arial" w:hAnsi="Arial"/>
          <w:sz w:val="25"/>
          <w:szCs w:val="25"/>
          <w:color w:val="auto"/>
          <w:vertAlign w:val="superscript"/>
        </w:rPr>
        <w:t>142</w:t>
      </w:r>
      <w:r>
        <w:rPr>
          <w:rFonts w:ascii="Arial" w:cs="Arial" w:eastAsia="Arial" w:hAnsi="Arial"/>
          <w:sz w:val="17"/>
          <w:szCs w:val="17"/>
          <w:color w:val="auto"/>
        </w:rPr>
        <w:t xml:space="preserve"> compared to the average U.S. household monthly grocery spend of $438.</w:t>
      </w:r>
      <w:r>
        <w:rPr>
          <w:rFonts w:ascii="Arial" w:cs="Arial" w:eastAsia="Arial" w:hAnsi="Arial"/>
          <w:sz w:val="25"/>
          <w:szCs w:val="25"/>
          <w:color w:val="auto"/>
          <w:vertAlign w:val="superscript"/>
        </w:rPr>
        <w:t>143</w:t>
      </w:r>
      <w:r>
        <w:rPr>
          <w:rFonts w:ascii="Arial" w:cs="Arial" w:eastAsia="Arial" w:hAnsi="Arial"/>
          <w:sz w:val="17"/>
          <w:szCs w:val="17"/>
          <w:color w:val="auto"/>
        </w:rPr>
        <w:t xml:space="preserve"> We will continue to expand our offering to meet the diverse needs of all of our customers.</w:t>
      </w:r>
    </w:p>
    <w:p>
      <w:pPr>
        <w:spacing w:after="0" w:line="105" w:lineRule="exact"/>
        <w:rPr>
          <w:sz w:val="20"/>
          <w:szCs w:val="20"/>
          <w:color w:val="auto"/>
        </w:rPr>
      </w:pPr>
    </w:p>
    <w:p>
      <w:pPr>
        <w:ind w:left="1360" w:hanging="498"/>
        <w:spacing w:after="0" w:line="196" w:lineRule="auto"/>
        <w:tabs>
          <w:tab w:leader="none" w:pos="1360"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Selection</w:t>
      </w:r>
      <w:r>
        <w:rPr>
          <w:rFonts w:ascii="Arial" w:cs="Arial" w:eastAsia="Arial" w:hAnsi="Arial"/>
          <w:sz w:val="17"/>
          <w:szCs w:val="17"/>
          <w:color w:val="auto"/>
        </w:rPr>
        <w:t>. Today, more than 1,400 national, regional, and local retail banners</w:t>
      </w:r>
      <w:r>
        <w:rPr>
          <w:rFonts w:ascii="Arial" w:cs="Arial" w:eastAsia="Arial" w:hAnsi="Arial"/>
          <w:sz w:val="25"/>
          <w:szCs w:val="25"/>
          <w:color w:val="auto"/>
          <w:vertAlign w:val="superscript"/>
        </w:rPr>
        <w:t>144</w:t>
      </w:r>
      <w:r>
        <w:rPr>
          <w:rFonts w:ascii="Arial" w:cs="Arial" w:eastAsia="Arial" w:hAnsi="Arial"/>
          <w:sz w:val="17"/>
          <w:szCs w:val="17"/>
          <w:i w:val="1"/>
          <w:iCs w:val="1"/>
          <w:color w:val="auto"/>
        </w:rPr>
        <w:t xml:space="preserve"> </w:t>
      </w:r>
      <w:r>
        <w:rPr>
          <w:rFonts w:ascii="Arial" w:cs="Arial" w:eastAsia="Arial" w:hAnsi="Arial"/>
          <w:sz w:val="17"/>
          <w:szCs w:val="17"/>
          <w:color w:val="auto"/>
        </w:rPr>
        <w:t>that collectively represent more than 85% of the U.S.</w:t>
      </w:r>
      <w:r>
        <w:rPr>
          <w:rFonts w:ascii="Arial" w:cs="Arial" w:eastAsia="Arial" w:hAnsi="Arial"/>
          <w:sz w:val="17"/>
          <w:szCs w:val="17"/>
          <w:i w:val="1"/>
          <w:iCs w:val="1"/>
          <w:color w:val="auto"/>
        </w:rPr>
        <w:t xml:space="preserve"> </w:t>
      </w:r>
      <w:r>
        <w:rPr>
          <w:rFonts w:ascii="Arial" w:cs="Arial" w:eastAsia="Arial" w:hAnsi="Arial"/>
          <w:sz w:val="17"/>
          <w:szCs w:val="17"/>
          <w:color w:val="auto"/>
        </w:rPr>
        <w:t>grocery market partner with Instacart.</w:t>
      </w:r>
      <w:r>
        <w:rPr>
          <w:rFonts w:ascii="Arial" w:cs="Arial" w:eastAsia="Arial" w:hAnsi="Arial"/>
          <w:sz w:val="25"/>
          <w:szCs w:val="25"/>
          <w:color w:val="auto"/>
          <w:vertAlign w:val="superscript"/>
        </w:rPr>
        <w:t>145</w:t>
      </w:r>
      <w:r>
        <w:rPr>
          <w:rFonts w:ascii="Arial" w:cs="Arial" w:eastAsia="Arial" w:hAnsi="Arial"/>
          <w:sz w:val="17"/>
          <w:szCs w:val="17"/>
          <w:color w:val="auto"/>
        </w:rPr>
        <w:t xml:space="preserve"> On Instacart Marketplace, a typical customer will see over 50 stores available on average on our mobile app or website, ranging from national chains to regional and local retailers.</w:t>
      </w:r>
      <w:r>
        <w:rPr>
          <w:rFonts w:ascii="Arial" w:cs="Arial" w:eastAsia="Arial" w:hAnsi="Arial"/>
          <w:sz w:val="25"/>
          <w:szCs w:val="25"/>
          <w:color w:val="auto"/>
          <w:vertAlign w:val="superscript"/>
        </w:rPr>
        <w:t>146</w:t>
      </w:r>
      <w:r>
        <w:rPr>
          <w:rFonts w:ascii="Arial" w:cs="Arial" w:eastAsia="Arial" w:hAnsi="Arial"/>
          <w:sz w:val="17"/>
          <w:szCs w:val="17"/>
          <w:color w:val="auto"/>
        </w:rPr>
        <w:t xml:space="preserve"> Instacart Marketplace provides customers with a new way to shop over a million unique products all in one place sold by their favorite retailers, who can offer their full grocery catalogs of over tens of thousands of SKUs on Instacart.</w:t>
      </w:r>
    </w:p>
    <w:p>
      <w:pPr>
        <w:spacing w:after="0" w:line="103" w:lineRule="exact"/>
        <w:rPr>
          <w:rFonts w:ascii="Arial" w:cs="Arial" w:eastAsia="Arial" w:hAnsi="Arial"/>
          <w:sz w:val="17"/>
          <w:szCs w:val="17"/>
          <w:color w:val="auto"/>
        </w:rPr>
      </w:pPr>
    </w:p>
    <w:p>
      <w:pPr>
        <w:ind w:left="1360" w:right="20" w:hanging="498"/>
        <w:spacing w:after="0" w:line="277" w:lineRule="auto"/>
        <w:tabs>
          <w:tab w:leader="none" w:pos="1360"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Breadth of Use Cases</w:t>
      </w:r>
      <w:r>
        <w:rPr>
          <w:rFonts w:ascii="Arial" w:cs="Arial" w:eastAsia="Arial" w:hAnsi="Arial"/>
          <w:sz w:val="16"/>
          <w:szCs w:val="16"/>
          <w:color w:val="auto"/>
        </w:rPr>
        <w:t>. We meet the customer wherever they want to shop, however they want to shop, across many use cases and</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options whether for personal or business needs. We support all use cases including weekly shop, bulk stock-up, convenience, and special occasion. In addition, we offer a broad range of fulfillment options, including pickup and delivery ranging from no rush to next available window to next day, priority (one hour), and quick convenience (as fast as 30 minutes).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63500</wp:posOffset>
            </wp:positionV>
            <wp:extent cx="7239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13" w:lineRule="exact"/>
        <w:rPr>
          <w:sz w:val="20"/>
          <w:szCs w:val="20"/>
          <w:color w:val="auto"/>
        </w:rPr>
      </w:pPr>
    </w:p>
    <w:p>
      <w:pPr>
        <w:ind w:left="860" w:right="300" w:hanging="403"/>
        <w:spacing w:after="0" w:line="233" w:lineRule="auto"/>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For the 12 months ended March 13, 2022. Numerator. Data from approximately 105,000 households across the United States selected by Numerator and designed to be nationally representative compared to U.S. census data.</w:t>
      </w:r>
    </w:p>
    <w:p>
      <w:pPr>
        <w:ind w:left="860" w:hanging="403"/>
        <w:spacing w:after="0" w:line="223" w:lineRule="auto"/>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Average order value on Instacart in 2022. U.S. Bureau of Labor Statistics; based on consumer expenditures in 2020.</w:t>
      </w:r>
    </w:p>
    <w:p>
      <w:pPr>
        <w:ind w:left="860" w:right="300" w:hanging="403"/>
        <w:spacing w:after="0" w:line="223" w:lineRule="auto"/>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Year 1 amount based on the average monthly spend of the 2017, 2018, 2019, 2020, 2021, and 2022 cohorts in the year of their first order, and Year 6 amount based on the average monthly spend of the 2017 cohort in 2022.</w:t>
      </w:r>
    </w:p>
    <w:p>
      <w:pPr>
        <w:ind w:left="860" w:hanging="403"/>
        <w:spacing w:after="0" w:line="223" w:lineRule="auto"/>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U.S. Bureau of Labor Statistics; based on consumer expenditures in 2021.</w:t>
      </w:r>
    </w:p>
    <w:p>
      <w:pPr>
        <w:ind w:left="860" w:hanging="403"/>
        <w:spacing w:after="0" w:line="223" w:lineRule="auto"/>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hanging="403"/>
        <w:spacing w:after="0" w:line="223" w:lineRule="auto"/>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Based on total grocery sales in 2022, excluding alcohol sales. CSG.</w:t>
      </w:r>
    </w:p>
    <w:p>
      <w:pPr>
        <w:ind w:left="860" w:hanging="403"/>
        <w:spacing w:after="0"/>
        <w:tabs>
          <w:tab w:leader="none" w:pos="860" w:val="left"/>
        </w:tabs>
        <w:numPr>
          <w:ilvl w:val="0"/>
          <w:numId w:val="176"/>
        </w:numPr>
        <w:rPr>
          <w:rFonts w:ascii="Arial" w:cs="Arial" w:eastAsia="Arial" w:hAnsi="Arial"/>
          <w:sz w:val="10"/>
          <w:szCs w:val="10"/>
          <w:color w:val="auto"/>
        </w:rPr>
      </w:pPr>
      <w:r>
        <w:rPr>
          <w:rFonts w:ascii="Arial" w:cs="Arial" w:eastAsia="Arial" w:hAnsi="Arial"/>
          <w:sz w:val="13"/>
          <w:szCs w:val="13"/>
          <w:color w:val="auto"/>
        </w:rPr>
        <w:t>Instacart estimate based on the weighted average number of retail partners per monthly active orderer by geographic zone for the quarter ended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780"/>
          </w:cols>
          <w:pgMar w:left="320" w:top="440" w:right="79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spacing w:after="0" w:line="340" w:lineRule="auto"/>
        <w:rPr>
          <w:sz w:val="20"/>
          <w:szCs w:val="20"/>
          <w:color w:val="auto"/>
        </w:rPr>
      </w:pPr>
      <w:r>
        <w:rPr>
          <w:rFonts w:ascii="Arial" w:cs="Arial" w:eastAsia="Arial" w:hAnsi="Arial"/>
          <w:sz w:val="15"/>
          <w:szCs w:val="15"/>
          <w:color w:val="auto"/>
        </w:rPr>
        <w:t>certain customers who want quick delivery, we have continued to invest in our fulfillment technology to shorten delivery times without compromising quality and customer experience. We are constantly innovating and introducing new services to serve our customers’ needs:</w:t>
      </w:r>
    </w:p>
    <w:p>
      <w:pPr>
        <w:spacing w:after="0" w:line="31" w:lineRule="exact"/>
        <w:rPr>
          <w:sz w:val="20"/>
          <w:szCs w:val="20"/>
          <w:color w:val="auto"/>
        </w:rPr>
      </w:pPr>
    </w:p>
    <w:p>
      <w:pPr>
        <w:ind w:left="1360" w:right="280" w:hanging="498"/>
        <w:spacing w:after="0" w:line="303" w:lineRule="auto"/>
        <w:tabs>
          <w:tab w:leader="none" w:pos="1360"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Instacart Business. </w:t>
      </w:r>
      <w:r>
        <w:rPr>
          <w:rFonts w:ascii="Arial" w:cs="Arial" w:eastAsia="Arial" w:hAnsi="Arial"/>
          <w:sz w:val="16"/>
          <w:szCs w:val="16"/>
          <w:color w:val="auto"/>
        </w:rPr>
        <w:t>For customers shopping for their businesses, they can leverage our tailored Instacart Business solution to centralize</w:t>
      </w:r>
      <w:r>
        <w:rPr>
          <w:rFonts w:ascii="Arial" w:cs="Arial" w:eastAsia="Arial" w:hAnsi="Arial"/>
          <w:sz w:val="16"/>
          <w:szCs w:val="16"/>
          <w:i w:val="1"/>
          <w:iCs w:val="1"/>
          <w:color w:val="auto"/>
        </w:rPr>
        <w:t xml:space="preserve"> </w:t>
      </w:r>
      <w:r>
        <w:rPr>
          <w:rFonts w:ascii="Arial" w:cs="Arial" w:eastAsia="Arial" w:hAnsi="Arial"/>
          <w:sz w:val="16"/>
          <w:szCs w:val="16"/>
          <w:color w:val="auto"/>
        </w:rPr>
        <w:t>their ordering, build shared lists, generate invoices, and access other business-friendly product features.</w:t>
      </w:r>
    </w:p>
    <w:p>
      <w:pPr>
        <w:spacing w:after="0" w:line="54" w:lineRule="exact"/>
        <w:rPr>
          <w:rFonts w:ascii="Arial" w:cs="Arial" w:eastAsia="Arial" w:hAnsi="Arial"/>
          <w:sz w:val="16"/>
          <w:szCs w:val="16"/>
          <w:color w:val="auto"/>
        </w:rPr>
      </w:pPr>
    </w:p>
    <w:p>
      <w:pPr>
        <w:ind w:left="1360" w:hanging="498"/>
        <w:spacing w:after="0" w:line="260" w:lineRule="auto"/>
        <w:tabs>
          <w:tab w:leader="none" w:pos="1360" w:val="left"/>
        </w:tabs>
        <w:numPr>
          <w:ilvl w:val="0"/>
          <w:numId w:val="177"/>
        </w:numPr>
        <w:rPr>
          <w:rFonts w:ascii="Arial" w:cs="Arial" w:eastAsia="Arial" w:hAnsi="Arial"/>
          <w:sz w:val="17"/>
          <w:szCs w:val="17"/>
          <w:color w:val="auto"/>
        </w:rPr>
      </w:pPr>
      <w:r>
        <w:rPr>
          <w:rFonts w:ascii="Arial" w:cs="Arial" w:eastAsia="Arial" w:hAnsi="Arial"/>
          <w:sz w:val="17"/>
          <w:szCs w:val="17"/>
          <w:i w:val="1"/>
          <w:iCs w:val="1"/>
          <w:color w:val="auto"/>
        </w:rPr>
        <w:t xml:space="preserve">Instacart Health. </w:t>
      </w:r>
      <w:r>
        <w:rPr>
          <w:rFonts w:ascii="Arial" w:cs="Arial" w:eastAsia="Arial" w:hAnsi="Arial"/>
          <w:sz w:val="17"/>
          <w:szCs w:val="17"/>
          <w:color w:val="auto"/>
        </w:rPr>
        <w:t>As we develop partnerships with payers, providers, employers, and non-profits, we aim to make it easier for them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cost of nutritious food and prescribe food to patients as easily as they prescribe medication. Our goal is to make it possible for a larger number of people to get access to affordable, nutritious food.</w:t>
      </w:r>
    </w:p>
    <w:p>
      <w:pPr>
        <w:spacing w:after="0" w:line="86" w:lineRule="exact"/>
        <w:rPr>
          <w:rFonts w:ascii="Arial" w:cs="Arial" w:eastAsia="Arial" w:hAnsi="Arial"/>
          <w:sz w:val="17"/>
          <w:szCs w:val="17"/>
          <w:color w:val="auto"/>
        </w:rPr>
      </w:pPr>
    </w:p>
    <w:p>
      <w:pPr>
        <w:ind w:left="1360" w:right="40" w:hanging="498"/>
        <w:spacing w:after="0" w:line="255" w:lineRule="auto"/>
        <w:tabs>
          <w:tab w:leader="none" w:pos="1360" w:val="left"/>
        </w:tabs>
        <w:numPr>
          <w:ilvl w:val="0"/>
          <w:numId w:val="177"/>
        </w:numPr>
        <w:rPr>
          <w:rFonts w:ascii="Arial" w:cs="Arial" w:eastAsia="Arial" w:hAnsi="Arial"/>
          <w:sz w:val="15"/>
          <w:szCs w:val="15"/>
          <w:color w:val="auto"/>
        </w:rPr>
      </w:pPr>
      <w:r>
        <w:rPr>
          <w:rFonts w:ascii="Arial" w:cs="Arial" w:eastAsia="Arial" w:hAnsi="Arial"/>
          <w:sz w:val="15"/>
          <w:szCs w:val="15"/>
          <w:i w:val="1"/>
          <w:iCs w:val="1"/>
          <w:color w:val="auto"/>
        </w:rPr>
        <w:t>Reclaim Time</w:t>
      </w:r>
      <w:r>
        <w:rPr>
          <w:rFonts w:ascii="Arial" w:cs="Arial" w:eastAsia="Arial" w:hAnsi="Arial"/>
          <w:sz w:val="15"/>
          <w:szCs w:val="15"/>
          <w:color w:val="auto"/>
        </w:rPr>
        <w:t>. Consumers who shop in-store spend on average approximately 60 hours per year shopping for groceries, in addition to time</w:t>
      </w:r>
      <w:r>
        <w:rPr>
          <w:rFonts w:ascii="Arial" w:cs="Arial" w:eastAsia="Arial" w:hAnsi="Arial"/>
          <w:sz w:val="15"/>
          <w:szCs w:val="15"/>
          <w:i w:val="1"/>
          <w:iCs w:val="1"/>
          <w:color w:val="auto"/>
        </w:rPr>
        <w:t xml:space="preserve"> </w:t>
      </w:r>
      <w:r>
        <w:rPr>
          <w:rFonts w:ascii="Arial" w:cs="Arial" w:eastAsia="Arial" w:hAnsi="Arial"/>
          <w:sz w:val="15"/>
          <w:szCs w:val="15"/>
          <w:color w:val="auto"/>
        </w:rPr>
        <w:t>spent commuting to and from stores.</w:t>
      </w:r>
      <w:r>
        <w:rPr>
          <w:rFonts w:ascii="Arial" w:cs="Arial" w:eastAsia="Arial" w:hAnsi="Arial"/>
          <w:sz w:val="22"/>
          <w:szCs w:val="22"/>
          <w:color w:val="auto"/>
          <w:vertAlign w:val="superscript"/>
        </w:rPr>
        <w:t>147</w:t>
      </w:r>
      <w:r>
        <w:rPr>
          <w:rFonts w:ascii="Arial" w:cs="Arial" w:eastAsia="Arial" w:hAnsi="Arial"/>
          <w:sz w:val="15"/>
          <w:szCs w:val="15"/>
          <w:color w:val="auto"/>
        </w:rPr>
        <w:t xml:space="preserve"> Across our entire footprint, customers can place an order in minutes and specify convenient delivery or pickup windows. Instacart has helped customers save over 700 million hours in the aggregate since our founding.</w:t>
      </w:r>
    </w:p>
    <w:p>
      <w:pPr>
        <w:spacing w:after="0" w:line="86" w:lineRule="exact"/>
        <w:rPr>
          <w:rFonts w:ascii="Arial" w:cs="Arial" w:eastAsia="Arial" w:hAnsi="Arial"/>
          <w:sz w:val="15"/>
          <w:szCs w:val="15"/>
          <w:color w:val="auto"/>
        </w:rPr>
      </w:pPr>
    </w:p>
    <w:p>
      <w:pPr>
        <w:ind w:left="1360" w:hanging="498"/>
        <w:spacing w:after="0"/>
        <w:tabs>
          <w:tab w:leader="none" w:pos="1360" w:val="left"/>
        </w:tabs>
        <w:numPr>
          <w:ilvl w:val="0"/>
          <w:numId w:val="177"/>
        </w:numPr>
        <w:rPr>
          <w:rFonts w:ascii="Arial" w:cs="Arial" w:eastAsia="Arial" w:hAnsi="Arial"/>
          <w:sz w:val="17"/>
          <w:szCs w:val="17"/>
          <w:color w:val="auto"/>
        </w:rPr>
      </w:pPr>
      <w:r>
        <w:rPr>
          <w:rFonts w:ascii="Arial" w:cs="Arial" w:eastAsia="Arial" w:hAnsi="Arial"/>
          <w:sz w:val="17"/>
          <w:szCs w:val="17"/>
          <w:i w:val="1"/>
          <w:iCs w:val="1"/>
          <w:color w:val="auto"/>
        </w:rPr>
        <w:t>Value</w:t>
      </w:r>
      <w:r>
        <w:rPr>
          <w:rFonts w:ascii="Arial" w:cs="Arial" w:eastAsia="Arial" w:hAnsi="Arial"/>
          <w:sz w:val="17"/>
          <w:szCs w:val="17"/>
          <w:color w:val="auto"/>
        </w:rPr>
        <w:t>. Our technology makes it easier for our customers to save money:</w:t>
      </w:r>
    </w:p>
    <w:p>
      <w:pPr>
        <w:spacing w:after="0" w:line="121" w:lineRule="exact"/>
        <w:rPr>
          <w:rFonts w:ascii="Arial" w:cs="Arial" w:eastAsia="Arial" w:hAnsi="Arial"/>
          <w:sz w:val="17"/>
          <w:szCs w:val="17"/>
          <w:color w:val="auto"/>
        </w:rPr>
      </w:pPr>
    </w:p>
    <w:p>
      <w:pPr>
        <w:ind w:left="1780" w:hanging="398"/>
        <w:spacing w:after="0"/>
        <w:tabs>
          <w:tab w:leader="none" w:pos="1780"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Retailer choice</w:t>
      </w:r>
      <w:r>
        <w:rPr>
          <w:rFonts w:ascii="Arial" w:cs="Arial" w:eastAsia="Arial" w:hAnsi="Arial"/>
          <w:sz w:val="16"/>
          <w:szCs w:val="16"/>
          <w:color w:val="auto"/>
        </w:rPr>
        <w:t>. Customers can seamlessly search for retailers that best meet their needs including value retailers such as</w:t>
      </w:r>
    </w:p>
    <w:p>
      <w:pPr>
        <w:spacing w:after="0" w:line="30" w:lineRule="exact"/>
        <w:rPr>
          <w:rFonts w:ascii="Arial" w:cs="Arial" w:eastAsia="Arial" w:hAnsi="Arial"/>
          <w:sz w:val="16"/>
          <w:szCs w:val="16"/>
          <w:color w:val="auto"/>
        </w:rPr>
      </w:pPr>
    </w:p>
    <w:p>
      <w:pPr>
        <w:ind w:left="1780" w:right="140"/>
        <w:spacing w:after="0" w:line="201" w:lineRule="auto"/>
        <w:rPr>
          <w:rFonts w:ascii="Arial" w:cs="Arial" w:eastAsia="Arial" w:hAnsi="Arial"/>
          <w:sz w:val="16"/>
          <w:szCs w:val="16"/>
          <w:color w:val="auto"/>
        </w:rPr>
      </w:pPr>
      <w:r>
        <w:rPr>
          <w:rFonts w:ascii="Arial" w:cs="Arial" w:eastAsia="Arial" w:hAnsi="Arial"/>
          <w:sz w:val="17"/>
          <w:szCs w:val="17"/>
          <w:color w:val="auto"/>
        </w:rPr>
        <w:t>and shop from over 425 banners that offer in-store pricing on Instacart.</w:t>
      </w:r>
      <w:r>
        <w:rPr>
          <w:rFonts w:ascii="Arial" w:cs="Arial" w:eastAsia="Arial" w:hAnsi="Arial"/>
          <w:sz w:val="25"/>
          <w:szCs w:val="25"/>
          <w:color w:val="auto"/>
          <w:vertAlign w:val="superscript"/>
        </w:rPr>
        <w:t>148</w:t>
      </w:r>
      <w:r>
        <w:rPr>
          <w:rFonts w:ascii="Arial" w:cs="Arial" w:eastAsia="Arial" w:hAnsi="Arial"/>
          <w:sz w:val="17"/>
          <w:szCs w:val="17"/>
          <w:color w:val="auto"/>
        </w:rPr>
        <w:t xml:space="preserve"> We recently launched “Stores to Help You Save,” which spotlights these stores on our Home screen.</w:t>
      </w:r>
    </w:p>
    <w:p>
      <w:pPr>
        <w:spacing w:after="0" w:line="102" w:lineRule="exact"/>
        <w:rPr>
          <w:rFonts w:ascii="Arial" w:cs="Arial" w:eastAsia="Arial" w:hAnsi="Arial"/>
          <w:sz w:val="16"/>
          <w:szCs w:val="16"/>
          <w:color w:val="auto"/>
        </w:rPr>
      </w:pPr>
    </w:p>
    <w:p>
      <w:pPr>
        <w:ind w:left="1780" w:right="80" w:hanging="398"/>
        <w:spacing w:after="0" w:line="301" w:lineRule="auto"/>
        <w:tabs>
          <w:tab w:leader="none" w:pos="1780" w:val="left"/>
        </w:tabs>
        <w:numPr>
          <w:ilvl w:val="1"/>
          <w:numId w:val="177"/>
        </w:numPr>
        <w:rPr>
          <w:rFonts w:ascii="Arial" w:cs="Arial" w:eastAsia="Arial" w:hAnsi="Arial"/>
          <w:sz w:val="15"/>
          <w:szCs w:val="15"/>
          <w:color w:val="auto"/>
        </w:rPr>
      </w:pPr>
      <w:r>
        <w:rPr>
          <w:rFonts w:ascii="Arial" w:cs="Arial" w:eastAsia="Arial" w:hAnsi="Arial"/>
          <w:sz w:val="15"/>
          <w:szCs w:val="15"/>
          <w:i w:val="1"/>
          <w:iCs w:val="1"/>
          <w:color w:val="auto"/>
        </w:rPr>
        <w:t>Brand choice</w:t>
      </w:r>
      <w:r>
        <w:rPr>
          <w:rFonts w:ascii="Arial" w:cs="Arial" w:eastAsia="Arial" w:hAnsi="Arial"/>
          <w:sz w:val="15"/>
          <w:szCs w:val="15"/>
          <w:color w:val="auto"/>
        </w:rPr>
        <w:t>. Instacart offers an efficient way for consumers to compare across established, challenger, and store brands to find the</w:t>
      </w:r>
      <w:r>
        <w:rPr>
          <w:rFonts w:ascii="Arial" w:cs="Arial" w:eastAsia="Arial" w:hAnsi="Arial"/>
          <w:sz w:val="15"/>
          <w:szCs w:val="15"/>
          <w:i w:val="1"/>
          <w:iCs w:val="1"/>
          <w:color w:val="auto"/>
        </w:rPr>
        <w:t xml:space="preserve"> </w:t>
      </w:r>
      <w:r>
        <w:rPr>
          <w:rFonts w:ascii="Arial" w:cs="Arial" w:eastAsia="Arial" w:hAnsi="Arial"/>
          <w:sz w:val="15"/>
          <w:szCs w:val="15"/>
          <w:color w:val="auto"/>
        </w:rPr>
        <w:t>best priced products, while leveraging exclusive coupons and benefits for tens of thousands of items that are all easily discoverable through the Deals tab on Instacart Marketplace. We believe our acquisition of Eversight will bolster this capability, as we can leverage the Eversight platform’s AI-powered technology to create compelling savings opportunities for customers in real-time.</w:t>
      </w:r>
    </w:p>
    <w:p>
      <w:pPr>
        <w:spacing w:after="0" w:line="59" w:lineRule="exact"/>
        <w:rPr>
          <w:rFonts w:ascii="Arial" w:cs="Arial" w:eastAsia="Arial" w:hAnsi="Arial"/>
          <w:sz w:val="15"/>
          <w:szCs w:val="15"/>
          <w:color w:val="auto"/>
        </w:rPr>
      </w:pPr>
    </w:p>
    <w:p>
      <w:pPr>
        <w:ind w:left="1780" w:right="20" w:hanging="398"/>
        <w:spacing w:after="0" w:line="293" w:lineRule="auto"/>
        <w:tabs>
          <w:tab w:leader="none" w:pos="1780" w:val="left"/>
        </w:tabs>
        <w:numPr>
          <w:ilvl w:val="1"/>
          <w:numId w:val="177"/>
        </w:numPr>
        <w:rPr>
          <w:rFonts w:ascii="Arial" w:cs="Arial" w:eastAsia="Arial" w:hAnsi="Arial"/>
          <w:sz w:val="15"/>
          <w:szCs w:val="15"/>
          <w:color w:val="auto"/>
        </w:rPr>
      </w:pPr>
      <w:r>
        <w:rPr>
          <w:rFonts w:ascii="Arial" w:cs="Arial" w:eastAsia="Arial" w:hAnsi="Arial"/>
          <w:sz w:val="15"/>
          <w:szCs w:val="15"/>
          <w:i w:val="1"/>
          <w:iCs w:val="1"/>
          <w:color w:val="auto"/>
        </w:rPr>
        <w:t>Personalized recommendations</w:t>
      </w:r>
      <w:r>
        <w:rPr>
          <w:rFonts w:ascii="Arial" w:cs="Arial" w:eastAsia="Arial" w:hAnsi="Arial"/>
          <w:sz w:val="15"/>
          <w:szCs w:val="15"/>
          <w:color w:val="auto"/>
        </w:rPr>
        <w:t>. We leverage our machine learning capabilities and Eversight’s AI-powered technology to create</w:t>
      </w:r>
      <w:r>
        <w:rPr>
          <w:rFonts w:ascii="Arial" w:cs="Arial" w:eastAsia="Arial" w:hAnsi="Arial"/>
          <w:sz w:val="15"/>
          <w:szCs w:val="15"/>
          <w:i w:val="1"/>
          <w:iCs w:val="1"/>
          <w:color w:val="auto"/>
        </w:rPr>
        <w:t xml:space="preserve"> </w:t>
      </w:r>
      <w:r>
        <w:rPr>
          <w:rFonts w:ascii="Arial" w:cs="Arial" w:eastAsia="Arial" w:hAnsi="Arial"/>
          <w:sz w:val="15"/>
          <w:szCs w:val="15"/>
          <w:color w:val="auto"/>
        </w:rPr>
        <w:t>compelling savings opportunities for customers in real-time. “Your Items on Sale” feature is one example that leverages this AI-recommendation system to highlight personalized deals based on customers’ past orders. Another is the “Floating Cart” feature that allows customers to understand total savings in their cart as they shop and brands to offer discounts when customers meet a dollar or item threshold. We also use these models to personalize the app experience based on individual customers’ estimated price sensitivities, highlighting more affordable options to those customers that are estimated to be particularly price-conscious.</w:t>
      </w:r>
    </w:p>
    <w:p>
      <w:pPr>
        <w:spacing w:after="0" w:line="66" w:lineRule="exact"/>
        <w:rPr>
          <w:rFonts w:ascii="Arial" w:cs="Arial" w:eastAsia="Arial" w:hAnsi="Arial"/>
          <w:sz w:val="15"/>
          <w:szCs w:val="15"/>
          <w:color w:val="auto"/>
        </w:rPr>
      </w:pPr>
    </w:p>
    <w:p>
      <w:pPr>
        <w:ind w:left="1780" w:right="40" w:hanging="398"/>
        <w:spacing w:after="0" w:line="253" w:lineRule="auto"/>
        <w:tabs>
          <w:tab w:leader="none" w:pos="1780"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Fulfillment choice</w:t>
      </w:r>
      <w:r>
        <w:rPr>
          <w:rFonts w:ascii="Arial" w:cs="Arial" w:eastAsia="Arial" w:hAnsi="Arial"/>
          <w:sz w:val="17"/>
          <w:szCs w:val="17"/>
          <w:color w:val="auto"/>
        </w:rPr>
        <w:t>. We offer a wide range of fulfillment options including pickup, no rush delivery, or next day delivery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more affordable, further helping those customers who want to prioritize affordability over speed. For example, we launched No rush delivery, which offers a $2 credit for choosing a more flexible delivery window. No rush delivery grew to approximately 6% of orders by December 2022 following its rollout in September 2022. Customers who prioritize speed over affordability can utilize Priority delivery, which charges an extra fee for faster delivery. Priority deliveries accounted for 35% of orders in the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83185</wp:posOffset>
            </wp:positionV>
            <wp:extent cx="7239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3" w:lineRule="exact"/>
        <w:rPr>
          <w:sz w:val="20"/>
          <w:szCs w:val="20"/>
          <w:color w:val="auto"/>
        </w:rPr>
      </w:pPr>
    </w:p>
    <w:p>
      <w:pPr>
        <w:ind w:left="860" w:hanging="403"/>
        <w:spacing w:after="0"/>
        <w:tabs>
          <w:tab w:leader="none" w:pos="860" w:val="left"/>
        </w:tabs>
        <w:numPr>
          <w:ilvl w:val="0"/>
          <w:numId w:val="178"/>
        </w:numPr>
        <w:rPr>
          <w:rFonts w:ascii="Arial" w:cs="Arial" w:eastAsia="Arial" w:hAnsi="Arial"/>
          <w:sz w:val="10"/>
          <w:szCs w:val="10"/>
          <w:color w:val="auto"/>
        </w:rPr>
      </w:pPr>
      <w:r>
        <w:rPr>
          <w:rFonts w:ascii="Arial" w:cs="Arial" w:eastAsia="Arial" w:hAnsi="Arial"/>
          <w:sz w:val="13"/>
          <w:szCs w:val="13"/>
          <w:color w:val="auto"/>
        </w:rPr>
        <w:t>Lifetime GTV is defined as the cumulative GTV for a customer over a five-year period following such customer’s first purchase on Instacart.</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178"/>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760"/>
          </w:cols>
          <w:pgMar w:left="320" w:top="440" w:right="81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1780" w:right="120" w:hanging="398"/>
        <w:spacing w:after="0" w:line="257" w:lineRule="auto"/>
        <w:tabs>
          <w:tab w:leader="none" w:pos="1780" w:val="left"/>
        </w:tabs>
        <w:numPr>
          <w:ilvl w:val="1"/>
          <w:numId w:val="179"/>
        </w:numPr>
        <w:rPr>
          <w:rFonts w:ascii="Arial" w:cs="Arial" w:eastAsia="Arial" w:hAnsi="Arial"/>
          <w:sz w:val="17"/>
          <w:szCs w:val="17"/>
          <w:color w:val="auto"/>
        </w:rPr>
      </w:pPr>
      <w:r>
        <w:rPr>
          <w:rFonts w:ascii="Arial" w:cs="Arial" w:eastAsia="Arial" w:hAnsi="Arial"/>
          <w:sz w:val="17"/>
          <w:szCs w:val="17"/>
          <w:i w:val="1"/>
          <w:iCs w:val="1"/>
          <w:color w:val="auto"/>
        </w:rPr>
        <w:t>Payment choice</w:t>
      </w:r>
      <w:r>
        <w:rPr>
          <w:rFonts w:ascii="Arial" w:cs="Arial" w:eastAsia="Arial" w:hAnsi="Arial"/>
          <w:sz w:val="17"/>
          <w:szCs w:val="17"/>
          <w:color w:val="auto"/>
        </w:rPr>
        <w:t>. We offer a variety of payment methods including the Instacart Mastercard that offers 5% cashback on all Instacart</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among other benefits, like buy now pay later options, Fresh Funds, and EBT SNAP, a program that serves the more than 38 million people experiencing food insecurity in the United States, which we make available through more than 120 retail banners across more than 10,000 stores.</w:t>
      </w:r>
      <w:r>
        <w:rPr>
          <w:rFonts w:ascii="Arial" w:cs="Arial" w:eastAsia="Arial" w:hAnsi="Arial"/>
          <w:sz w:val="25"/>
          <w:szCs w:val="25"/>
          <w:color w:val="auto"/>
          <w:vertAlign w:val="superscript"/>
        </w:rPr>
        <w:t>149</w:t>
      </w:r>
    </w:p>
    <w:p>
      <w:pPr>
        <w:spacing w:after="0" w:line="2" w:lineRule="exact"/>
        <w:rPr>
          <w:rFonts w:ascii="Arial" w:cs="Arial" w:eastAsia="Arial" w:hAnsi="Arial"/>
          <w:sz w:val="17"/>
          <w:szCs w:val="17"/>
          <w:color w:val="auto"/>
        </w:rPr>
      </w:pPr>
    </w:p>
    <w:p>
      <w:pPr>
        <w:ind w:left="1780" w:hanging="398"/>
        <w:spacing w:after="0" w:line="301" w:lineRule="auto"/>
        <w:tabs>
          <w:tab w:leader="none" w:pos="1780" w:val="left"/>
        </w:tabs>
        <w:numPr>
          <w:ilvl w:val="1"/>
          <w:numId w:val="179"/>
        </w:numPr>
        <w:rPr>
          <w:rFonts w:ascii="Arial" w:cs="Arial" w:eastAsia="Arial" w:hAnsi="Arial"/>
          <w:sz w:val="15"/>
          <w:szCs w:val="15"/>
          <w:color w:val="auto"/>
        </w:rPr>
      </w:pPr>
      <w:r>
        <w:rPr>
          <w:rFonts w:ascii="Arial" w:cs="Arial" w:eastAsia="Arial" w:hAnsi="Arial"/>
          <w:sz w:val="15"/>
          <w:szCs w:val="15"/>
          <w:i w:val="1"/>
          <w:iCs w:val="1"/>
          <w:color w:val="auto"/>
        </w:rPr>
        <w:t>Membership</w:t>
      </w:r>
      <w:r>
        <w:rPr>
          <w:rFonts w:ascii="Arial" w:cs="Arial" w:eastAsia="Arial" w:hAnsi="Arial"/>
          <w:sz w:val="15"/>
          <w:szCs w:val="15"/>
          <w:color w:val="auto"/>
        </w:rPr>
        <w:t>. Our Instacart+ members have additional benefits including free delivery on orders over a certain size, reduced service</w:t>
      </w:r>
      <w:r>
        <w:rPr>
          <w:rFonts w:ascii="Arial" w:cs="Arial" w:eastAsia="Arial" w:hAnsi="Arial"/>
          <w:sz w:val="15"/>
          <w:szCs w:val="15"/>
          <w:i w:val="1"/>
          <w:iCs w:val="1"/>
          <w:color w:val="auto"/>
        </w:rPr>
        <w:t xml:space="preserve"> </w:t>
      </w:r>
      <w:r>
        <w:rPr>
          <w:rFonts w:ascii="Arial" w:cs="Arial" w:eastAsia="Arial" w:hAnsi="Arial"/>
          <w:sz w:val="15"/>
          <w:szCs w:val="15"/>
          <w:color w:val="auto"/>
        </w:rPr>
        <w:t>fees, credit back on eligible pickup orders, and other exclusive benefits. The combination of these features makes many of our orders cheaper than the cost of the same order in-store, helping our customers save money by shopping on Instacart.</w:t>
      </w:r>
    </w:p>
    <w:p>
      <w:pPr>
        <w:spacing w:after="0" w:line="58" w:lineRule="exact"/>
        <w:rPr>
          <w:rFonts w:ascii="Arial" w:cs="Arial" w:eastAsia="Arial" w:hAnsi="Arial"/>
          <w:sz w:val="15"/>
          <w:szCs w:val="15"/>
          <w:color w:val="auto"/>
        </w:rPr>
      </w:pPr>
    </w:p>
    <w:p>
      <w:pPr>
        <w:ind w:left="1360" w:right="120" w:hanging="498"/>
        <w:spacing w:after="0" w:line="246" w:lineRule="auto"/>
        <w:tabs>
          <w:tab w:leader="none" w:pos="1360" w:val="left"/>
        </w:tabs>
        <w:numPr>
          <w:ilvl w:val="0"/>
          <w:numId w:val="179"/>
        </w:numPr>
        <w:rPr>
          <w:rFonts w:ascii="Arial" w:cs="Arial" w:eastAsia="Arial" w:hAnsi="Arial"/>
          <w:sz w:val="15"/>
          <w:szCs w:val="15"/>
          <w:color w:val="auto"/>
        </w:rPr>
      </w:pPr>
      <w:r>
        <w:rPr>
          <w:rFonts w:ascii="Arial" w:cs="Arial" w:eastAsia="Arial" w:hAnsi="Arial"/>
          <w:sz w:val="15"/>
          <w:szCs w:val="15"/>
          <w:i w:val="1"/>
          <w:iCs w:val="1"/>
          <w:color w:val="auto"/>
        </w:rPr>
        <w:t>Member Benefits</w:t>
      </w:r>
      <w:r>
        <w:rPr>
          <w:rFonts w:ascii="Arial" w:cs="Arial" w:eastAsia="Arial" w:hAnsi="Arial"/>
          <w:sz w:val="15"/>
          <w:szCs w:val="15"/>
          <w:color w:val="auto"/>
        </w:rPr>
        <w:t>. With Instacart+, we provide customers with a membership program that lowers the cost of online grocery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waived delivery fees, lower service fees, and credit back on eligible pickup orders. On average, Instacart+ members enjoy more than $30 of monthly savings with these membership benefits compared to customers without Instacart+.</w:t>
      </w:r>
      <w:r>
        <w:rPr>
          <w:rFonts w:ascii="Arial" w:cs="Arial" w:eastAsia="Arial" w:hAnsi="Arial"/>
          <w:sz w:val="22"/>
          <w:szCs w:val="22"/>
          <w:color w:val="auto"/>
          <w:vertAlign w:val="superscript"/>
        </w:rPr>
        <w:t>150</w:t>
      </w:r>
      <w:r>
        <w:rPr>
          <w:rFonts w:ascii="Arial" w:cs="Arial" w:eastAsia="Arial" w:hAnsi="Arial"/>
          <w:sz w:val="15"/>
          <w:szCs w:val="15"/>
          <w:color w:val="auto"/>
        </w:rPr>
        <w:t xml:space="preserve"> In the first six months of 2023, Instacart+ members represented $8,533 million of our total GTV, including order costs and fees paid by Instacart+ members. On average, this translates to an Instacart+ member spending an aggregate of $466 over 4.1 orders per month, compared to an aggregate of $231 spent over 2.1 orders by a non-member.</w:t>
      </w:r>
      <w:r>
        <w:rPr>
          <w:rFonts w:ascii="Arial" w:cs="Arial" w:eastAsia="Arial" w:hAnsi="Arial"/>
          <w:sz w:val="22"/>
          <w:szCs w:val="22"/>
          <w:color w:val="auto"/>
          <w:vertAlign w:val="superscript"/>
        </w:rPr>
        <w:t>151</w:t>
      </w:r>
      <w:r>
        <w:rPr>
          <w:rFonts w:ascii="Arial" w:cs="Arial" w:eastAsia="Arial" w:hAnsi="Arial"/>
          <w:sz w:val="15"/>
          <w:szCs w:val="15"/>
          <w:color w:val="auto"/>
        </w:rPr>
        <w:t xml:space="preserve"> On average, Instacart+ members have shopped at more than twice as many retail banners since joining Instacart than non-members.</w:t>
      </w:r>
      <w:r>
        <w:rPr>
          <w:rFonts w:ascii="Arial" w:cs="Arial" w:eastAsia="Arial" w:hAnsi="Arial"/>
          <w:sz w:val="22"/>
          <w:szCs w:val="22"/>
          <w:color w:val="auto"/>
          <w:vertAlign w:val="superscript"/>
        </w:rPr>
        <w:t>152</w:t>
      </w:r>
      <w:r>
        <w:rPr>
          <w:rFonts w:ascii="Arial" w:cs="Arial" w:eastAsia="Arial" w:hAnsi="Arial"/>
          <w:sz w:val="15"/>
          <w:szCs w:val="15"/>
          <w:color w:val="auto"/>
        </w:rPr>
        <w:t xml:space="preserve"> The greater engagement of Instacart+ members grows over time, with an Instacart+ member generating on average 6.2 times more GTV compared to a non-member in a five-year period.</w:t>
      </w:r>
      <w:r>
        <w:rPr>
          <w:rFonts w:ascii="Arial" w:cs="Arial" w:eastAsia="Arial" w:hAnsi="Arial"/>
          <w:sz w:val="22"/>
          <w:szCs w:val="22"/>
          <w:color w:val="auto"/>
          <w:vertAlign w:val="superscript"/>
        </w:rPr>
        <w:t>153</w:t>
      </w:r>
    </w:p>
    <w:p>
      <w:pPr>
        <w:spacing w:after="0" w:line="4" w:lineRule="exact"/>
        <w:rPr>
          <w:rFonts w:ascii="Arial" w:cs="Arial" w:eastAsia="Arial" w:hAnsi="Arial"/>
          <w:sz w:val="15"/>
          <w:szCs w:val="15"/>
          <w:color w:val="auto"/>
        </w:rPr>
      </w:pPr>
    </w:p>
    <w:p>
      <w:pPr>
        <w:ind w:left="1360" w:right="240" w:hanging="498"/>
        <w:spacing w:after="0" w:line="266" w:lineRule="auto"/>
        <w:tabs>
          <w:tab w:leader="none" w:pos="1360"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Personalization</w:t>
      </w:r>
      <w:r>
        <w:rPr>
          <w:rFonts w:ascii="Arial" w:cs="Arial" w:eastAsia="Arial" w:hAnsi="Arial"/>
          <w:sz w:val="16"/>
          <w:szCs w:val="16"/>
          <w:color w:val="auto"/>
        </w:rPr>
        <w:t>. Our personalization capabilities are underpinned by the hundreds of millions of large basket orders we have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over the past decade, and they improve the more customers interact with Instacart. Our relationships with customers improve with each interaction. As customers browse our selection and place orders, we continue to refine our understanding of customer tastes and preferences. This allows us to tailor new item recommendations, make replacements that fit our customers’ needs when items are out of stock, and suggest “buy-it-again” items. With more than 75% of customers re-ordering items from previous carts, we make it easier for customers to shop with us in each subsequent transaction.</w:t>
      </w:r>
      <w:r>
        <w:rPr>
          <w:rFonts w:ascii="Arial" w:cs="Arial" w:eastAsia="Arial" w:hAnsi="Arial"/>
          <w:sz w:val="24"/>
          <w:szCs w:val="24"/>
          <w:color w:val="auto"/>
          <w:vertAlign w:val="superscript"/>
        </w:rPr>
        <w:t>154</w:t>
      </w:r>
    </w:p>
    <w:p>
      <w:pPr>
        <w:spacing w:after="0" w:line="4" w:lineRule="exact"/>
        <w:rPr>
          <w:rFonts w:ascii="Arial" w:cs="Arial" w:eastAsia="Arial" w:hAnsi="Arial"/>
          <w:sz w:val="16"/>
          <w:szCs w:val="16"/>
          <w:color w:val="auto"/>
        </w:rPr>
      </w:pPr>
    </w:p>
    <w:p>
      <w:pPr>
        <w:ind w:left="1360" w:hanging="498"/>
        <w:spacing w:after="0" w:line="294" w:lineRule="auto"/>
        <w:tabs>
          <w:tab w:leader="none" w:pos="1360" w:val="left"/>
        </w:tabs>
        <w:numPr>
          <w:ilvl w:val="0"/>
          <w:numId w:val="179"/>
        </w:numPr>
        <w:rPr>
          <w:rFonts w:ascii="Arial" w:cs="Arial" w:eastAsia="Arial" w:hAnsi="Arial"/>
          <w:sz w:val="15"/>
          <w:szCs w:val="15"/>
          <w:color w:val="auto"/>
        </w:rPr>
      </w:pPr>
      <w:r>
        <w:rPr>
          <w:rFonts w:ascii="Arial" w:cs="Arial" w:eastAsia="Arial" w:hAnsi="Arial"/>
          <w:sz w:val="15"/>
          <w:szCs w:val="15"/>
          <w:i w:val="1"/>
          <w:iCs w:val="1"/>
          <w:color w:val="auto"/>
        </w:rPr>
        <w:t>Quality</w:t>
      </w:r>
      <w:r>
        <w:rPr>
          <w:rFonts w:ascii="Arial" w:cs="Arial" w:eastAsia="Arial" w:hAnsi="Arial"/>
          <w:sz w:val="15"/>
          <w:szCs w:val="15"/>
          <w:color w:val="auto"/>
        </w:rPr>
        <w:t>. We have prioritized improving quality in each step of the customer experience. We have invested significant resources to make</w:t>
      </w:r>
      <w:r>
        <w:rPr>
          <w:rFonts w:ascii="Arial" w:cs="Arial" w:eastAsia="Arial" w:hAnsi="Arial"/>
          <w:sz w:val="15"/>
          <w:szCs w:val="15"/>
          <w:i w:val="1"/>
          <w:iCs w:val="1"/>
          <w:color w:val="auto"/>
        </w:rPr>
        <w:t xml:space="preserve"> </w:t>
      </w:r>
      <w:r>
        <w:rPr>
          <w:rFonts w:ascii="Arial" w:cs="Arial" w:eastAsia="Arial" w:hAnsi="Arial"/>
          <w:sz w:val="15"/>
          <w:szCs w:val="15"/>
          <w:color w:val="auto"/>
        </w:rPr>
        <w:t>shopping online seamless, from improving search results to offering produce by the unit versus the pound to ensuring timely deliveries. We make it easy for customers and shoppers to chat, and our proprietary algorithm suggests high-quality replacements when needed. We also provide customer service to ensure every order meets the needs of our customers and delivers a high-quality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65405</wp:posOffset>
            </wp:positionV>
            <wp:extent cx="7239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15" w:lineRule="exact"/>
        <w:rPr>
          <w:sz w:val="20"/>
          <w:szCs w:val="20"/>
          <w:color w:val="auto"/>
        </w:rPr>
      </w:pPr>
    </w:p>
    <w:p>
      <w:pPr>
        <w:ind w:left="860" w:hanging="403"/>
        <w:spacing w:after="0"/>
        <w:tabs>
          <w:tab w:leader="none" w:pos="860" w:val="left"/>
        </w:tabs>
        <w:numPr>
          <w:ilvl w:val="0"/>
          <w:numId w:val="180"/>
        </w:numPr>
        <w:rPr>
          <w:rFonts w:ascii="Arial" w:cs="Arial" w:eastAsia="Arial" w:hAnsi="Arial"/>
          <w:sz w:val="10"/>
          <w:szCs w:val="10"/>
          <w:color w:val="auto"/>
        </w:rPr>
      </w:pPr>
      <w:r>
        <w:rPr>
          <w:rFonts w:ascii="Arial" w:cs="Arial" w:eastAsia="Arial" w:hAnsi="Arial"/>
          <w:sz w:val="13"/>
          <w:szCs w:val="13"/>
          <w:color w:val="auto"/>
        </w:rPr>
        <w:t>As of June 30, 2023. Number of people experiencing food insecurity reached by our retail partners is an Instacart estimate based on Feeding America.</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80"/>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ind w:left="860" w:hanging="403"/>
        <w:spacing w:after="0" w:line="223" w:lineRule="auto"/>
        <w:tabs>
          <w:tab w:leader="none" w:pos="860" w:val="left"/>
        </w:tabs>
        <w:numPr>
          <w:ilvl w:val="0"/>
          <w:numId w:val="180"/>
        </w:numPr>
        <w:rPr>
          <w:rFonts w:ascii="Arial" w:cs="Arial" w:eastAsia="Arial" w:hAnsi="Arial"/>
          <w:sz w:val="10"/>
          <w:szCs w:val="10"/>
          <w:color w:val="auto"/>
        </w:rPr>
      </w:pPr>
      <w:r>
        <w:rPr>
          <w:rFonts w:ascii="Arial" w:cs="Arial" w:eastAsia="Arial" w:hAnsi="Arial"/>
          <w:sz w:val="13"/>
          <w:szCs w:val="13"/>
          <w:color w:val="auto"/>
        </w:rPr>
        <w:t>For the six months ended June 30, 2023.</w:t>
      </w:r>
    </w:p>
    <w:p>
      <w:pPr>
        <w:ind w:left="860" w:hanging="403"/>
        <w:spacing w:after="0" w:line="223" w:lineRule="auto"/>
        <w:tabs>
          <w:tab w:leader="none" w:pos="860" w:val="left"/>
        </w:tabs>
        <w:numPr>
          <w:ilvl w:val="0"/>
          <w:numId w:val="180"/>
        </w:numPr>
        <w:rPr>
          <w:rFonts w:ascii="Arial" w:cs="Arial" w:eastAsia="Arial" w:hAnsi="Arial"/>
          <w:sz w:val="10"/>
          <w:szCs w:val="10"/>
          <w:color w:val="auto"/>
        </w:rPr>
      </w:pPr>
      <w:r>
        <w:rPr>
          <w:rFonts w:ascii="Arial" w:cs="Arial" w:eastAsia="Arial" w:hAnsi="Arial"/>
          <w:sz w:val="13"/>
          <w:szCs w:val="13"/>
          <w:color w:val="auto"/>
        </w:rPr>
        <w:t>For the month ended June 30, 2023.</w:t>
      </w:r>
    </w:p>
    <w:p>
      <w:pPr>
        <w:ind w:left="860" w:hanging="403"/>
        <w:spacing w:after="0" w:line="223" w:lineRule="auto"/>
        <w:tabs>
          <w:tab w:leader="none" w:pos="860" w:val="left"/>
        </w:tabs>
        <w:numPr>
          <w:ilvl w:val="0"/>
          <w:numId w:val="180"/>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hanging="403"/>
        <w:spacing w:after="0"/>
        <w:tabs>
          <w:tab w:leader="none" w:pos="860" w:val="left"/>
        </w:tabs>
        <w:numPr>
          <w:ilvl w:val="0"/>
          <w:numId w:val="180"/>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780"/>
          </w:cols>
          <w:pgMar w:left="320" w:top="440" w:right="79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Brands</w:t>
      </w:r>
    </w:p>
    <w:p>
      <w:pPr>
        <w:spacing w:after="0" w:line="108" w:lineRule="exact"/>
        <w:rPr>
          <w:sz w:val="20"/>
          <w:szCs w:val="20"/>
          <w:color w:val="auto"/>
        </w:rPr>
      </w:pPr>
    </w:p>
    <w:p>
      <w:pPr>
        <w:ind w:left="460" w:right="180" w:firstLine="413"/>
        <w:spacing w:after="0" w:line="255" w:lineRule="auto"/>
        <w:rPr>
          <w:sz w:val="20"/>
          <w:szCs w:val="20"/>
          <w:color w:val="auto"/>
        </w:rPr>
      </w:pPr>
      <w:r>
        <w:rPr>
          <w:rFonts w:ascii="Arial" w:cs="Arial" w:eastAsia="Arial" w:hAnsi="Arial"/>
          <w:sz w:val="15"/>
          <w:szCs w:val="15"/>
          <w:color w:val="auto"/>
        </w:rPr>
        <w:t>We provide our brand partners with access to millions of high-intent customers from the point of purchase and within minutes of delivery and consumption.</w:t>
      </w:r>
      <w:r>
        <w:rPr>
          <w:rFonts w:ascii="Arial" w:cs="Arial" w:eastAsia="Arial" w:hAnsi="Arial"/>
          <w:sz w:val="22"/>
          <w:szCs w:val="22"/>
          <w:color w:val="auto"/>
          <w:vertAlign w:val="superscript"/>
        </w:rPr>
        <w:t>155</w:t>
      </w:r>
      <w:r>
        <w:rPr>
          <w:rFonts w:ascii="Arial" w:cs="Arial" w:eastAsia="Arial" w:hAnsi="Arial"/>
          <w:sz w:val="15"/>
          <w:szCs w:val="15"/>
          <w:color w:val="auto"/>
        </w:rPr>
        <w:t xml:space="preserve"> Our advertising solutions empower brand discovery and drive meaningful value for CPG brands, including emerging brands that face unique challenges driving discovery through the traditional in-store model. The key elements of our brand value proposition include:</w:t>
      </w:r>
    </w:p>
    <w:p>
      <w:pPr>
        <w:spacing w:after="0" w:line="87" w:lineRule="exact"/>
        <w:rPr>
          <w:sz w:val="20"/>
          <w:szCs w:val="20"/>
          <w:color w:val="auto"/>
        </w:rPr>
      </w:pPr>
    </w:p>
    <w:p>
      <w:pPr>
        <w:ind w:left="1360" w:right="20" w:hanging="498"/>
        <w:spacing w:after="0" w:line="274" w:lineRule="auto"/>
        <w:tabs>
          <w:tab w:leader="none" w:pos="1360" w:val="left"/>
        </w:tabs>
        <w:numPr>
          <w:ilvl w:val="0"/>
          <w:numId w:val="181"/>
        </w:numPr>
        <w:rPr>
          <w:rFonts w:ascii="Arial" w:cs="Arial" w:eastAsia="Arial" w:hAnsi="Arial"/>
          <w:sz w:val="15"/>
          <w:szCs w:val="15"/>
          <w:color w:val="auto"/>
        </w:rPr>
      </w:pPr>
      <w:r>
        <w:rPr>
          <w:rFonts w:ascii="Arial" w:cs="Arial" w:eastAsia="Arial" w:hAnsi="Arial"/>
          <w:sz w:val="15"/>
          <w:szCs w:val="15"/>
          <w:i w:val="1"/>
          <w:iCs w:val="1"/>
          <w:color w:val="auto"/>
        </w:rPr>
        <w:t>High ROI</w:t>
      </w:r>
      <w:r>
        <w:rPr>
          <w:rFonts w:ascii="Arial" w:cs="Arial" w:eastAsia="Arial" w:hAnsi="Arial"/>
          <w:sz w:val="15"/>
          <w:szCs w:val="15"/>
          <w:color w:val="auto"/>
        </w:rPr>
        <w:t>. We drive incremental sales for advertisers through our online advertising products purpose-built for grocery. We estimate that</w:t>
      </w:r>
      <w:r>
        <w:rPr>
          <w:rFonts w:ascii="Arial" w:cs="Arial" w:eastAsia="Arial" w:hAnsi="Arial"/>
          <w:sz w:val="15"/>
          <w:szCs w:val="15"/>
          <w:i w:val="1"/>
          <w:iCs w:val="1"/>
          <w:color w:val="auto"/>
        </w:rPr>
        <w:t xml:space="preserve"> </w:t>
      </w:r>
      <w:r>
        <w:rPr>
          <w:rFonts w:ascii="Arial" w:cs="Arial" w:eastAsia="Arial" w:hAnsi="Arial"/>
          <w:sz w:val="15"/>
          <w:szCs w:val="15"/>
          <w:color w:val="auto"/>
        </w:rPr>
        <w:t>on average, our ads deliver more than a 15% incremental sales lift, and in some cases twice that, for our brand partners.</w:t>
      </w:r>
      <w:r>
        <w:rPr>
          <w:rFonts w:ascii="Arial" w:cs="Arial" w:eastAsia="Arial" w:hAnsi="Arial"/>
          <w:sz w:val="22"/>
          <w:szCs w:val="22"/>
          <w:color w:val="auto"/>
          <w:vertAlign w:val="superscript"/>
        </w:rPr>
        <w:t>156</w:t>
      </w:r>
      <w:r>
        <w:rPr>
          <w:rFonts w:ascii="Arial" w:cs="Arial" w:eastAsia="Arial" w:hAnsi="Arial"/>
          <w:sz w:val="15"/>
          <w:szCs w:val="15"/>
          <w:color w:val="auto"/>
        </w:rPr>
        <w:t xml:space="preserve"> Our Sponsored Product ads offering, which uses a second-price cost-per-click auction, enables ads for relevant products to appear throughout the customer journey on Instacart. Our solutions offer optimized bidding to maximize sales and budget pacing, among many other features to drive higher ROI. Our data and insights dashboard provides advertisers with the comprehensive overview of customer behavior they need to maximize return on their spend. We help brands target the fastest growing segment of the grocery market, given retailers that partner with Instacart have generally grown their online sales faster than the market since 2018. Additionally, by virtue of Instacart being the leading grocery technology company in North America, we are increasingly customers’ first online destination for grocery. As a result, customers discover brands on Instacart and build brand affinity, which may result in purchases on Instacart Marketplace or offline where approximately 90% of shopping takes place. While the ROI on offline purchases is not directly measurable via Instacart, we believe that the brand affinity built on Instacart through ads drives offline purchases and delivers incremental value to brands.</w:t>
      </w:r>
    </w:p>
    <w:p>
      <w:pPr>
        <w:spacing w:after="0" w:line="84" w:lineRule="exact"/>
        <w:rPr>
          <w:rFonts w:ascii="Arial" w:cs="Arial" w:eastAsia="Arial" w:hAnsi="Arial"/>
          <w:sz w:val="15"/>
          <w:szCs w:val="15"/>
          <w:color w:val="auto"/>
        </w:rPr>
      </w:pPr>
    </w:p>
    <w:p>
      <w:pPr>
        <w:ind w:left="1360" w:right="240" w:hanging="498"/>
        <w:spacing w:after="0" w:line="295" w:lineRule="auto"/>
        <w:tabs>
          <w:tab w:leader="none" w:pos="1360" w:val="left"/>
        </w:tabs>
        <w:numPr>
          <w:ilvl w:val="0"/>
          <w:numId w:val="181"/>
        </w:numPr>
        <w:rPr>
          <w:rFonts w:ascii="Arial" w:cs="Arial" w:eastAsia="Arial" w:hAnsi="Arial"/>
          <w:sz w:val="15"/>
          <w:szCs w:val="15"/>
          <w:color w:val="auto"/>
        </w:rPr>
      </w:pPr>
      <w:r>
        <w:rPr>
          <w:rFonts w:ascii="Arial" w:cs="Arial" w:eastAsia="Arial" w:hAnsi="Arial"/>
          <w:sz w:val="15"/>
          <w:szCs w:val="15"/>
          <w:i w:val="1"/>
          <w:iCs w:val="1"/>
          <w:color w:val="auto"/>
        </w:rPr>
        <w:t>High-Intent Customers</w:t>
      </w:r>
      <w:r>
        <w:rPr>
          <w:rFonts w:ascii="Arial" w:cs="Arial" w:eastAsia="Arial" w:hAnsi="Arial"/>
          <w:sz w:val="15"/>
          <w:szCs w:val="15"/>
          <w:color w:val="auto"/>
        </w:rPr>
        <w:t>. We offer brands a differentiated opportunity to influence purchase behavior of high-intent customers and drive</w:t>
      </w:r>
      <w:r>
        <w:rPr>
          <w:rFonts w:ascii="Arial" w:cs="Arial" w:eastAsia="Arial" w:hAnsi="Arial"/>
          <w:sz w:val="15"/>
          <w:szCs w:val="15"/>
          <w:i w:val="1"/>
          <w:iCs w:val="1"/>
          <w:color w:val="auto"/>
        </w:rPr>
        <w:t xml:space="preserve"> </w:t>
      </w:r>
      <w:r>
        <w:rPr>
          <w:rFonts w:ascii="Arial" w:cs="Arial" w:eastAsia="Arial" w:hAnsi="Arial"/>
          <w:sz w:val="15"/>
          <w:szCs w:val="15"/>
          <w:color w:val="auto"/>
        </w:rPr>
        <w:t>market share gains. In the second quarter of 2023, we helped customers discover over 180 million items through recommendations. Our customers have ordered over 1.2 billion items, which underscores the large opportunity that brands have to reach customers.</w:t>
      </w:r>
      <w:r>
        <w:rPr>
          <w:rFonts w:ascii="Arial" w:cs="Arial" w:eastAsia="Arial" w:hAnsi="Arial"/>
          <w:sz w:val="22"/>
          <w:szCs w:val="22"/>
          <w:color w:val="auto"/>
          <w:vertAlign w:val="superscript"/>
        </w:rPr>
        <w:t>157</w:t>
      </w:r>
    </w:p>
    <w:p>
      <w:pPr>
        <w:ind w:left="1360" w:right="20" w:hanging="498"/>
        <w:spacing w:after="0" w:line="250" w:lineRule="auto"/>
        <w:tabs>
          <w:tab w:leader="none" w:pos="136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Actionability and Immediacy</w:t>
      </w:r>
      <w:r>
        <w:rPr>
          <w:rFonts w:ascii="Arial" w:cs="Arial" w:eastAsia="Arial" w:hAnsi="Arial"/>
          <w:sz w:val="17"/>
          <w:szCs w:val="17"/>
          <w:color w:val="auto"/>
        </w:rPr>
        <w:t>. CPG brands are seeking more opportunities to connect digital advertising investments directly to sales</w:t>
      </w:r>
      <w:r>
        <w:rPr>
          <w:rFonts w:ascii="Arial" w:cs="Arial" w:eastAsia="Arial" w:hAnsi="Arial"/>
          <w:sz w:val="17"/>
          <w:szCs w:val="17"/>
          <w:i w:val="1"/>
          <w:iCs w:val="1"/>
          <w:color w:val="auto"/>
        </w:rPr>
        <w:t xml:space="preserve"> </w:t>
      </w:r>
      <w:r>
        <w:rPr>
          <w:rFonts w:ascii="Arial" w:cs="Arial" w:eastAsia="Arial" w:hAnsi="Arial"/>
          <w:sz w:val="17"/>
          <w:szCs w:val="17"/>
          <w:color w:val="auto"/>
        </w:rPr>
        <w:t>impact. Instacart Ads offers CPG brands an opportunity to move products off of store shelves as a direct result of their ads on Instacart. We help them advertise their products in a way that can enable an immediate purchase that can be delivered to the customer within hours or even minutes. The real-time nature of purchase and consumption allows brands to optimize their targeting and messaging to achieve compelling returns on investment.</w:t>
      </w:r>
    </w:p>
    <w:p>
      <w:pPr>
        <w:spacing w:after="0" w:line="94" w:lineRule="exact"/>
        <w:rPr>
          <w:rFonts w:ascii="Arial" w:cs="Arial" w:eastAsia="Arial" w:hAnsi="Arial"/>
          <w:sz w:val="17"/>
          <w:szCs w:val="17"/>
          <w:color w:val="auto"/>
        </w:rPr>
      </w:pPr>
    </w:p>
    <w:p>
      <w:pPr>
        <w:ind w:left="1360" w:right="80" w:hanging="498"/>
        <w:spacing w:after="0" w:line="340" w:lineRule="auto"/>
        <w:tabs>
          <w:tab w:leader="none" w:pos="1360" w:val="left"/>
        </w:tabs>
        <w:numPr>
          <w:ilvl w:val="0"/>
          <w:numId w:val="181"/>
        </w:numPr>
        <w:rPr>
          <w:rFonts w:ascii="Arial" w:cs="Arial" w:eastAsia="Arial" w:hAnsi="Arial"/>
          <w:sz w:val="15"/>
          <w:szCs w:val="15"/>
          <w:color w:val="auto"/>
        </w:rPr>
      </w:pPr>
      <w:r>
        <w:rPr>
          <w:rFonts w:ascii="Arial" w:cs="Arial" w:eastAsia="Arial" w:hAnsi="Arial"/>
          <w:sz w:val="15"/>
          <w:szCs w:val="15"/>
          <w:i w:val="1"/>
          <w:iCs w:val="1"/>
          <w:color w:val="auto"/>
        </w:rPr>
        <w:t>Self-Service Management</w:t>
      </w:r>
      <w:r>
        <w:rPr>
          <w:rFonts w:ascii="Arial" w:cs="Arial" w:eastAsia="Arial" w:hAnsi="Arial"/>
          <w:sz w:val="15"/>
          <w:szCs w:val="15"/>
          <w:color w:val="auto"/>
        </w:rPr>
        <w:t>. CPG brands can use our self-service Ads Manager to create, manage, monitor, and optimize their ad campaigns</w:t>
      </w:r>
      <w:r>
        <w:rPr>
          <w:rFonts w:ascii="Arial" w:cs="Arial" w:eastAsia="Arial" w:hAnsi="Arial"/>
          <w:sz w:val="15"/>
          <w:szCs w:val="15"/>
          <w:i w:val="1"/>
          <w:iCs w:val="1"/>
          <w:color w:val="auto"/>
        </w:rPr>
        <w:t xml:space="preserve"> </w:t>
      </w:r>
      <w:r>
        <w:rPr>
          <w:rFonts w:ascii="Arial" w:cs="Arial" w:eastAsia="Arial" w:hAnsi="Arial"/>
          <w:sz w:val="15"/>
          <w:szCs w:val="15"/>
          <w:color w:val="auto"/>
        </w:rPr>
        <w:t>on Instacart, and can choose to streamline eCommerce campaign management with API partners utilizing our API integration.</w:t>
      </w:r>
    </w:p>
    <w:p>
      <w:pPr>
        <w:spacing w:after="0" w:line="30" w:lineRule="exact"/>
        <w:rPr>
          <w:rFonts w:ascii="Arial" w:cs="Arial" w:eastAsia="Arial" w:hAnsi="Arial"/>
          <w:sz w:val="15"/>
          <w:szCs w:val="15"/>
          <w:color w:val="auto"/>
        </w:rPr>
      </w:pPr>
    </w:p>
    <w:p>
      <w:pPr>
        <w:ind w:left="1360" w:hanging="498"/>
        <w:spacing w:after="0" w:line="311" w:lineRule="auto"/>
        <w:tabs>
          <w:tab w:leader="none" w:pos="1360" w:val="left"/>
        </w:tabs>
        <w:numPr>
          <w:ilvl w:val="0"/>
          <w:numId w:val="181"/>
        </w:numPr>
        <w:rPr>
          <w:rFonts w:ascii="Arial" w:cs="Arial" w:eastAsia="Arial" w:hAnsi="Arial"/>
          <w:sz w:val="15"/>
          <w:szCs w:val="15"/>
          <w:color w:val="auto"/>
        </w:rPr>
      </w:pPr>
      <w:r>
        <w:rPr>
          <w:rFonts w:ascii="Arial" w:cs="Arial" w:eastAsia="Arial" w:hAnsi="Arial"/>
          <w:sz w:val="15"/>
          <w:szCs w:val="15"/>
          <w:i w:val="1"/>
          <w:iCs w:val="1"/>
          <w:color w:val="auto"/>
        </w:rPr>
        <w:t>First-Party Data</w:t>
      </w:r>
      <w:r>
        <w:rPr>
          <w:rFonts w:ascii="Arial" w:cs="Arial" w:eastAsia="Arial" w:hAnsi="Arial"/>
          <w:sz w:val="15"/>
          <w:szCs w:val="15"/>
          <w:color w:val="auto"/>
        </w:rPr>
        <w:t>. To power Instacart Ads, we use first-party data collected through a customer’s activities on Instacart,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browsing, searching, purchasing, and choosing replacements. This gives us control over the data we use to optimize the performance of our ads offerings without reliance on third-party data that is susceptible to significant privacy and data sharing regulations.</w:t>
      </w:r>
    </w:p>
    <w:p>
      <w:pPr>
        <w:spacing w:after="0" w:line="51" w:lineRule="exact"/>
        <w:rPr>
          <w:rFonts w:ascii="Arial" w:cs="Arial" w:eastAsia="Arial" w:hAnsi="Arial"/>
          <w:sz w:val="15"/>
          <w:szCs w:val="15"/>
          <w:color w:val="auto"/>
        </w:rPr>
      </w:pPr>
    </w:p>
    <w:p>
      <w:pPr>
        <w:ind w:left="1360" w:right="140" w:hanging="498"/>
        <w:spacing w:after="0" w:line="272" w:lineRule="auto"/>
        <w:tabs>
          <w:tab w:leader="none" w:pos="136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Measurability</w:t>
      </w:r>
      <w:r>
        <w:rPr>
          <w:rFonts w:ascii="Arial" w:cs="Arial" w:eastAsia="Arial" w:hAnsi="Arial"/>
          <w:sz w:val="17"/>
          <w:szCs w:val="17"/>
          <w:color w:val="auto"/>
        </w:rPr>
        <w:t>. Since we leverage first-party data, our brand partners are able to measure ROI and performance with greater accuracy and</w:t>
      </w:r>
      <w:r>
        <w:rPr>
          <w:rFonts w:ascii="Arial" w:cs="Arial" w:eastAsia="Arial" w:hAnsi="Arial"/>
          <w:sz w:val="17"/>
          <w:szCs w:val="17"/>
          <w:i w:val="1"/>
          <w:iCs w:val="1"/>
          <w:color w:val="auto"/>
        </w:rPr>
        <w:t xml:space="preserve"> </w:t>
      </w:r>
      <w:r>
        <w:rPr>
          <w:rFonts w:ascii="Arial" w:cs="Arial" w:eastAsia="Arial" w:hAnsi="Arial"/>
          <w:sz w:val="17"/>
          <w:szCs w:val="17"/>
          <w:color w:val="auto"/>
        </w:rPr>
        <w:t>better understand the value of advertising on Instacart and how their spend drives purchases.</w:t>
      </w:r>
    </w:p>
    <w:p>
      <w:pPr>
        <w:spacing w:after="0" w:line="76" w:lineRule="exact"/>
        <w:rPr>
          <w:rFonts w:ascii="Arial" w:cs="Arial" w:eastAsia="Arial" w:hAnsi="Arial"/>
          <w:sz w:val="17"/>
          <w:szCs w:val="17"/>
          <w:color w:val="auto"/>
        </w:rPr>
      </w:pPr>
    </w:p>
    <w:p>
      <w:pPr>
        <w:ind w:left="1360" w:right="280" w:hanging="498"/>
        <w:spacing w:after="0" w:line="284" w:lineRule="auto"/>
        <w:tabs>
          <w:tab w:leader="none" w:pos="136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Impactful Insights</w:t>
      </w:r>
      <w:r>
        <w:rPr>
          <w:rFonts w:ascii="Arial" w:cs="Arial" w:eastAsia="Arial" w:hAnsi="Arial"/>
          <w:sz w:val="16"/>
          <w:szCs w:val="16"/>
          <w:color w:val="auto"/>
        </w:rPr>
        <w:t>. We provide our brand partners with actionable customer insights that are not available via traditional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channels, including their basket penetration, category share, and parent company and brand-level sales. Brands are able to leverage this data to expand their reach, drive sales with effective targeting, and optimize their advertising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67310</wp:posOffset>
            </wp:positionV>
            <wp:extent cx="7239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19" w:lineRule="exact"/>
        <w:rPr>
          <w:sz w:val="20"/>
          <w:szCs w:val="20"/>
          <w:color w:val="auto"/>
        </w:rPr>
      </w:pPr>
    </w:p>
    <w:p>
      <w:pPr>
        <w:ind w:left="860" w:hanging="403"/>
        <w:spacing w:after="0"/>
        <w:tabs>
          <w:tab w:leader="none" w:pos="860" w:val="left"/>
        </w:tabs>
        <w:numPr>
          <w:ilvl w:val="0"/>
          <w:numId w:val="182"/>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right="140" w:hanging="403"/>
        <w:spacing w:after="0" w:line="223" w:lineRule="auto"/>
        <w:tabs>
          <w:tab w:leader="none" w:pos="860" w:val="left"/>
        </w:tabs>
        <w:numPr>
          <w:ilvl w:val="0"/>
          <w:numId w:val="182"/>
        </w:numPr>
        <w:rPr>
          <w:rFonts w:ascii="Arial" w:cs="Arial" w:eastAsia="Arial" w:hAnsi="Arial"/>
          <w:sz w:val="10"/>
          <w:szCs w:val="10"/>
          <w:color w:val="auto"/>
        </w:rPr>
      </w:pPr>
      <w:r>
        <w:rPr>
          <w:rFonts w:ascii="Arial" w:cs="Arial" w:eastAsia="Arial" w:hAnsi="Arial"/>
          <w:sz w:val="13"/>
          <w:szCs w:val="13"/>
          <w:color w:val="auto"/>
        </w:rPr>
        <w:t>Based on internal tests run across all brand partners using our Sponsored Product ads offering in the quarter ended June 30, 2023 and individual tests run for select brands or types of brands.</w:t>
      </w:r>
    </w:p>
    <w:p>
      <w:pPr>
        <w:ind w:left="860" w:hanging="403"/>
        <w:spacing w:after="0"/>
        <w:tabs>
          <w:tab w:leader="none" w:pos="860" w:val="left"/>
        </w:tabs>
        <w:numPr>
          <w:ilvl w:val="0"/>
          <w:numId w:val="182"/>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80"/>
          </w:cols>
          <w:pgMar w:left="320" w:top="440" w:right="79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line="301" w:lineRule="auto"/>
        <w:tabs>
          <w:tab w:leader="none" w:pos="1360"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Broad Solution Set</w:t>
      </w:r>
      <w:r>
        <w:rPr>
          <w:rFonts w:ascii="Arial" w:cs="Arial" w:eastAsia="Arial" w:hAnsi="Arial"/>
          <w:sz w:val="15"/>
          <w:szCs w:val="15"/>
          <w:color w:val="auto"/>
        </w:rPr>
        <w:t>. We offer a broad set of solutions — from organic discovery of products through our search engine, to sponsored search</w:t>
      </w:r>
      <w:r>
        <w:rPr>
          <w:rFonts w:ascii="Arial" w:cs="Arial" w:eastAsia="Arial" w:hAnsi="Arial"/>
          <w:sz w:val="15"/>
          <w:szCs w:val="15"/>
          <w:i w:val="1"/>
          <w:iCs w:val="1"/>
          <w:color w:val="auto"/>
        </w:rPr>
        <w:t xml:space="preserve"> </w:t>
      </w:r>
      <w:r>
        <w:rPr>
          <w:rFonts w:ascii="Arial" w:cs="Arial" w:eastAsia="Arial" w:hAnsi="Arial"/>
          <w:sz w:val="15"/>
          <w:szCs w:val="15"/>
          <w:color w:val="auto"/>
        </w:rPr>
        <w:t>ad products, paid placements through our display ads, and promotions. Our solutions create more value for our entire ecosystem by providing savings for customers and helping drive larger average order values for our retail partners. Our unique data insights have also allowed us to build a powerful recommendation system and inspire customers to try new items and products on Instacart Marketplace.</w:t>
      </w:r>
    </w:p>
    <w:p>
      <w:pPr>
        <w:spacing w:after="0" w:line="59" w:lineRule="exact"/>
        <w:rPr>
          <w:rFonts w:ascii="Arial" w:cs="Arial" w:eastAsia="Arial" w:hAnsi="Arial"/>
          <w:sz w:val="15"/>
          <w:szCs w:val="15"/>
          <w:color w:val="auto"/>
        </w:rPr>
      </w:pPr>
    </w:p>
    <w:p>
      <w:pPr>
        <w:ind w:left="1360" w:right="20" w:hanging="498"/>
        <w:spacing w:after="0" w:line="260" w:lineRule="auto"/>
        <w:tabs>
          <w:tab w:leader="none" w:pos="136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Nationwide Retailer Scale</w:t>
      </w:r>
      <w:r>
        <w:rPr>
          <w:rFonts w:ascii="Arial" w:cs="Arial" w:eastAsia="Arial" w:hAnsi="Arial"/>
          <w:sz w:val="17"/>
          <w:szCs w:val="17"/>
          <w:color w:val="auto"/>
        </w:rPr>
        <w:t>. Instacart provides brands with a single channel to optimize their portfolio of advertising spend across the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base of retailers on Instacart. Rather than managing hundreds of individual retailer accounts like they do offline, brands can scale and optimize their online spend in one centralized location.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Shoppers</w:t>
      </w:r>
    </w:p>
    <w:p>
      <w:pPr>
        <w:spacing w:after="0" w:line="108" w:lineRule="exact"/>
        <w:rPr>
          <w:sz w:val="20"/>
          <w:szCs w:val="20"/>
          <w:color w:val="auto"/>
        </w:rPr>
      </w:pPr>
    </w:p>
    <w:p>
      <w:pPr>
        <w:ind w:left="460" w:right="140" w:firstLine="413"/>
        <w:spacing w:after="0" w:line="193" w:lineRule="auto"/>
        <w:rPr>
          <w:sz w:val="20"/>
          <w:szCs w:val="20"/>
          <w:color w:val="auto"/>
        </w:rPr>
      </w:pPr>
      <w:r>
        <w:rPr>
          <w:rFonts w:ascii="Arial" w:cs="Arial" w:eastAsia="Arial" w:hAnsi="Arial"/>
          <w:sz w:val="17"/>
          <w:szCs w:val="17"/>
          <w:color w:val="auto"/>
        </w:rPr>
        <w:t>Instacart offers immediate, flexible earnings opportunities for hundreds of thousands of individuals.</w:t>
      </w:r>
      <w:r>
        <w:rPr>
          <w:rFonts w:ascii="Arial" w:cs="Arial" w:eastAsia="Arial" w:hAnsi="Arial"/>
          <w:sz w:val="25"/>
          <w:szCs w:val="25"/>
          <w:color w:val="auto"/>
          <w:vertAlign w:val="superscript"/>
        </w:rPr>
        <w:t>158</w:t>
      </w:r>
      <w:r>
        <w:rPr>
          <w:rFonts w:ascii="Arial" w:cs="Arial" w:eastAsia="Arial" w:hAnsi="Arial"/>
          <w:sz w:val="17"/>
          <w:szCs w:val="17"/>
          <w:color w:val="auto"/>
        </w:rPr>
        <w:t xml:space="preserve"> Shoppers are about two-thirds female, about half of them are parents, and they work on average about 9 hours per week, nearly half of which is spent shopping as opposed to driving.</w:t>
      </w:r>
      <w:r>
        <w:rPr>
          <w:rFonts w:ascii="Arial" w:cs="Arial" w:eastAsia="Arial" w:hAnsi="Arial"/>
          <w:sz w:val="25"/>
          <w:szCs w:val="25"/>
          <w:color w:val="auto"/>
          <w:vertAlign w:val="superscript"/>
        </w:rPr>
        <w:t>159</w:t>
      </w:r>
      <w:r>
        <w:rPr>
          <w:rFonts w:ascii="Arial" w:cs="Arial" w:eastAsia="Arial" w:hAnsi="Arial"/>
          <w:sz w:val="17"/>
          <w:szCs w:val="17"/>
          <w:color w:val="auto"/>
        </w:rPr>
        <w:t xml:space="preserve"> The key elements of our shopper value proposition include:</w:t>
      </w:r>
    </w:p>
    <w:p>
      <w:pPr>
        <w:spacing w:after="0" w:line="102" w:lineRule="exact"/>
        <w:rPr>
          <w:sz w:val="20"/>
          <w:szCs w:val="20"/>
          <w:color w:val="auto"/>
        </w:rPr>
      </w:pPr>
    </w:p>
    <w:p>
      <w:pPr>
        <w:ind w:left="1360" w:right="60" w:hanging="498"/>
        <w:spacing w:after="0" w:line="265" w:lineRule="auto"/>
        <w:tabs>
          <w:tab w:leader="none" w:pos="1360"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Earnings Potential</w:t>
      </w:r>
      <w:r>
        <w:rPr>
          <w:rFonts w:ascii="Arial" w:cs="Arial" w:eastAsia="Arial" w:hAnsi="Arial"/>
          <w:sz w:val="15"/>
          <w:szCs w:val="15"/>
          <w:color w:val="auto"/>
        </w:rPr>
        <w:t>. Since our founding, shoppers have earned over $15 billion on Instacart.</w:t>
      </w:r>
      <w:r>
        <w:rPr>
          <w:rFonts w:ascii="Arial" w:cs="Arial" w:eastAsia="Arial" w:hAnsi="Arial"/>
          <w:sz w:val="22"/>
          <w:szCs w:val="22"/>
          <w:color w:val="auto"/>
          <w:vertAlign w:val="superscript"/>
        </w:rPr>
        <w:t>160</w:t>
      </w:r>
      <w:r>
        <w:rPr>
          <w:rFonts w:ascii="Arial" w:cs="Arial" w:eastAsia="Arial" w:hAnsi="Arial"/>
          <w:sz w:val="15"/>
          <w:szCs w:val="15"/>
          <w:i w:val="1"/>
          <w:iCs w:val="1"/>
          <w:color w:val="auto"/>
        </w:rPr>
        <w:t xml:space="preserve"> </w:t>
      </w:r>
      <w:r>
        <w:rPr>
          <w:rFonts w:ascii="Arial" w:cs="Arial" w:eastAsia="Arial" w:hAnsi="Arial"/>
          <w:sz w:val="15"/>
          <w:szCs w:val="15"/>
          <w:color w:val="auto"/>
        </w:rPr>
        <w:t>We provide shoppers with tools to manage</w:t>
      </w:r>
      <w:r>
        <w:rPr>
          <w:rFonts w:ascii="Arial" w:cs="Arial" w:eastAsia="Arial" w:hAnsi="Arial"/>
          <w:sz w:val="15"/>
          <w:szCs w:val="15"/>
          <w:i w:val="1"/>
          <w:iCs w:val="1"/>
          <w:color w:val="auto"/>
        </w:rPr>
        <w:t xml:space="preserve"> </w:t>
      </w:r>
      <w:r>
        <w:rPr>
          <w:rFonts w:ascii="Arial" w:cs="Arial" w:eastAsia="Arial" w:hAnsi="Arial"/>
          <w:sz w:val="15"/>
          <w:szCs w:val="15"/>
          <w:color w:val="auto"/>
        </w:rPr>
        <w:t>their earnings, providing estimated earnings for an individual batch. We also implemented a number of measures to increase and protect shopper earnings, including covering customer tips that were removed without justification, subject to certain limitations, and taking steps to encourage customers to tip shoppers who provide excellent service through additional prompts. We also offer Instant Cashout so shoppers can choose to withdraw earnings instantly or accumulate earnings for payout on a weekly cycle.</w:t>
      </w:r>
    </w:p>
    <w:p>
      <w:pPr>
        <w:spacing w:after="0" w:line="85" w:lineRule="exact"/>
        <w:rPr>
          <w:rFonts w:ascii="Arial" w:cs="Arial" w:eastAsia="Arial" w:hAnsi="Arial"/>
          <w:sz w:val="15"/>
          <w:szCs w:val="15"/>
          <w:color w:val="auto"/>
        </w:rPr>
      </w:pPr>
    </w:p>
    <w:p>
      <w:pPr>
        <w:ind w:left="1360" w:right="380" w:hanging="498"/>
        <w:spacing w:after="0" w:line="301" w:lineRule="auto"/>
        <w:tabs>
          <w:tab w:leader="none" w:pos="1360"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Flexibility</w:t>
      </w:r>
      <w:r>
        <w:rPr>
          <w:rFonts w:ascii="Arial" w:cs="Arial" w:eastAsia="Arial" w:hAnsi="Arial"/>
          <w:sz w:val="15"/>
          <w:szCs w:val="15"/>
          <w:color w:val="auto"/>
        </w:rPr>
        <w:t>. Shoppers can start earning with simply a mobile device and a car. We equip shoppers with information so they can choose</w:t>
      </w:r>
      <w:r>
        <w:rPr>
          <w:rFonts w:ascii="Arial" w:cs="Arial" w:eastAsia="Arial" w:hAnsi="Arial"/>
          <w:sz w:val="15"/>
          <w:szCs w:val="15"/>
          <w:i w:val="1"/>
          <w:iCs w:val="1"/>
          <w:color w:val="auto"/>
        </w:rPr>
        <w:t xml:space="preserve"> </w:t>
      </w:r>
      <w:r>
        <w:rPr>
          <w:rFonts w:ascii="Arial" w:cs="Arial" w:eastAsia="Arial" w:hAnsi="Arial"/>
          <w:sz w:val="15"/>
          <w:szCs w:val="15"/>
          <w:color w:val="auto"/>
        </w:rPr>
        <w:t>which batches they want to accept based on the characteristics of that batch, including the retailer, estimated effort, number of items, distance, potential earnings, and estimated customer tip. Shopping with Instacart is differentiated from other flexible alternatives, like rideshare or restaurant delivery, because nearly half of the time is spent in-store and the work can often be done throughout the day.</w:t>
      </w:r>
    </w:p>
    <w:p>
      <w:pPr>
        <w:spacing w:after="0" w:line="59" w:lineRule="exact"/>
        <w:rPr>
          <w:rFonts w:ascii="Arial" w:cs="Arial" w:eastAsia="Arial" w:hAnsi="Arial"/>
          <w:sz w:val="15"/>
          <w:szCs w:val="15"/>
          <w:color w:val="auto"/>
        </w:rPr>
      </w:pPr>
    </w:p>
    <w:p>
      <w:pPr>
        <w:ind w:left="1360" w:right="100" w:hanging="498"/>
        <w:spacing w:after="0" w:line="254" w:lineRule="auto"/>
        <w:tabs>
          <w:tab w:leader="none" w:pos="1360"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Safety and Care</w:t>
      </w:r>
      <w:r>
        <w:rPr>
          <w:rFonts w:ascii="Arial" w:cs="Arial" w:eastAsia="Arial" w:hAnsi="Arial"/>
          <w:sz w:val="17"/>
          <w:szCs w:val="17"/>
          <w:color w:val="auto"/>
        </w:rPr>
        <w:t>. We have always prioritized the care and safety of our shopper community. We have several innovative safety features to</w:t>
      </w:r>
      <w:r>
        <w:rPr>
          <w:rFonts w:ascii="Arial" w:cs="Arial" w:eastAsia="Arial" w:hAnsi="Arial"/>
          <w:sz w:val="17"/>
          <w:szCs w:val="17"/>
          <w:i w:val="1"/>
          <w:iCs w:val="1"/>
          <w:color w:val="auto"/>
        </w:rPr>
        <w:t xml:space="preserve"> </w:t>
      </w:r>
      <w:r>
        <w:rPr>
          <w:rFonts w:ascii="Arial" w:cs="Arial" w:eastAsia="Arial" w:hAnsi="Arial"/>
          <w:sz w:val="17"/>
          <w:szCs w:val="17"/>
          <w:color w:val="auto"/>
        </w:rPr>
        <w:t>help protect shoppers. We facilitate shopper injury protection and offer in-app safety features such as safety alerts, incident reporting, and the ability to contact emergency services directly through the app. We also offer optional lessons on best practices for shopping and delivering with safety. Going forward, we are committed to continuing investing in shopper safety to maintain a safe and positive experience for all shoppers.</w:t>
      </w:r>
    </w:p>
    <w:p>
      <w:pPr>
        <w:spacing w:after="0" w:line="92" w:lineRule="exact"/>
        <w:rPr>
          <w:rFonts w:ascii="Arial" w:cs="Arial" w:eastAsia="Arial" w:hAnsi="Arial"/>
          <w:sz w:val="17"/>
          <w:szCs w:val="17"/>
          <w:color w:val="auto"/>
        </w:rPr>
      </w:pPr>
    </w:p>
    <w:p>
      <w:pPr>
        <w:ind w:left="1360" w:right="60" w:hanging="498"/>
        <w:spacing w:after="0" w:line="260" w:lineRule="auto"/>
        <w:tabs>
          <w:tab w:leader="none" w:pos="1360"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Technology Tools</w:t>
      </w:r>
      <w:r>
        <w:rPr>
          <w:rFonts w:ascii="Arial" w:cs="Arial" w:eastAsia="Arial" w:hAnsi="Arial"/>
          <w:sz w:val="17"/>
          <w:szCs w:val="17"/>
          <w:color w:val="auto"/>
        </w:rPr>
        <w:t>. We make a variety of resources available to help shoppers enhance the efficiency of their work. Our batching algorithm</w:t>
      </w:r>
      <w:r>
        <w:rPr>
          <w:rFonts w:ascii="Arial" w:cs="Arial" w:eastAsia="Arial" w:hAnsi="Arial"/>
          <w:sz w:val="17"/>
          <w:szCs w:val="17"/>
          <w:i w:val="1"/>
          <w:iCs w:val="1"/>
          <w:color w:val="auto"/>
        </w:rPr>
        <w:t xml:space="preserve"> </w:t>
      </w:r>
      <w:r>
        <w:rPr>
          <w:rFonts w:ascii="Arial" w:cs="Arial" w:eastAsia="Arial" w:hAnsi="Arial"/>
          <w:sz w:val="17"/>
          <w:szCs w:val="17"/>
          <w:color w:val="auto"/>
        </w:rPr>
        <w:t>helps shoppers maximize earnings by taking multiple orders at once, while our routing algorithm optimizes a shopper’s path to, through, and from the store.</w:t>
      </w:r>
    </w:p>
    <w:p>
      <w:pPr>
        <w:spacing w:after="0" w:line="86" w:lineRule="exact"/>
        <w:rPr>
          <w:rFonts w:ascii="Arial" w:cs="Arial" w:eastAsia="Arial" w:hAnsi="Arial"/>
          <w:sz w:val="17"/>
          <w:szCs w:val="17"/>
          <w:color w:val="auto"/>
        </w:rPr>
      </w:pPr>
    </w:p>
    <w:p>
      <w:pPr>
        <w:ind w:left="1360" w:right="60" w:hanging="498"/>
        <w:spacing w:after="0" w:line="254" w:lineRule="auto"/>
        <w:tabs>
          <w:tab w:leader="none" w:pos="1360"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Incentives</w:t>
      </w:r>
      <w:r>
        <w:rPr>
          <w:rFonts w:ascii="Arial" w:cs="Arial" w:eastAsia="Arial" w:hAnsi="Arial"/>
          <w:sz w:val="17"/>
          <w:szCs w:val="17"/>
          <w:color w:val="auto"/>
        </w:rPr>
        <w:t>. We believe that the work of shoppers is highly meaningful, as they balance empathy, efficiency, communication, and problem-solving to prepare the customer’s order. We recognize hard work and reward shoppers with impactful incentives, such as priority access to batches, gas savings, recognition in the customer app, and discounted backup care, that help them stand out to their customers, increase their access to earnings, and reach their personal goals. See the section titled “—Our Offerings—For Shoppers” for more information on incentives we offer to shoppers.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211455</wp:posOffset>
            </wp:positionV>
            <wp:extent cx="7239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45" w:lineRule="exact"/>
        <w:rPr>
          <w:sz w:val="20"/>
          <w:szCs w:val="20"/>
          <w:color w:val="auto"/>
        </w:rPr>
      </w:pPr>
    </w:p>
    <w:p>
      <w:pPr>
        <w:ind w:left="860" w:hanging="403"/>
        <w:spacing w:after="0"/>
        <w:tabs>
          <w:tab w:leader="none" w:pos="860" w:val="left"/>
        </w:tabs>
        <w:numPr>
          <w:ilvl w:val="0"/>
          <w:numId w:val="185"/>
        </w:numPr>
        <w:rPr>
          <w:rFonts w:ascii="Arial" w:cs="Arial" w:eastAsia="Arial" w:hAnsi="Arial"/>
          <w:sz w:val="10"/>
          <w:szCs w:val="10"/>
          <w:color w:val="auto"/>
        </w:rPr>
      </w:pPr>
      <w:r>
        <w:rPr>
          <w:rFonts w:ascii="Arial" w:cs="Arial" w:eastAsia="Arial" w:hAnsi="Arial"/>
          <w:sz w:val="13"/>
          <w:szCs w:val="13"/>
          <w:color w:val="auto"/>
        </w:rPr>
        <w:t>Based on shoppers who completed at least one order during the month ended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85"/>
        </w:numPr>
        <w:rPr>
          <w:rFonts w:ascii="Arial" w:cs="Arial" w:eastAsia="Arial" w:hAnsi="Arial"/>
          <w:sz w:val="10"/>
          <w:szCs w:val="10"/>
          <w:color w:val="auto"/>
        </w:rPr>
      </w:pPr>
      <w:r>
        <w:rPr>
          <w:rFonts w:ascii="Arial" w:cs="Arial" w:eastAsia="Arial" w:hAnsi="Arial"/>
          <w:sz w:val="13"/>
          <w:szCs w:val="13"/>
          <w:color w:val="auto"/>
        </w:rPr>
        <w:t>Based on a random sampling of 2,906 shoppers who completed at least one order during the month ended June 30, 2023.</w:t>
      </w:r>
    </w:p>
    <w:p>
      <w:pPr>
        <w:ind w:left="860" w:hanging="403"/>
        <w:spacing w:after="0"/>
        <w:tabs>
          <w:tab w:leader="none" w:pos="860" w:val="left"/>
        </w:tabs>
        <w:numPr>
          <w:ilvl w:val="0"/>
          <w:numId w:val="185"/>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760"/>
          </w:cols>
          <w:pgMar w:left="320" w:top="440" w:right="819" w:bottom="1440" w:gutter="0" w:footer="0" w:header="0"/>
        </w:sectPr>
      </w:pPr>
    </w:p>
    <w:bookmarkStart w:id="200" w:name="page201"/>
    <w:bookmarkEnd w:id="20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139"/>
          </w:cols>
          <w:pgMar w:left="320" w:top="440" w:right="1440"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139"/>
          </w:cols>
          <w:pgMar w:left="320" w:top="440" w:right="1440"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139"/>
          </w:cols>
          <w:pgMar w:left="320" w:top="440" w:right="1440"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139"/>
          </w:cols>
          <w:pgMar w:left="320" w:top="440" w:right="1440"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139"/>
          </w:cols>
          <w:pgMar w:left="320" w:top="440" w:right="1440" w:bottom="1440" w:gutter="0" w:footer="0" w:header="0"/>
        </w:sectPr>
      </w:pPr>
    </w:p>
    <w:bookmarkStart w:id="205" w:name="page206"/>
    <w:bookmarkEnd w:id="20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139"/>
          </w:cols>
          <w:pgMar w:left="320" w:top="440" w:right="1440"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93345</wp:posOffset>
            </wp:positionV>
            <wp:extent cx="4889500" cy="66903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8950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139"/>
          </w:cols>
          <w:pgMar w:left="320" w:top="440" w:right="1440"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Grow the Pie</w:t>
      </w:r>
    </w:p>
    <w:p>
      <w:pPr>
        <w:spacing w:after="0" w:line="214"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At Instacart, one of our core values is to “Grow the Pie” for each of our key constituents: retailers, customers, brands, and shoppers. We believe that every Instacart order represents a success for each of them. As our constituents succeed, so do we, and the entire ecosystem benefits from powerful network effects.</w:t>
      </w:r>
    </w:p>
    <w:p>
      <w:pPr>
        <w:spacing w:after="0" w:line="87" w:lineRule="exact"/>
        <w:rPr>
          <w:sz w:val="20"/>
          <w:szCs w:val="20"/>
          <w:color w:val="auto"/>
        </w:rPr>
      </w:pPr>
    </w:p>
    <w:p>
      <w:pPr>
        <w:ind w:left="1360" w:hanging="498"/>
        <w:spacing w:after="0" w:line="311" w:lineRule="auto"/>
        <w:tabs>
          <w:tab w:leader="none" w:pos="1360" w:val="left"/>
        </w:tabs>
        <w:numPr>
          <w:ilvl w:val="0"/>
          <w:numId w:val="186"/>
        </w:numPr>
        <w:rPr>
          <w:rFonts w:ascii="Arial" w:cs="Arial" w:eastAsia="Arial" w:hAnsi="Arial"/>
          <w:sz w:val="15"/>
          <w:szCs w:val="15"/>
          <w:color w:val="auto"/>
        </w:rPr>
      </w:pPr>
      <w:r>
        <w:rPr>
          <w:rFonts w:ascii="Arial" w:cs="Arial" w:eastAsia="Arial" w:hAnsi="Arial"/>
          <w:sz w:val="15"/>
          <w:szCs w:val="15"/>
          <w:i w:val="1"/>
          <w:iCs w:val="1"/>
          <w:color w:val="auto"/>
        </w:rPr>
        <w:t xml:space="preserve">Retailers </w:t>
      </w:r>
      <w:r>
        <w:rPr>
          <w:rFonts w:ascii="Arial" w:cs="Arial" w:eastAsia="Arial" w:hAnsi="Arial"/>
          <w:sz w:val="15"/>
          <w:szCs w:val="15"/>
          <w:color w:val="auto"/>
        </w:rPr>
        <w:t>recognize the significant value we provide by enabling new use cases and fulfillment options across consumer and business needs</w:t>
      </w:r>
      <w:r>
        <w:rPr>
          <w:rFonts w:ascii="Arial" w:cs="Arial" w:eastAsia="Arial" w:hAnsi="Arial"/>
          <w:sz w:val="15"/>
          <w:szCs w:val="15"/>
          <w:i w:val="1"/>
          <w:iCs w:val="1"/>
          <w:color w:val="auto"/>
        </w:rPr>
        <w:t xml:space="preserve"> </w:t>
      </w:r>
      <w:r>
        <w:rPr>
          <w:rFonts w:ascii="Arial" w:cs="Arial" w:eastAsia="Arial" w:hAnsi="Arial"/>
          <w:sz w:val="15"/>
          <w:szCs w:val="15"/>
          <w:color w:val="auto"/>
        </w:rPr>
        <w:t>and through our end-to-end technology solution, unlocking greater growth and efficiencies. As retailers improve their omni-channel operations, they are able to reach more customers and bring new brands into their portfolio to meet the needs of this broader audience.</w:t>
      </w:r>
    </w:p>
    <w:p>
      <w:pPr>
        <w:spacing w:after="0" w:line="51" w:lineRule="exact"/>
        <w:rPr>
          <w:rFonts w:ascii="Arial" w:cs="Arial" w:eastAsia="Arial" w:hAnsi="Arial"/>
          <w:sz w:val="15"/>
          <w:szCs w:val="15"/>
          <w:color w:val="auto"/>
        </w:rPr>
      </w:pPr>
    </w:p>
    <w:p>
      <w:pPr>
        <w:ind w:left="1360" w:right="160" w:hanging="498"/>
        <w:spacing w:after="0" w:line="260" w:lineRule="auto"/>
        <w:tabs>
          <w:tab w:leader="none" w:pos="136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appreciate being able to shop online with their favorite national, regional, and local retailers, across use cases, desired speeds,</w:t>
      </w:r>
      <w:r>
        <w:rPr>
          <w:rFonts w:ascii="Arial" w:cs="Arial" w:eastAsia="Arial" w:hAnsi="Arial"/>
          <w:sz w:val="17"/>
          <w:szCs w:val="17"/>
          <w:i w:val="1"/>
          <w:iCs w:val="1"/>
          <w:color w:val="auto"/>
        </w:rPr>
        <w:t xml:space="preserve"> </w:t>
      </w:r>
      <w:r>
        <w:rPr>
          <w:rFonts w:ascii="Arial" w:cs="Arial" w:eastAsia="Arial" w:hAnsi="Arial"/>
          <w:sz w:val="17"/>
          <w:szCs w:val="17"/>
          <w:color w:val="auto"/>
        </w:rPr>
        <w:t>and payment methods, through an intuitive and personalized experience. Satisfied customers will continue to order on Instacart, driving more earnings opportunities for shoppers and more sales for retailers and brands.</w:t>
      </w:r>
    </w:p>
    <w:p>
      <w:pPr>
        <w:spacing w:after="0" w:line="86" w:lineRule="exact"/>
        <w:rPr>
          <w:rFonts w:ascii="Arial" w:cs="Arial" w:eastAsia="Arial" w:hAnsi="Arial"/>
          <w:sz w:val="17"/>
          <w:szCs w:val="17"/>
          <w:color w:val="auto"/>
        </w:rPr>
      </w:pPr>
    </w:p>
    <w:p>
      <w:pPr>
        <w:ind w:left="1360" w:right="220" w:hanging="498"/>
        <w:spacing w:after="0" w:line="277" w:lineRule="auto"/>
        <w:tabs>
          <w:tab w:leader="none" w:pos="136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Brands </w:t>
      </w:r>
      <w:r>
        <w:rPr>
          <w:rFonts w:ascii="Arial" w:cs="Arial" w:eastAsia="Arial" w:hAnsi="Arial"/>
          <w:sz w:val="16"/>
          <w:szCs w:val="16"/>
          <w:color w:val="auto"/>
        </w:rPr>
        <w:t>can drive high ROI on their ad spend due to our deep understanding of customer shopping behavior and preferences.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leads to larger average order values for retailers, deals and discounts for customers, and deeper brand affinity. Advertising revenue allows us to charge lower fees, helping retailers’ bottom line and reducing order costs for customers. Lower fees make ordering online more appealing for customers, resulting in a higher frequency of usage.</w:t>
      </w:r>
    </w:p>
    <w:p>
      <w:pPr>
        <w:spacing w:after="0" w:line="75" w:lineRule="exact"/>
        <w:rPr>
          <w:rFonts w:ascii="Arial" w:cs="Arial" w:eastAsia="Arial" w:hAnsi="Arial"/>
          <w:sz w:val="16"/>
          <w:szCs w:val="16"/>
          <w:color w:val="auto"/>
        </w:rPr>
      </w:pPr>
    </w:p>
    <w:p>
      <w:pPr>
        <w:jc w:val="both"/>
        <w:ind w:left="1360" w:right="140" w:hanging="498"/>
        <w:spacing w:after="0" w:line="260" w:lineRule="auto"/>
        <w:tabs>
          <w:tab w:leader="none" w:pos="136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Shoppers </w:t>
      </w:r>
      <w:r>
        <w:rPr>
          <w:rFonts w:ascii="Arial" w:cs="Arial" w:eastAsia="Arial" w:hAnsi="Arial"/>
          <w:sz w:val="17"/>
          <w:szCs w:val="17"/>
          <w:color w:val="auto"/>
        </w:rPr>
        <w:t>benefit from strong customer activity through more flexible earnings opportunities and value the opportunity to earn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more shoppers join Instacart, availability and speed will continue to improve for customers, which in turn will likely increase the frequency and number of purchases of goods from retailers and brands.</w:t>
      </w:r>
    </w:p>
    <w:p>
      <w:pPr>
        <w:spacing w:after="0" w:line="175"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As we serve our constituents, we drive growth, scale, and efficiencies. By growing our retail partners’ businesses through best-in-class technology, providing customers with a personalized, easy-to-use experience for their many needs, offering differentiated, measurable advertising opportunities for our brand partners and providing immediate, flexible earnings opportunities for shoppers, we all win.</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Market Opportunity</w:t>
      </w:r>
    </w:p>
    <w:p>
      <w:pPr>
        <w:spacing w:after="0" w:line="214"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We have a substantial opportunity to transform the grocery ecosystem for the benefit of all of our key constituents. We generate the vast majority of our revenue through transaction fees paid on each order by retailers and customers through Instacart Marketplace and Instacart Enterprise Platform, as well as through fees paid by brands using Instacart Ads.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GTV Market Opportunity</w:t>
      </w:r>
    </w:p>
    <w:p>
      <w:pPr>
        <w:spacing w:after="0" w:line="108" w:lineRule="exact"/>
        <w:rPr>
          <w:sz w:val="20"/>
          <w:szCs w:val="20"/>
          <w:color w:val="auto"/>
        </w:rPr>
      </w:pPr>
    </w:p>
    <w:p>
      <w:pPr>
        <w:ind w:left="460" w:right="80" w:firstLine="413"/>
        <w:spacing w:after="0" w:line="186" w:lineRule="auto"/>
        <w:rPr>
          <w:sz w:val="20"/>
          <w:szCs w:val="20"/>
          <w:color w:val="auto"/>
        </w:rPr>
      </w:pPr>
      <w:r>
        <w:rPr>
          <w:rFonts w:ascii="Arial" w:cs="Arial" w:eastAsia="Arial" w:hAnsi="Arial"/>
          <w:sz w:val="16"/>
          <w:szCs w:val="16"/>
          <w:color w:val="auto"/>
        </w:rPr>
        <w:t>While we are already the leading grocery technology company in North America,</w:t>
      </w:r>
      <w:r>
        <w:rPr>
          <w:rFonts w:ascii="Arial" w:cs="Arial" w:eastAsia="Arial" w:hAnsi="Arial"/>
          <w:sz w:val="23"/>
          <w:szCs w:val="23"/>
          <w:color w:val="auto"/>
          <w:vertAlign w:val="superscript"/>
        </w:rPr>
        <w:t>161</w:t>
      </w:r>
      <w:r>
        <w:rPr>
          <w:rFonts w:ascii="Arial" w:cs="Arial" w:eastAsia="Arial" w:hAnsi="Arial"/>
          <w:sz w:val="16"/>
          <w:szCs w:val="16"/>
          <w:color w:val="auto"/>
        </w:rPr>
        <w:t xml:space="preserve"> the opportunity ahead of us remains significant. We estimate that our total market opportunity today is approximately $1.1 trillion, which consists of U.S. grocery spend in 2022.</w:t>
      </w:r>
      <w:r>
        <w:rPr>
          <w:rFonts w:ascii="Arial" w:cs="Arial" w:eastAsia="Arial" w:hAnsi="Arial"/>
          <w:sz w:val="23"/>
          <w:szCs w:val="23"/>
          <w:color w:val="auto"/>
          <w:vertAlign w:val="superscript"/>
        </w:rPr>
        <w:t>162</w:t>
      </w:r>
      <w:r>
        <w:rPr>
          <w:rFonts w:ascii="Arial" w:cs="Arial" w:eastAsia="Arial" w:hAnsi="Arial"/>
          <w:sz w:val="16"/>
          <w:szCs w:val="16"/>
          <w:color w:val="auto"/>
        </w:rPr>
        <w:t xml:space="preserve"> For online grocery, while penetration took 10 years to triple from 1% of total grocery sales in 2009</w:t>
      </w:r>
      <w:r>
        <w:rPr>
          <w:rFonts w:ascii="Arial" w:cs="Arial" w:eastAsia="Arial" w:hAnsi="Arial"/>
          <w:sz w:val="23"/>
          <w:szCs w:val="23"/>
          <w:color w:val="auto"/>
          <w:vertAlign w:val="superscript"/>
        </w:rPr>
        <w:t>163</w:t>
      </w:r>
      <w:r>
        <w:rPr>
          <w:rFonts w:ascii="Arial" w:cs="Arial" w:eastAsia="Arial" w:hAnsi="Arial"/>
          <w:sz w:val="16"/>
          <w:szCs w:val="16"/>
          <w:color w:val="auto"/>
        </w:rPr>
        <w:t xml:space="preserve"> to 3% in 2019, it took just three years to quadruple to 12% in 2022.</w:t>
      </w:r>
      <w:r>
        <w:rPr>
          <w:rFonts w:ascii="Arial" w:cs="Arial" w:eastAsia="Arial" w:hAnsi="Arial"/>
          <w:sz w:val="23"/>
          <w:szCs w:val="23"/>
          <w:color w:val="auto"/>
          <w:vertAlign w:val="superscript"/>
        </w:rPr>
        <w:t>164</w:t>
      </w:r>
      <w:r>
        <w:rPr>
          <w:rFonts w:ascii="Arial" w:cs="Arial" w:eastAsia="Arial" w:hAnsi="Arial"/>
          <w:sz w:val="16"/>
          <w:szCs w:val="16"/>
          <w:color w:val="auto"/>
        </w:rPr>
        <w:t xml:space="preserve"> The market is expected to grow at a CAGR of 10% to 18% between 2022 and 2025, compared to 0% to 4%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90170</wp:posOffset>
            </wp:positionV>
            <wp:extent cx="7239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5" w:lineRule="exact"/>
        <w:rPr>
          <w:sz w:val="20"/>
          <w:szCs w:val="20"/>
          <w:color w:val="auto"/>
        </w:rPr>
      </w:pPr>
    </w:p>
    <w:p>
      <w:pPr>
        <w:ind w:left="860" w:hanging="403"/>
        <w:spacing w:after="0"/>
        <w:tabs>
          <w:tab w:leader="none" w:pos="860" w:val="left"/>
        </w:tabs>
        <w:numPr>
          <w:ilvl w:val="0"/>
          <w:numId w:val="187"/>
        </w:numPr>
        <w:rPr>
          <w:rFonts w:ascii="Arial" w:cs="Arial" w:eastAsia="Arial" w:hAnsi="Arial"/>
          <w:sz w:val="10"/>
          <w:szCs w:val="10"/>
          <w:color w:val="auto"/>
        </w:rPr>
      </w:pPr>
      <w:r>
        <w:rPr>
          <w:rFonts w:ascii="Arial" w:cs="Arial" w:eastAsia="Arial" w:hAnsi="Arial"/>
          <w:sz w:val="13"/>
          <w:szCs w:val="13"/>
          <w:color w:val="auto"/>
        </w:rPr>
        <w:t>Based on total online grocery sales in 2022.</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87"/>
        </w:numPr>
        <w:rPr>
          <w:rFonts w:ascii="Arial" w:cs="Arial" w:eastAsia="Arial" w:hAnsi="Arial"/>
          <w:sz w:val="10"/>
          <w:szCs w:val="10"/>
          <w:color w:val="auto"/>
        </w:rPr>
      </w:pPr>
      <w:r>
        <w:rPr>
          <w:rFonts w:ascii="Arial" w:cs="Arial" w:eastAsia="Arial" w:hAnsi="Arial"/>
          <w:sz w:val="13"/>
          <w:szCs w:val="13"/>
          <w:color w:val="auto"/>
        </w:rPr>
        <w:t>Incisiv.</w:t>
      </w:r>
    </w:p>
    <w:p>
      <w:pPr>
        <w:ind w:left="860" w:hanging="403"/>
        <w:spacing w:after="0"/>
        <w:tabs>
          <w:tab w:leader="none" w:pos="860" w:val="left"/>
        </w:tabs>
        <w:numPr>
          <w:ilvl w:val="0"/>
          <w:numId w:val="187"/>
        </w:numPr>
        <w:rPr>
          <w:rFonts w:ascii="Arial" w:cs="Arial" w:eastAsia="Arial" w:hAnsi="Arial"/>
          <w:sz w:val="9"/>
          <w:szCs w:val="9"/>
          <w:color w:val="auto"/>
        </w:rPr>
      </w:pPr>
      <w:r>
        <w:rPr>
          <w:rFonts w:ascii="Arial" w:cs="Arial" w:eastAsia="Arial" w:hAnsi="Arial"/>
          <w:sz w:val="12"/>
          <w:szCs w:val="12"/>
          <w:color w:val="auto"/>
        </w:rPr>
        <w:t xml:space="preserve">Euromonitor, </w:t>
      </w:r>
      <w:r>
        <w:rPr>
          <w:rFonts w:ascii="Arial" w:cs="Arial" w:eastAsia="Arial" w:hAnsi="Arial"/>
          <w:sz w:val="12"/>
          <w:szCs w:val="12"/>
          <w:i w:val="1"/>
          <w:iCs w:val="1"/>
          <w:color w:val="auto"/>
        </w:rPr>
        <w:t>Retail</w:t>
      </w:r>
      <w:r>
        <w:rPr>
          <w:rFonts w:ascii="Arial" w:cs="Arial" w:eastAsia="Arial" w:hAnsi="Arial"/>
          <w:sz w:val="12"/>
          <w:szCs w:val="12"/>
          <w:color w:val="auto"/>
        </w:rPr>
        <w:t xml:space="preserve"> (2023 edition), </w:t>
      </w:r>
      <w:r>
        <w:rPr>
          <w:rFonts w:ascii="Arial" w:cs="Arial" w:eastAsia="Arial" w:hAnsi="Arial"/>
          <w:sz w:val="12"/>
          <w:szCs w:val="12"/>
          <w:i w:val="1"/>
          <w:iCs w:val="1"/>
          <w:color w:val="auto"/>
        </w:rPr>
        <w:t>Consumer Foodservice</w:t>
      </w:r>
      <w:r>
        <w:rPr>
          <w:rFonts w:ascii="Arial" w:cs="Arial" w:eastAsia="Arial" w:hAnsi="Arial"/>
          <w:sz w:val="12"/>
          <w:szCs w:val="12"/>
          <w:color w:val="auto"/>
        </w:rPr>
        <w:t xml:space="preserve"> (2023 edition); categories: Consumer Electronics, Consumer Electronics E-Commerce, Apparel and Footwear, Apparel and</w:t>
      </w:r>
    </w:p>
    <w:p>
      <w:pPr>
        <w:spacing w:after="0" w:line="1" w:lineRule="exact"/>
        <w:rPr>
          <w:rFonts w:ascii="Arial" w:cs="Arial" w:eastAsia="Arial" w:hAnsi="Arial"/>
          <w:sz w:val="9"/>
          <w:szCs w:val="9"/>
          <w:color w:val="auto"/>
        </w:rPr>
      </w:pPr>
    </w:p>
    <w:p>
      <w:pPr>
        <w:ind w:left="860" w:right="120"/>
        <w:spacing w:after="0" w:line="242" w:lineRule="auto"/>
        <w:rPr>
          <w:rFonts w:ascii="Arial" w:cs="Arial" w:eastAsia="Arial" w:hAnsi="Arial"/>
          <w:sz w:val="9"/>
          <w:szCs w:val="9"/>
          <w:color w:val="auto"/>
        </w:rPr>
      </w:pPr>
      <w:r>
        <w:rPr>
          <w:rFonts w:ascii="Arial" w:cs="Arial" w:eastAsia="Arial" w:hAnsi="Arial"/>
          <w:sz w:val="12"/>
          <w:szCs w:val="12"/>
          <w:color w:val="auto"/>
        </w:rPr>
        <w:t>Footwear E-Commerce, Homewares and Home Furnishings, Homewares and Home Furnishings E-Commerce, Consumer Foodservice by Type, categorization type: online and total; Consumer Foodservice by Type covers Foodservice Value RSP, data for the Retail Categories covers Retail Value RSP excluding Sales Tax; USD, current prices.</w:t>
      </w:r>
    </w:p>
    <w:p>
      <w:pPr>
        <w:ind w:left="860" w:hanging="403"/>
        <w:spacing w:after="0"/>
        <w:tabs>
          <w:tab w:leader="none" w:pos="860" w:val="left"/>
        </w:tabs>
        <w:numPr>
          <w:ilvl w:val="0"/>
          <w:numId w:val="187"/>
        </w:numPr>
        <w:rPr>
          <w:rFonts w:ascii="Arial" w:cs="Arial" w:eastAsia="Arial" w:hAnsi="Arial"/>
          <w:sz w:val="10"/>
          <w:szCs w:val="10"/>
          <w:color w:val="auto"/>
        </w:rPr>
      </w:pPr>
      <w:r>
        <w:rPr>
          <w:rFonts w:ascii="Arial" w:cs="Arial" w:eastAsia="Arial" w:hAnsi="Arial"/>
          <w:sz w:val="13"/>
          <w:szCs w:val="13"/>
          <w:color w:val="auto"/>
        </w:rPr>
        <w:t>Incisiv.</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780"/>
          </w:cols>
          <w:pgMar w:left="320" w:top="440" w:right="79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20"/>
        <w:spacing w:after="0" w:line="219" w:lineRule="auto"/>
        <w:rPr>
          <w:sz w:val="20"/>
          <w:szCs w:val="20"/>
          <w:color w:val="auto"/>
        </w:rPr>
      </w:pPr>
      <w:r>
        <w:rPr>
          <w:rFonts w:ascii="Arial" w:cs="Arial" w:eastAsia="Arial" w:hAnsi="Arial"/>
          <w:sz w:val="17"/>
          <w:szCs w:val="17"/>
          <w:color w:val="auto"/>
        </w:rPr>
        <w:t>offline sales.</w:t>
      </w:r>
      <w:r>
        <w:rPr>
          <w:rFonts w:ascii="Arial" w:cs="Arial" w:eastAsia="Arial" w:hAnsi="Arial"/>
          <w:sz w:val="25"/>
          <w:szCs w:val="25"/>
          <w:color w:val="auto"/>
          <w:vertAlign w:val="superscript"/>
        </w:rPr>
        <w:t>165</w:t>
      </w:r>
      <w:r>
        <w:rPr>
          <w:rFonts w:ascii="Arial" w:cs="Arial" w:eastAsia="Arial" w:hAnsi="Arial"/>
          <w:sz w:val="17"/>
          <w:szCs w:val="17"/>
          <w:color w:val="auto"/>
        </w:rPr>
        <w:t xml:space="preserve"> Market penetration could double or more, reaching as high as 35% over time.</w:t>
      </w:r>
      <w:r>
        <w:rPr>
          <w:rFonts w:ascii="Arial" w:cs="Arial" w:eastAsia="Arial" w:hAnsi="Arial"/>
          <w:sz w:val="25"/>
          <w:szCs w:val="25"/>
          <w:color w:val="auto"/>
          <w:vertAlign w:val="superscript"/>
        </w:rPr>
        <w:t>166</w:t>
      </w:r>
      <w:r>
        <w:rPr>
          <w:rFonts w:ascii="Arial" w:cs="Arial" w:eastAsia="Arial" w:hAnsi="Arial"/>
          <w:sz w:val="17"/>
          <w:szCs w:val="17"/>
          <w:color w:val="auto"/>
        </w:rPr>
        <w:t xml:space="preserve"> Even then, with at least two-thirds of the grocery market offline, the role of the store will continue to be significant, and it will be critical to serve retailers with technology that enables omni-channel commerce.</w:t>
      </w:r>
    </w:p>
    <w:p>
      <w:pPr>
        <w:spacing w:after="0" w:line="191" w:lineRule="exact"/>
        <w:rPr>
          <w:sz w:val="20"/>
          <w:szCs w:val="20"/>
          <w:color w:val="auto"/>
        </w:rPr>
      </w:pPr>
    </w:p>
    <w:p>
      <w:pPr>
        <w:ind w:left="460" w:right="220" w:firstLine="413"/>
        <w:spacing w:after="0" w:line="254" w:lineRule="auto"/>
        <w:rPr>
          <w:sz w:val="20"/>
          <w:szCs w:val="20"/>
          <w:color w:val="auto"/>
        </w:rPr>
      </w:pPr>
      <w:r>
        <w:rPr>
          <w:rFonts w:ascii="Arial" w:cs="Arial" w:eastAsia="Arial" w:hAnsi="Arial"/>
          <w:sz w:val="17"/>
          <w:szCs w:val="17"/>
          <w:color w:val="auto"/>
        </w:rPr>
        <w:t>We have successfully demonstrated our ability to deepen our relationships with our retail partners. Not only do we power eCommerce solutions for our retail partners through our Instacart Marketplace, but we also support retailers’ owned and operated online storefronts through Instacart Enterprise Platform. We can then help retailers fulfill orders through new options and address a broader set of shopping occasions and categories. We believe that our deep vertical focus on grocery gives us a unique ability to address all subsets of the grocery market, across fulfillment options and shopping behaviors.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Market by Fulfillment Options</w:t>
      </w:r>
    </w:p>
    <w:p>
      <w:pPr>
        <w:spacing w:after="0" w:line="108" w:lineRule="exact"/>
        <w:rPr>
          <w:sz w:val="20"/>
          <w:szCs w:val="20"/>
          <w:color w:val="auto"/>
        </w:rPr>
      </w:pPr>
    </w:p>
    <w:p>
      <w:pPr>
        <w:ind w:left="460" w:right="140" w:firstLine="413"/>
        <w:spacing w:after="0" w:line="274" w:lineRule="auto"/>
        <w:rPr>
          <w:sz w:val="20"/>
          <w:szCs w:val="20"/>
          <w:color w:val="auto"/>
        </w:rPr>
      </w:pPr>
      <w:r>
        <w:rPr>
          <w:rFonts w:ascii="Arial" w:cs="Arial" w:eastAsia="Arial" w:hAnsi="Arial"/>
          <w:sz w:val="16"/>
          <w:szCs w:val="16"/>
          <w:color w:val="auto"/>
        </w:rPr>
        <w:t>Based on an internal study, we estimate that online grocery spend is broken into the following fulfillment options: 42% pickup, 32% same-day delivery, and 26% next day delivery. We address each of these and continue to expand our delivery offerings to give customers more flexibility with options like next day, priority, quick convenience, and rapid delivery. The future of grocery is about helping consumers find products they love from retailers they trust, no matter where they are or how they choose to shop. For grocers, this means that online success is critical and so is preparing for a future where all aspects of their business, including in-store, will be improved through technology.</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Market by Consumer Shopping Occasions</w:t>
      </w:r>
    </w:p>
    <w:p>
      <w:pPr>
        <w:spacing w:after="0" w:line="108" w:lineRule="exact"/>
        <w:rPr>
          <w:sz w:val="20"/>
          <w:szCs w:val="20"/>
          <w:color w:val="auto"/>
        </w:rPr>
      </w:pPr>
    </w:p>
    <w:p>
      <w:pPr>
        <w:ind w:left="460" w:right="120" w:firstLine="413"/>
        <w:spacing w:after="0" w:line="274" w:lineRule="auto"/>
        <w:rPr>
          <w:sz w:val="20"/>
          <w:szCs w:val="20"/>
          <w:color w:val="auto"/>
        </w:rPr>
      </w:pPr>
      <w:r>
        <w:rPr>
          <w:rFonts w:ascii="Arial" w:cs="Arial" w:eastAsia="Arial" w:hAnsi="Arial"/>
          <w:sz w:val="16"/>
          <w:szCs w:val="16"/>
          <w:color w:val="auto"/>
        </w:rPr>
        <w:t>Consumers exhibit a range of shopping occasions within grocery, like the weekly shop, bulk stock-up, convenience, or special occasions. These tend to vary based on frequency of shop and average order value. We started with the weekly shop, a recurring and high value use case that we believe represents the largest portion of the market. We have expanded to serve broader needs for our retail partners and their customers. We believe that average order value is a proxy for grocery shopping occasions. For example, a larger average order value may indicate a weekly shop or bulk stock-up, while a smaller average order value may represent a top-up convenience order or special occasion.</w:t>
      </w:r>
    </w:p>
    <w:p>
      <w:pPr>
        <w:spacing w:after="0" w:line="165" w:lineRule="exact"/>
        <w:rPr>
          <w:sz w:val="20"/>
          <w:szCs w:val="20"/>
          <w:color w:val="auto"/>
        </w:rPr>
      </w:pPr>
    </w:p>
    <w:p>
      <w:pPr>
        <w:ind w:left="460" w:right="100" w:firstLine="413"/>
        <w:spacing w:after="0" w:line="296" w:lineRule="auto"/>
        <w:rPr>
          <w:sz w:val="20"/>
          <w:szCs w:val="20"/>
          <w:color w:val="auto"/>
        </w:rPr>
      </w:pPr>
      <w:r>
        <w:rPr>
          <w:rFonts w:ascii="Arial" w:cs="Arial" w:eastAsia="Arial" w:hAnsi="Arial"/>
          <w:sz w:val="15"/>
          <w:szCs w:val="15"/>
          <w:color w:val="auto"/>
        </w:rPr>
        <w:t>We believe we can expand our market opportunity as we enable retailers to capture more orders and greater market share through new fulfillment options and use cases, drive success both online and in-store, and serve their customers better in all of the ways they choose to shop. For example, we recently introduced our Instacart Business offering, which allows customers shopping for their businesses to leverage our tailored solution to centralize their ordering, build shared lists, generate invoices, and access other business-friendly product features. We also believe that we can continue to grow our opportunity by expanding our Instacart Enterprise Platform to offer more solutions for the retailer operating system over time.</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Advertising Market Opportunity</w:t>
      </w:r>
    </w:p>
    <w:p>
      <w:pPr>
        <w:spacing w:after="0" w:line="108" w:lineRule="exact"/>
        <w:rPr>
          <w:sz w:val="20"/>
          <w:szCs w:val="20"/>
          <w:color w:val="auto"/>
        </w:rPr>
      </w:pPr>
    </w:p>
    <w:p>
      <w:pPr>
        <w:ind w:left="460" w:firstLine="413"/>
        <w:spacing w:after="0" w:line="228" w:lineRule="auto"/>
        <w:rPr>
          <w:sz w:val="20"/>
          <w:szCs w:val="20"/>
          <w:color w:val="auto"/>
        </w:rPr>
      </w:pPr>
      <w:r>
        <w:rPr>
          <w:rFonts w:ascii="Arial" w:cs="Arial" w:eastAsia="Arial" w:hAnsi="Arial"/>
          <w:sz w:val="16"/>
          <w:szCs w:val="16"/>
          <w:color w:val="auto"/>
        </w:rPr>
        <w:t>As grocery spend shifts online, advertising budgets will follow. Given the data-driven ability to reach customers at the point of purchase and within hours of consumption, CPG brands now have a meaningful opportunity to grow their customer base. Online represents the fastest growing channel for CPG brands, which are some of the largest advertisers in the world. CPG brands in the United States alone spend approximately $200 billion annually to advertise their products, of which nearly 25% is through online channels.</w:t>
      </w:r>
      <w:r>
        <w:rPr>
          <w:rFonts w:ascii="Arial" w:cs="Arial" w:eastAsia="Arial" w:hAnsi="Arial"/>
          <w:sz w:val="24"/>
          <w:szCs w:val="24"/>
          <w:color w:val="auto"/>
          <w:vertAlign w:val="superscript"/>
        </w:rPr>
        <w:t>167</w:t>
      </w:r>
      <w:r>
        <w:rPr>
          <w:rFonts w:ascii="Arial" w:cs="Arial" w:eastAsia="Arial" w:hAnsi="Arial"/>
          <w:sz w:val="16"/>
          <w:szCs w:val="16"/>
          <w:color w:val="auto"/>
        </w:rPr>
        <w:t xml:space="preserve"> At the brand level, a typical CPG brand spends approximately 30% of their gross sales on advertising.</w:t>
      </w:r>
      <w:r>
        <w:rPr>
          <w:rFonts w:ascii="Arial" w:cs="Arial" w:eastAsia="Arial" w:hAnsi="Arial"/>
          <w:sz w:val="24"/>
          <w:szCs w:val="24"/>
          <w:color w:val="auto"/>
          <w:vertAlign w:val="superscript"/>
        </w:rPr>
        <w:t>168</w:t>
      </w:r>
      <w:r>
        <w:rPr>
          <w:rFonts w:ascii="Arial" w:cs="Arial" w:eastAsia="Arial" w:hAnsi="Arial"/>
          <w:sz w:val="16"/>
          <w:szCs w:val="16"/>
          <w:color w:val="auto"/>
        </w:rPr>
        <w:t xml:space="preserve"> Over time, more of this spend is expected to be channeled towards online retail media networks like Instacart. In fact, 82% of advertisers expect to continue to increase their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91440</wp:posOffset>
            </wp:positionV>
            <wp:extent cx="7239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6" w:lineRule="exact"/>
        <w:rPr>
          <w:sz w:val="20"/>
          <w:szCs w:val="20"/>
          <w:color w:val="auto"/>
        </w:rPr>
      </w:pPr>
    </w:p>
    <w:p>
      <w:pPr>
        <w:ind w:left="860" w:hanging="403"/>
        <w:spacing w:after="0"/>
        <w:tabs>
          <w:tab w:leader="none" w:pos="860" w:val="left"/>
        </w:tabs>
        <w:numPr>
          <w:ilvl w:val="0"/>
          <w:numId w:val="188"/>
        </w:numPr>
        <w:rPr>
          <w:rFonts w:ascii="Arial" w:cs="Arial" w:eastAsia="Arial" w:hAnsi="Arial"/>
          <w:sz w:val="10"/>
          <w:szCs w:val="10"/>
          <w:color w:val="auto"/>
        </w:rPr>
      </w:pPr>
      <w:r>
        <w:rPr>
          <w:rFonts w:ascii="Arial" w:cs="Arial" w:eastAsia="Arial" w:hAnsi="Arial"/>
          <w:sz w:val="13"/>
          <w:szCs w:val="13"/>
          <w:color w:val="auto"/>
        </w:rPr>
        <w:t>Incisiv.</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88"/>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The next horizon for grocery e-commerce: Beyond the pandemic bump</w:t>
      </w:r>
      <w:r>
        <w:rPr>
          <w:rFonts w:ascii="Arial" w:cs="Arial" w:eastAsia="Arial" w:hAnsi="Arial"/>
          <w:sz w:val="13"/>
          <w:szCs w:val="13"/>
          <w:color w:val="auto"/>
        </w:rPr>
        <w:t>.</w:t>
      </w:r>
    </w:p>
    <w:p>
      <w:pPr>
        <w:ind w:left="860" w:hanging="403"/>
        <w:spacing w:after="0" w:line="223" w:lineRule="auto"/>
        <w:tabs>
          <w:tab w:leader="none" w:pos="860" w:val="left"/>
        </w:tabs>
        <w:numPr>
          <w:ilvl w:val="0"/>
          <w:numId w:val="188"/>
        </w:numPr>
        <w:rPr>
          <w:rFonts w:ascii="Arial" w:cs="Arial" w:eastAsia="Arial" w:hAnsi="Arial"/>
          <w:sz w:val="10"/>
          <w:szCs w:val="10"/>
          <w:color w:val="auto"/>
        </w:rPr>
      </w:pPr>
      <w:r>
        <w:rPr>
          <w:rFonts w:ascii="Arial" w:cs="Arial" w:eastAsia="Arial" w:hAnsi="Arial"/>
          <w:sz w:val="13"/>
          <w:szCs w:val="13"/>
          <w:color w:val="auto"/>
        </w:rPr>
        <w:t>Cadent.</w:t>
      </w:r>
    </w:p>
    <w:p>
      <w:pPr>
        <w:ind w:left="860" w:hanging="403"/>
        <w:spacing w:after="0"/>
        <w:tabs>
          <w:tab w:leader="none" w:pos="860" w:val="left"/>
        </w:tabs>
        <w:numPr>
          <w:ilvl w:val="0"/>
          <w:numId w:val="188"/>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Commerce media: The new force transforming advertising</w:t>
      </w:r>
      <w:r>
        <w:rPr>
          <w:rFonts w:ascii="Arial" w:cs="Arial" w:eastAsia="Arial" w:hAnsi="Arial"/>
          <w:sz w:val="13"/>
          <w:szCs w:val="13"/>
          <w:color w:val="auto"/>
        </w:rPr>
        <w:t>.</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780"/>
          </w:cols>
          <w:pgMar w:left="320" w:top="440" w:right="799" w:bottom="1440" w:gutter="0" w:footer="0" w:header="0"/>
        </w:sectPr>
      </w:pPr>
    </w:p>
    <w:bookmarkStart w:id="209" w:name="page210"/>
    <w:bookmarkEnd w:id="20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60"/>
        <w:spacing w:after="0" w:line="230" w:lineRule="auto"/>
        <w:rPr>
          <w:sz w:val="20"/>
          <w:szCs w:val="20"/>
          <w:color w:val="auto"/>
        </w:rPr>
      </w:pPr>
      <w:r>
        <w:rPr>
          <w:rFonts w:ascii="Arial" w:cs="Arial" w:eastAsia="Arial" w:hAnsi="Arial"/>
          <w:sz w:val="17"/>
          <w:szCs w:val="17"/>
          <w:color w:val="auto"/>
        </w:rPr>
        <w:t>media spending over the near term with 80% of that spend to be funded from new budgetary sources rather than existing trade budgets.</w:t>
      </w:r>
      <w:r>
        <w:rPr>
          <w:rFonts w:ascii="Arial" w:cs="Arial" w:eastAsia="Arial" w:hAnsi="Arial"/>
          <w:sz w:val="25"/>
          <w:szCs w:val="25"/>
          <w:color w:val="auto"/>
          <w:vertAlign w:val="superscript"/>
        </w:rPr>
        <w:t>169</w:t>
      </w:r>
      <w:r>
        <w:rPr>
          <w:rFonts w:ascii="Arial" w:cs="Arial" w:eastAsia="Arial" w:hAnsi="Arial"/>
          <w:sz w:val="17"/>
          <w:szCs w:val="17"/>
          <w:color w:val="auto"/>
        </w:rPr>
        <w:t xml:space="preserve"> Nearly 70% of advertisers say their performance in retail media is significantly or somewhat better than in other channels.</w:t>
      </w:r>
      <w:r>
        <w:rPr>
          <w:rFonts w:ascii="Arial" w:cs="Arial" w:eastAsia="Arial" w:hAnsi="Arial"/>
          <w:sz w:val="25"/>
          <w:szCs w:val="25"/>
          <w:color w:val="auto"/>
          <w:vertAlign w:val="superscript"/>
        </w:rPr>
        <w:t>170</w:t>
      </w:r>
      <w:r>
        <w:rPr>
          <w:rFonts w:ascii="Arial" w:cs="Arial" w:eastAsia="Arial" w:hAnsi="Arial"/>
          <w:sz w:val="17"/>
          <w:szCs w:val="17"/>
          <w:color w:val="auto"/>
        </w:rPr>
        <w:t xml:space="preserve"> Advertisers are also anticipated to spend more on retail media than linear television by 2025.</w:t>
      </w:r>
      <w:r>
        <w:rPr>
          <w:rFonts w:ascii="Arial" w:cs="Arial" w:eastAsia="Arial" w:hAnsi="Arial"/>
          <w:sz w:val="25"/>
          <w:szCs w:val="25"/>
          <w:color w:val="auto"/>
          <w:vertAlign w:val="superscript"/>
        </w:rPr>
        <w:t>171</w:t>
      </w:r>
    </w:p>
    <w:p>
      <w:pPr>
        <w:spacing w:after="0" w:line="72" w:lineRule="exact"/>
        <w:rPr>
          <w:sz w:val="20"/>
          <w:szCs w:val="20"/>
          <w:color w:val="auto"/>
        </w:rPr>
      </w:pPr>
    </w:p>
    <w:p>
      <w:pPr>
        <w:ind w:left="460" w:right="280" w:firstLine="413"/>
        <w:spacing w:after="0" w:line="248" w:lineRule="auto"/>
        <w:rPr>
          <w:sz w:val="20"/>
          <w:szCs w:val="20"/>
          <w:color w:val="auto"/>
        </w:rPr>
      </w:pPr>
      <w:r>
        <w:rPr>
          <w:rFonts w:ascii="Arial" w:cs="Arial" w:eastAsia="Arial" w:hAnsi="Arial"/>
          <w:sz w:val="15"/>
          <w:szCs w:val="15"/>
          <w:color w:val="auto"/>
        </w:rPr>
        <w:t>Advertisers have struggled to measure the effectiveness of their trade and national marketing spend, however, as grocery transactions have historically been completed offline.</w:t>
      </w:r>
      <w:r>
        <w:rPr>
          <w:rFonts w:ascii="Arial" w:cs="Arial" w:eastAsia="Arial" w:hAnsi="Arial"/>
          <w:sz w:val="22"/>
          <w:szCs w:val="22"/>
          <w:color w:val="auto"/>
          <w:vertAlign w:val="superscript"/>
        </w:rPr>
        <w:t>172</w:t>
      </w:r>
      <w:r>
        <w:rPr>
          <w:rFonts w:ascii="Arial" w:cs="Arial" w:eastAsia="Arial" w:hAnsi="Arial"/>
          <w:sz w:val="15"/>
          <w:szCs w:val="15"/>
          <w:color w:val="auto"/>
        </w:rPr>
        <w:t xml:space="preserve"> As grocery shopping moves online, we have a unique opportunity to help advertisers engage with customers during their shopping journey in a highly measurable and personalized way. Each shopping interaction provides an opportunity for an advertiser to influence a customer’s decision, and every impression, click, purchase, and repurchase can be measured on Instacart. 71% of customers expect companies to deliver personalized interactions, but only 23% believe retailers are performing well in this regard.</w:t>
      </w:r>
      <w:r>
        <w:rPr>
          <w:rFonts w:ascii="Arial" w:cs="Arial" w:eastAsia="Arial" w:hAnsi="Arial"/>
          <w:sz w:val="22"/>
          <w:szCs w:val="22"/>
          <w:color w:val="auto"/>
          <w:vertAlign w:val="superscript"/>
        </w:rPr>
        <w:t>173</w:t>
      </w:r>
      <w:r>
        <w:rPr>
          <w:rFonts w:ascii="Arial" w:cs="Arial" w:eastAsia="Arial" w:hAnsi="Arial"/>
          <w:sz w:val="15"/>
          <w:szCs w:val="15"/>
          <w:color w:val="auto"/>
        </w:rPr>
        <w:t xml:space="preserve"> We believe this provides a compelling opportunity for CPG brands, and one that will become increasingly critical as the grocery shopping experience continues to digitize.</w:t>
      </w:r>
    </w:p>
    <w:p>
      <w:pPr>
        <w:spacing w:after="0" w:line="183"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Additionally, CPG brands invest significant resources into market research to gather critical consumer insights, identify latest consumer trends, inform their product development, and ultimately drive their success. Given the breadth of retail partner selection and number of customers on our online grocery marketplace, we access and analyze unique data at scale that generates useful market insights for CPG brands.</w:t>
      </w:r>
    </w:p>
    <w:p>
      <w:pPr>
        <w:spacing w:after="0" w:line="339"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Our Growth Strategies</w:t>
      </w:r>
    </w:p>
    <w:p>
      <w:pPr>
        <w:spacing w:after="0" w:line="214"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We plan to continue to grow by delivering the best online grocery experience to more customers, increasing the number of retailers we partner with and deepening our relationships with existing retail partners, and increasing our advertising revenue.</w:t>
      </w:r>
    </w:p>
    <w:p>
      <w:pPr>
        <w:spacing w:after="0" w:line="76" w:lineRule="exact"/>
        <w:rPr>
          <w:sz w:val="20"/>
          <w:szCs w:val="20"/>
          <w:color w:val="auto"/>
        </w:rPr>
      </w:pPr>
    </w:p>
    <w:p>
      <w:pPr>
        <w:ind w:left="1360" w:right="180" w:hanging="498"/>
        <w:spacing w:after="0" w:line="272" w:lineRule="auto"/>
        <w:tabs>
          <w:tab w:leader="none" w:pos="1360"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Attract New Customers and Expand Use Cases</w:t>
      </w:r>
      <w:r>
        <w:rPr>
          <w:rFonts w:ascii="Arial" w:cs="Arial" w:eastAsia="Arial" w:hAnsi="Arial"/>
          <w:sz w:val="17"/>
          <w:szCs w:val="17"/>
          <w:color w:val="auto"/>
        </w:rPr>
        <w:t>. We will continue to help retail partners capture new customers as consumer behaviors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preferences shift. We are focused on the following avenues to achieve this:</w:t>
      </w:r>
    </w:p>
    <w:p>
      <w:pPr>
        <w:spacing w:after="0" w:line="76" w:lineRule="exact"/>
        <w:rPr>
          <w:rFonts w:ascii="Arial" w:cs="Arial" w:eastAsia="Arial" w:hAnsi="Arial"/>
          <w:sz w:val="17"/>
          <w:szCs w:val="17"/>
          <w:color w:val="auto"/>
        </w:rPr>
      </w:pPr>
    </w:p>
    <w:p>
      <w:pPr>
        <w:ind w:left="2400" w:hanging="499"/>
        <w:spacing w:after="0" w:line="272" w:lineRule="auto"/>
        <w:tabs>
          <w:tab w:leader="none" w:pos="2400"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Grow Online Penetration</w:t>
      </w:r>
      <w:r>
        <w:rPr>
          <w:rFonts w:ascii="Arial" w:cs="Arial" w:eastAsia="Arial" w:hAnsi="Arial"/>
          <w:sz w:val="17"/>
          <w:szCs w:val="17"/>
          <w:color w:val="auto"/>
        </w:rPr>
        <w:t>. We plan to invest in incentives, performance and brand marketing, and partnerships to grow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base and expand the online grocery market.</w:t>
      </w:r>
    </w:p>
    <w:p>
      <w:pPr>
        <w:spacing w:after="0" w:line="76" w:lineRule="exact"/>
        <w:rPr>
          <w:rFonts w:ascii="Arial" w:cs="Arial" w:eastAsia="Arial" w:hAnsi="Arial"/>
          <w:sz w:val="17"/>
          <w:szCs w:val="17"/>
          <w:color w:val="auto"/>
        </w:rPr>
      </w:pPr>
    </w:p>
    <w:p>
      <w:pPr>
        <w:ind w:left="2400" w:right="40" w:hanging="499"/>
        <w:spacing w:after="0" w:line="256" w:lineRule="auto"/>
        <w:tabs>
          <w:tab w:leader="none" w:pos="2400"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Expand Omni-Channel Offerings</w:t>
      </w:r>
      <w:r>
        <w:rPr>
          <w:rFonts w:ascii="Arial" w:cs="Arial" w:eastAsia="Arial" w:hAnsi="Arial"/>
          <w:sz w:val="17"/>
          <w:szCs w:val="17"/>
          <w:color w:val="auto"/>
        </w:rPr>
        <w:t>. We began with delivery but have since introduced pickup and in-store capabilities.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the in-store experience, we offer AI-powered Caper Carts in select stores to help customers easily navigate stores and check themselves out without manually scanning items. We plan to continue to invest in new fulfillment and in-store options.</w:t>
      </w:r>
    </w:p>
    <w:p>
      <w:pPr>
        <w:spacing w:after="0" w:line="90" w:lineRule="exact"/>
        <w:rPr>
          <w:rFonts w:ascii="Arial" w:cs="Arial" w:eastAsia="Arial" w:hAnsi="Arial"/>
          <w:sz w:val="17"/>
          <w:szCs w:val="17"/>
          <w:color w:val="auto"/>
        </w:rPr>
      </w:pPr>
    </w:p>
    <w:p>
      <w:pPr>
        <w:ind w:left="2400" w:hanging="499"/>
        <w:spacing w:after="0" w:line="254" w:lineRule="auto"/>
        <w:tabs>
          <w:tab w:leader="none" w:pos="2400"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Introduce New Use Cases and Broaden Selection</w:t>
      </w:r>
      <w:r>
        <w:rPr>
          <w:rFonts w:ascii="Arial" w:cs="Arial" w:eastAsia="Arial" w:hAnsi="Arial"/>
          <w:sz w:val="17"/>
          <w:szCs w:val="17"/>
          <w:color w:val="auto"/>
        </w:rPr>
        <w:t>. We will continue to broaden grocery shopping occasions. We will also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into grocery-adjacent verticals to meet changing consumer demands and tailor our offering for additional shopping use cases, like Instacart Business. While this expansion may result in average order value declining, we believe it will benefit our business over the long term by increasing orders and GTV. We are also focused on investing in initiatives to increase the accessibility of Instacart.</w:t>
      </w:r>
    </w:p>
    <w:p>
      <w:pPr>
        <w:spacing w:after="0" w:line="92" w:lineRule="exact"/>
        <w:rPr>
          <w:rFonts w:ascii="Arial" w:cs="Arial" w:eastAsia="Arial" w:hAnsi="Arial"/>
          <w:sz w:val="17"/>
          <w:szCs w:val="17"/>
          <w:color w:val="auto"/>
        </w:rPr>
      </w:pPr>
    </w:p>
    <w:p>
      <w:pPr>
        <w:ind w:left="2400" w:right="60" w:hanging="499"/>
        <w:spacing w:after="0" w:line="277" w:lineRule="auto"/>
        <w:tabs>
          <w:tab w:leader="none" w:pos="2400" w:val="left"/>
        </w:tabs>
        <w:numPr>
          <w:ilvl w:val="1"/>
          <w:numId w:val="189"/>
        </w:numPr>
        <w:rPr>
          <w:rFonts w:ascii="Arial" w:cs="Arial" w:eastAsia="Arial" w:hAnsi="Arial"/>
          <w:sz w:val="16"/>
          <w:szCs w:val="16"/>
          <w:color w:val="auto"/>
        </w:rPr>
      </w:pPr>
      <w:r>
        <w:rPr>
          <w:rFonts w:ascii="Arial" w:cs="Arial" w:eastAsia="Arial" w:hAnsi="Arial"/>
          <w:sz w:val="16"/>
          <w:szCs w:val="16"/>
          <w:i w:val="1"/>
          <w:iCs w:val="1"/>
          <w:color w:val="auto"/>
        </w:rPr>
        <w:t>Increase Access</w:t>
      </w:r>
      <w:r>
        <w:rPr>
          <w:rFonts w:ascii="Arial" w:cs="Arial" w:eastAsia="Arial" w:hAnsi="Arial"/>
          <w:sz w:val="16"/>
          <w:szCs w:val="16"/>
          <w:color w:val="auto"/>
        </w:rPr>
        <w:t>. We strive to make online grocery shopping accessible and affordable. We will continue to offer a wide</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fulfillment options, including pickup, no rush delivery, and next day delivery, that are more affordable relative to other fulfillment options. We will continue to work with our brand partners to expand our offerings of exclusive coupons and deals and with retailers to offer item price parity to their physical stores whenever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71755</wp:posOffset>
            </wp:positionV>
            <wp:extent cx="7239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5" w:lineRule="exact"/>
        <w:rPr>
          <w:sz w:val="20"/>
          <w:szCs w:val="20"/>
          <w:color w:val="auto"/>
        </w:rPr>
      </w:pPr>
    </w:p>
    <w:p>
      <w:pPr>
        <w:ind w:left="860" w:hanging="403"/>
        <w:spacing w:after="0"/>
        <w:tabs>
          <w:tab w:leader="none" w:pos="860" w:val="left"/>
        </w:tabs>
        <w:numPr>
          <w:ilvl w:val="0"/>
          <w:numId w:val="190"/>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Commerce media: The new force transforming advertising.</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90"/>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Commerce media: The new force transforming advertising.</w:t>
      </w:r>
    </w:p>
    <w:p>
      <w:pPr>
        <w:ind w:left="860" w:hanging="403"/>
        <w:spacing w:after="0" w:line="223" w:lineRule="auto"/>
        <w:tabs>
          <w:tab w:leader="none" w:pos="860" w:val="left"/>
        </w:tabs>
        <w:numPr>
          <w:ilvl w:val="0"/>
          <w:numId w:val="190"/>
        </w:numPr>
        <w:rPr>
          <w:rFonts w:ascii="Arial" w:cs="Arial" w:eastAsia="Arial" w:hAnsi="Arial"/>
          <w:sz w:val="10"/>
          <w:szCs w:val="10"/>
          <w:color w:val="auto"/>
        </w:rPr>
      </w:pPr>
      <w:r>
        <w:rPr>
          <w:rFonts w:ascii="Arial" w:cs="Arial" w:eastAsia="Arial" w:hAnsi="Arial"/>
          <w:sz w:val="13"/>
          <w:szCs w:val="13"/>
          <w:color w:val="auto"/>
        </w:rPr>
        <w:t>Insider Intelligence.</w:t>
      </w:r>
    </w:p>
    <w:p>
      <w:pPr>
        <w:ind w:left="860" w:hanging="403"/>
        <w:spacing w:after="0" w:line="223" w:lineRule="auto"/>
        <w:tabs>
          <w:tab w:leader="none" w:pos="860" w:val="left"/>
        </w:tabs>
        <w:numPr>
          <w:ilvl w:val="0"/>
          <w:numId w:val="190"/>
        </w:numPr>
        <w:rPr>
          <w:rFonts w:ascii="Arial" w:cs="Arial" w:eastAsia="Arial" w:hAnsi="Arial"/>
          <w:sz w:val="10"/>
          <w:szCs w:val="10"/>
          <w:color w:val="auto"/>
        </w:rPr>
      </w:pPr>
      <w:r>
        <w:rPr>
          <w:rFonts w:ascii="Arial" w:cs="Arial" w:eastAsia="Arial" w:hAnsi="Arial"/>
          <w:sz w:val="13"/>
          <w:szCs w:val="13"/>
          <w:color w:val="auto"/>
        </w:rPr>
        <w:t>Cadent.</w:t>
      </w:r>
    </w:p>
    <w:p>
      <w:pPr>
        <w:ind w:left="860" w:hanging="403"/>
        <w:spacing w:after="0"/>
        <w:tabs>
          <w:tab w:leader="none" w:pos="860" w:val="left"/>
        </w:tabs>
        <w:numPr>
          <w:ilvl w:val="0"/>
          <w:numId w:val="190"/>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Commerce media: The new force transforming advertising.</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680"/>
          </w:cols>
          <w:pgMar w:left="320" w:top="440" w:right="899" w:bottom="1440" w:gutter="0" w:footer="0" w:header="0"/>
        </w:sectPr>
      </w:pPr>
    </w:p>
    <w:bookmarkStart w:id="210" w:name="page211"/>
    <w:bookmarkEnd w:id="2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300" w:right="340"/>
        <w:spacing w:after="0" w:line="284" w:lineRule="auto"/>
        <w:rPr>
          <w:sz w:val="20"/>
          <w:szCs w:val="20"/>
          <w:color w:val="auto"/>
        </w:rPr>
      </w:pPr>
      <w:r>
        <w:rPr>
          <w:rFonts w:ascii="Arial" w:cs="Arial" w:eastAsia="Arial" w:hAnsi="Arial"/>
          <w:sz w:val="16"/>
          <w:szCs w:val="16"/>
          <w:color w:val="auto"/>
        </w:rPr>
        <w:t>We will leverage partnerships to augment these savings and deals through mechanisms like cashback and trial Instacart+ memberships. We also offer diverse payment types, such as EBT SNAP and recent initiatives like Fresh Funds through Instacart Health, to increase the accessibility of Instacart for more households.</w:t>
      </w:r>
    </w:p>
    <w:p>
      <w:pPr>
        <w:spacing w:after="0" w:line="69" w:lineRule="exact"/>
        <w:rPr>
          <w:sz w:val="20"/>
          <w:szCs w:val="20"/>
          <w:color w:val="auto"/>
        </w:rPr>
      </w:pPr>
    </w:p>
    <w:p>
      <w:pPr>
        <w:ind w:left="2400" w:hanging="499"/>
        <w:spacing w:after="0" w:line="272" w:lineRule="auto"/>
        <w:tabs>
          <w:tab w:leader="none" w:pos="2400"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Grow Instacart+</w:t>
      </w:r>
      <w:r>
        <w:rPr>
          <w:rFonts w:ascii="Arial" w:cs="Arial" w:eastAsia="Arial" w:hAnsi="Arial"/>
          <w:sz w:val="17"/>
          <w:szCs w:val="17"/>
          <w:color w:val="auto"/>
        </w:rPr>
        <w:t>. We will continue to invest in Instacart+, our membership program, to drive greater customer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We plan to increase adoption of Instacart+ to deliver savings back to our most loyal customers.</w:t>
      </w:r>
    </w:p>
    <w:p>
      <w:pPr>
        <w:spacing w:after="0" w:line="76" w:lineRule="exact"/>
        <w:rPr>
          <w:rFonts w:ascii="Arial" w:cs="Arial" w:eastAsia="Arial" w:hAnsi="Arial"/>
          <w:sz w:val="17"/>
          <w:szCs w:val="17"/>
          <w:color w:val="auto"/>
        </w:rPr>
      </w:pPr>
    </w:p>
    <w:p>
      <w:pPr>
        <w:ind w:left="2400" w:hanging="499"/>
        <w:spacing w:after="0" w:line="272" w:lineRule="auto"/>
        <w:tabs>
          <w:tab w:leader="none" w:pos="2400"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Expand AI Applications</w:t>
      </w:r>
      <w:r>
        <w:rPr>
          <w:rFonts w:ascii="Arial" w:cs="Arial" w:eastAsia="Arial" w:hAnsi="Arial"/>
          <w:sz w:val="16"/>
          <w:szCs w:val="16"/>
          <w:color w:val="auto"/>
        </w:rPr>
        <w:t>. We believe we are well positioned to lead AI product innovation in the online grocery space and</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increase engagement on Instacart. We have a robust machine learning foundation with a large amount of unique data across our retailers, product catalog, and customers. We intend to leverage this data to continue to develop AI models for deep personalization and a better customer experience. With the rapid innovation in generative AI, we believe we can create new personalized, inspirational, value-driven shopping experiences that enrich our customers’ relationship with food and how they engage with the retailers and brands they love.</w:t>
      </w:r>
    </w:p>
    <w:p>
      <w:pPr>
        <w:spacing w:after="0" w:line="78" w:lineRule="exact"/>
        <w:rPr>
          <w:rFonts w:ascii="Arial" w:cs="Arial" w:eastAsia="Arial" w:hAnsi="Arial"/>
          <w:sz w:val="16"/>
          <w:szCs w:val="16"/>
          <w:color w:val="auto"/>
        </w:rPr>
      </w:pPr>
    </w:p>
    <w:p>
      <w:pPr>
        <w:ind w:left="1360" w:right="140" w:hanging="498"/>
        <w:spacing w:after="0" w:line="272" w:lineRule="auto"/>
        <w:tabs>
          <w:tab w:leader="none" w:pos="1360" w:val="left"/>
        </w:tabs>
        <w:numPr>
          <w:ilvl w:val="0"/>
          <w:numId w:val="191"/>
        </w:numPr>
        <w:rPr>
          <w:rFonts w:ascii="Arial" w:cs="Arial" w:eastAsia="Arial" w:hAnsi="Arial"/>
          <w:sz w:val="17"/>
          <w:szCs w:val="17"/>
          <w:color w:val="auto"/>
        </w:rPr>
      </w:pPr>
      <w:r>
        <w:rPr>
          <w:rFonts w:ascii="Arial" w:cs="Arial" w:eastAsia="Arial" w:hAnsi="Arial"/>
          <w:sz w:val="17"/>
          <w:szCs w:val="17"/>
          <w:b w:val="1"/>
          <w:bCs w:val="1"/>
          <w:i w:val="1"/>
          <w:iCs w:val="1"/>
          <w:color w:val="auto"/>
        </w:rPr>
        <w:t>Deepen Our Offerings to Retailers</w:t>
      </w:r>
      <w:r>
        <w:rPr>
          <w:rFonts w:ascii="Arial" w:cs="Arial" w:eastAsia="Arial" w:hAnsi="Arial"/>
          <w:sz w:val="17"/>
          <w:szCs w:val="17"/>
          <w:color w:val="auto"/>
        </w:rPr>
        <w:t>. We plan to continue to help retailers grow by enabling new use cases and broadening the capabilities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technology solutions. We are focused on the following strategies to achieve this:</w:t>
      </w:r>
    </w:p>
    <w:p>
      <w:pPr>
        <w:spacing w:after="0" w:line="76" w:lineRule="exact"/>
        <w:rPr>
          <w:rFonts w:ascii="Arial" w:cs="Arial" w:eastAsia="Arial" w:hAnsi="Arial"/>
          <w:sz w:val="17"/>
          <w:szCs w:val="17"/>
          <w:color w:val="auto"/>
        </w:rPr>
      </w:pPr>
    </w:p>
    <w:p>
      <w:pPr>
        <w:ind w:left="2400" w:right="40" w:hanging="499"/>
        <w:spacing w:after="0" w:line="277" w:lineRule="auto"/>
        <w:tabs>
          <w:tab w:leader="none" w:pos="2400"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Expand Use Cases and Capabilities</w:t>
      </w:r>
      <w:r>
        <w:rPr>
          <w:rFonts w:ascii="Arial" w:cs="Arial" w:eastAsia="Arial" w:hAnsi="Arial"/>
          <w:sz w:val="16"/>
          <w:szCs w:val="16"/>
          <w:color w:val="auto"/>
        </w:rPr>
        <w:t>. We plan to continue to help retailers grow by enabling new use cases and broadening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capabilities of our technology solutions. We have successfully done so when we launched pickup solutions, EBT SNAP payments, virtual convenience, and AI product experiences for retailers on both Instacart Marketplace and on retailers’ owned and operated online storefronts powered by Instacart Enterprise Platform.</w:t>
      </w:r>
    </w:p>
    <w:p>
      <w:pPr>
        <w:spacing w:after="0" w:line="75" w:lineRule="exact"/>
        <w:rPr>
          <w:rFonts w:ascii="Arial" w:cs="Arial" w:eastAsia="Arial" w:hAnsi="Arial"/>
          <w:sz w:val="16"/>
          <w:szCs w:val="16"/>
          <w:color w:val="auto"/>
        </w:rPr>
      </w:pPr>
    </w:p>
    <w:p>
      <w:pPr>
        <w:ind w:left="2400" w:hanging="499"/>
        <w:spacing w:after="0" w:line="270" w:lineRule="auto"/>
        <w:tabs>
          <w:tab w:leader="none" w:pos="2400"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Pursue Opportunistic Acquisitions</w:t>
      </w:r>
      <w:r>
        <w:rPr>
          <w:rFonts w:ascii="Arial" w:cs="Arial" w:eastAsia="Arial" w:hAnsi="Arial"/>
          <w:sz w:val="16"/>
          <w:szCs w:val="16"/>
          <w:color w:val="auto"/>
        </w:rPr>
        <w:t>. We plan to pursue next-generation technologies via organic and inorganic opportunities.</w:t>
      </w:r>
      <w:r>
        <w:rPr>
          <w:rFonts w:ascii="Arial" w:cs="Arial" w:eastAsia="Arial" w:hAnsi="Arial"/>
          <w:sz w:val="16"/>
          <w:szCs w:val="16"/>
          <w:i w:val="1"/>
          <w:iCs w:val="1"/>
          <w:color w:val="auto"/>
        </w:rPr>
        <w:t xml:space="preserve"> </w:t>
      </w:r>
      <w:r>
        <w:rPr>
          <w:rFonts w:ascii="Arial" w:cs="Arial" w:eastAsia="Arial" w:hAnsi="Arial"/>
          <w:sz w:val="16"/>
          <w:szCs w:val="16"/>
          <w:color w:val="auto"/>
        </w:rPr>
        <w:t>To complement our internal development, we will look to make opportunistic acquisitions that bolster our technology solutions and key capabilities like we have successfully done with Caper, which offers AI-powered shopping carts and countertops for a seamless in-store check-out experience, FoodStorm, which offers a SaaS order management system, or OMS, that powers end-to-end online order ahead and catering capabilities for grocery retailers, Eversight, which offers AI-powered technology to create compelling savings opportunities for customers in real-time, and Rosie, which provides eCommerce storefront experiences specifically for local, independent retailers.</w:t>
      </w:r>
    </w:p>
    <w:p>
      <w:pPr>
        <w:spacing w:after="0" w:line="83" w:lineRule="exact"/>
        <w:rPr>
          <w:rFonts w:ascii="Arial" w:cs="Arial" w:eastAsia="Arial" w:hAnsi="Arial"/>
          <w:sz w:val="16"/>
          <w:szCs w:val="16"/>
          <w:color w:val="auto"/>
        </w:rPr>
      </w:pPr>
    </w:p>
    <w:p>
      <w:pPr>
        <w:ind w:left="2400" w:right="360" w:hanging="499"/>
        <w:spacing w:after="0" w:line="340" w:lineRule="auto"/>
        <w:tabs>
          <w:tab w:leader="none" w:pos="2400" w:val="left"/>
        </w:tabs>
        <w:numPr>
          <w:ilvl w:val="1"/>
          <w:numId w:val="191"/>
        </w:numPr>
        <w:rPr>
          <w:rFonts w:ascii="Arial" w:cs="Arial" w:eastAsia="Arial" w:hAnsi="Arial"/>
          <w:sz w:val="15"/>
          <w:szCs w:val="15"/>
          <w:color w:val="auto"/>
        </w:rPr>
      </w:pPr>
      <w:r>
        <w:rPr>
          <w:rFonts w:ascii="Arial" w:cs="Arial" w:eastAsia="Arial" w:hAnsi="Arial"/>
          <w:sz w:val="15"/>
          <w:szCs w:val="15"/>
          <w:i w:val="1"/>
          <w:iCs w:val="1"/>
          <w:color w:val="auto"/>
        </w:rPr>
        <w:t>Extend Our Technology Beyond Grocery</w:t>
      </w:r>
      <w:r>
        <w:rPr>
          <w:rFonts w:ascii="Arial" w:cs="Arial" w:eastAsia="Arial" w:hAnsi="Arial"/>
          <w:sz w:val="15"/>
          <w:szCs w:val="15"/>
          <w:color w:val="auto"/>
        </w:rPr>
        <w:t>. The suite of offerings we have built for grocery is also extensible to other</w:t>
      </w:r>
      <w:r>
        <w:rPr>
          <w:rFonts w:ascii="Arial" w:cs="Arial" w:eastAsia="Arial" w:hAnsi="Arial"/>
          <w:sz w:val="15"/>
          <w:szCs w:val="15"/>
          <w:i w:val="1"/>
          <w:iCs w:val="1"/>
          <w:color w:val="auto"/>
        </w:rPr>
        <w:t xml:space="preserve"> </w:t>
      </w:r>
      <w:r>
        <w:rPr>
          <w:rFonts w:ascii="Arial" w:cs="Arial" w:eastAsia="Arial" w:hAnsi="Arial"/>
          <w:sz w:val="15"/>
          <w:szCs w:val="15"/>
          <w:color w:val="auto"/>
        </w:rPr>
        <w:t>categories of retailers, and over time, we anticipate that we will partner with a greater number of non-grocery retailers.</w:t>
      </w:r>
    </w:p>
    <w:p>
      <w:pPr>
        <w:spacing w:after="0" w:line="30" w:lineRule="exact"/>
        <w:rPr>
          <w:rFonts w:ascii="Arial" w:cs="Arial" w:eastAsia="Arial" w:hAnsi="Arial"/>
          <w:sz w:val="15"/>
          <w:szCs w:val="15"/>
          <w:color w:val="auto"/>
        </w:rPr>
      </w:pPr>
    </w:p>
    <w:p>
      <w:pPr>
        <w:jc w:val="both"/>
        <w:ind w:left="2400" w:right="160" w:hanging="499"/>
        <w:spacing w:after="0" w:line="260" w:lineRule="auto"/>
        <w:tabs>
          <w:tab w:leader="none" w:pos="2400"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Pursue International Opportunities</w:t>
      </w:r>
      <w:r>
        <w:rPr>
          <w:rFonts w:ascii="Arial" w:cs="Arial" w:eastAsia="Arial" w:hAnsi="Arial"/>
          <w:sz w:val="17"/>
          <w:szCs w:val="17"/>
          <w:color w:val="auto"/>
        </w:rPr>
        <w:t>. We believe that we have built a set of unique technologies that all grocers worldwide</w:t>
      </w:r>
      <w:r>
        <w:rPr>
          <w:rFonts w:ascii="Arial" w:cs="Arial" w:eastAsia="Arial" w:hAnsi="Arial"/>
          <w:sz w:val="17"/>
          <w:szCs w:val="17"/>
          <w:i w:val="1"/>
          <w:iCs w:val="1"/>
          <w:color w:val="auto"/>
        </w:rPr>
        <w:t xml:space="preserve"> </w:t>
      </w:r>
      <w:r>
        <w:rPr>
          <w:rFonts w:ascii="Arial" w:cs="Arial" w:eastAsia="Arial" w:hAnsi="Arial"/>
          <w:sz w:val="17"/>
          <w:szCs w:val="17"/>
          <w:color w:val="auto"/>
        </w:rPr>
        <w:t>could benefit from, and over the long term, we intend to leverage our technology and existing partnerships to expand our business internationally.</w:t>
      </w:r>
    </w:p>
    <w:p>
      <w:pPr>
        <w:spacing w:after="0" w:line="86" w:lineRule="exact"/>
        <w:rPr>
          <w:rFonts w:ascii="Arial" w:cs="Arial" w:eastAsia="Arial" w:hAnsi="Arial"/>
          <w:sz w:val="17"/>
          <w:szCs w:val="17"/>
          <w:color w:val="auto"/>
        </w:rPr>
      </w:pPr>
    </w:p>
    <w:p>
      <w:pPr>
        <w:jc w:val="both"/>
        <w:ind w:left="1360" w:right="40" w:hanging="498"/>
        <w:spacing w:after="0" w:line="311" w:lineRule="auto"/>
        <w:tabs>
          <w:tab w:leader="none" w:pos="1360" w:val="left"/>
        </w:tabs>
        <w:numPr>
          <w:ilvl w:val="0"/>
          <w:numId w:val="191"/>
        </w:numPr>
        <w:rPr>
          <w:rFonts w:ascii="Arial" w:cs="Arial" w:eastAsia="Arial" w:hAnsi="Arial"/>
          <w:sz w:val="15"/>
          <w:szCs w:val="15"/>
          <w:color w:val="auto"/>
        </w:rPr>
      </w:pPr>
      <w:r>
        <w:rPr>
          <w:rFonts w:ascii="Arial" w:cs="Arial" w:eastAsia="Arial" w:hAnsi="Arial"/>
          <w:sz w:val="15"/>
          <w:szCs w:val="15"/>
          <w:b w:val="1"/>
          <w:bCs w:val="1"/>
          <w:i w:val="1"/>
          <w:iCs w:val="1"/>
          <w:color w:val="auto"/>
        </w:rPr>
        <w:t>Increase Brand Success and Support Emerging Brands</w:t>
      </w:r>
      <w:r>
        <w:rPr>
          <w:rFonts w:ascii="Arial" w:cs="Arial" w:eastAsia="Arial" w:hAnsi="Arial"/>
          <w:sz w:val="15"/>
          <w:szCs w:val="15"/>
          <w:color w:val="auto"/>
        </w:rPr>
        <w:t>. We will continue to build ads offerings to provide brand partners with new ways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connect with customers shopping online. We have seen our advertising revenue grow rapidly over the last few years given our customer reach and the high ROI of advertising dollars on Instacart. We are focused on the following strategies to achieve this:</w:t>
      </w:r>
    </w:p>
    <w:p>
      <w:pPr>
        <w:spacing w:after="0" w:line="51" w:lineRule="exact"/>
        <w:rPr>
          <w:rFonts w:ascii="Arial" w:cs="Arial" w:eastAsia="Arial" w:hAnsi="Arial"/>
          <w:sz w:val="15"/>
          <w:szCs w:val="15"/>
          <w:color w:val="auto"/>
        </w:rPr>
      </w:pPr>
    </w:p>
    <w:p>
      <w:pPr>
        <w:ind w:left="2400" w:right="220" w:hanging="499"/>
        <w:spacing w:after="0" w:line="253" w:lineRule="auto"/>
        <w:tabs>
          <w:tab w:leader="none" w:pos="2400"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Increase Advertising and Other Investment Rate</w:t>
      </w:r>
      <w:r>
        <w:rPr>
          <w:rFonts w:ascii="Arial" w:cs="Arial" w:eastAsia="Arial" w:hAnsi="Arial"/>
          <w:sz w:val="17"/>
          <w:szCs w:val="17"/>
          <w:color w:val="auto"/>
        </w:rPr>
        <w:t>. Since launching our ads offering, we have seen strong adoption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brand partners. Our ability to connect brand partners directly with high intent customers positions us to capture the large market opportunity as CPG advertising dollars continue to move online. Increasing advertising and other investment rate will come from existing brands spending more with us, acquisition of new advertisers as we expand ads offerings availability across new categories, and growing sales for emerging brands and non-food categories that have higher advertising budgets.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780"/>
          </w:cols>
          <w:pgMar w:left="320" w:top="440" w:right="799" w:bottom="1440" w:gutter="0" w:footer="0" w:header="0"/>
        </w:sectPr>
      </w:pPr>
    </w:p>
    <w:bookmarkStart w:id="211" w:name="page212"/>
    <w:bookmarkEnd w:id="2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400" w:right="80" w:hanging="499"/>
        <w:spacing w:after="0" w:line="311" w:lineRule="auto"/>
        <w:tabs>
          <w:tab w:leader="none" w:pos="2400" w:val="left"/>
        </w:tabs>
        <w:numPr>
          <w:ilvl w:val="0"/>
          <w:numId w:val="192"/>
        </w:numPr>
        <w:rPr>
          <w:rFonts w:ascii="Arial" w:cs="Arial" w:eastAsia="Arial" w:hAnsi="Arial"/>
          <w:sz w:val="15"/>
          <w:szCs w:val="15"/>
          <w:color w:val="auto"/>
        </w:rPr>
      </w:pPr>
      <w:r>
        <w:rPr>
          <w:rFonts w:ascii="Arial" w:cs="Arial" w:eastAsia="Arial" w:hAnsi="Arial"/>
          <w:sz w:val="15"/>
          <w:szCs w:val="15"/>
          <w:i w:val="1"/>
          <w:iCs w:val="1"/>
          <w:color w:val="auto"/>
        </w:rPr>
        <w:t>Add More Emerging Brands</w:t>
      </w:r>
      <w:r>
        <w:rPr>
          <w:rFonts w:ascii="Arial" w:cs="Arial" w:eastAsia="Arial" w:hAnsi="Arial"/>
          <w:sz w:val="15"/>
          <w:szCs w:val="15"/>
          <w:color w:val="auto"/>
        </w:rPr>
        <w:t>. Emerging brands have a high desire to invest as they look to grow brand awareness and</w:t>
      </w:r>
      <w:r>
        <w:rPr>
          <w:rFonts w:ascii="Arial" w:cs="Arial" w:eastAsia="Arial" w:hAnsi="Arial"/>
          <w:sz w:val="15"/>
          <w:szCs w:val="15"/>
          <w:i w:val="1"/>
          <w:iCs w:val="1"/>
          <w:color w:val="auto"/>
        </w:rPr>
        <w:t xml:space="preserve"> </w:t>
      </w:r>
      <w:r>
        <w:rPr>
          <w:rFonts w:ascii="Arial" w:cs="Arial" w:eastAsia="Arial" w:hAnsi="Arial"/>
          <w:sz w:val="15"/>
          <w:szCs w:val="15"/>
          <w:color w:val="auto"/>
        </w:rPr>
        <w:t>engage with customers. We are focused on expanding our ads offerings and building solutions to help emerging brands get discovered on the virtual shelf through features such as trending searches, shoppable display units, and brand pages.</w:t>
      </w:r>
    </w:p>
    <w:p>
      <w:pPr>
        <w:spacing w:after="0" w:line="51" w:lineRule="exact"/>
        <w:rPr>
          <w:rFonts w:ascii="Arial" w:cs="Arial" w:eastAsia="Arial" w:hAnsi="Arial"/>
          <w:sz w:val="15"/>
          <w:szCs w:val="15"/>
          <w:color w:val="auto"/>
        </w:rPr>
      </w:pPr>
    </w:p>
    <w:p>
      <w:pPr>
        <w:ind w:left="2400" w:hanging="499"/>
        <w:spacing w:after="0" w:line="254" w:lineRule="auto"/>
        <w:tabs>
          <w:tab w:leader="none" w:pos="240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New Ads Offerings</w:t>
      </w:r>
      <w:r>
        <w:rPr>
          <w:rFonts w:ascii="Arial" w:cs="Arial" w:eastAsia="Arial" w:hAnsi="Arial"/>
          <w:sz w:val="17"/>
          <w:szCs w:val="17"/>
          <w:color w:val="auto"/>
        </w:rPr>
        <w:t>. We will continue to build our display ads offerings to include rich media discovery opportunities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brands to reach customers in new and impactful ways, including collections of shoppable products brand pages to serve as destinations for on- and offsite media. We will also continue to invest in optimization and measurement capabilities to align with brands’ objectives across the marketing funnel, building on recently launched capabilities like optimized bidding to maximize sales.</w:t>
      </w:r>
    </w:p>
    <w:p>
      <w:pPr>
        <w:spacing w:after="0" w:line="92" w:lineRule="exact"/>
        <w:rPr>
          <w:rFonts w:ascii="Arial" w:cs="Arial" w:eastAsia="Arial" w:hAnsi="Arial"/>
          <w:sz w:val="17"/>
          <w:szCs w:val="17"/>
          <w:color w:val="auto"/>
        </w:rPr>
      </w:pPr>
    </w:p>
    <w:p>
      <w:pPr>
        <w:ind w:left="2400" w:right="80" w:hanging="499"/>
        <w:spacing w:after="0" w:line="277" w:lineRule="auto"/>
        <w:tabs>
          <w:tab w:leader="none" w:pos="2400"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Expand Our Advertising Technology to More Retailers’ Sites</w:t>
      </w:r>
      <w:r>
        <w:rPr>
          <w:rFonts w:ascii="Arial" w:cs="Arial" w:eastAsia="Arial" w:hAnsi="Arial"/>
          <w:sz w:val="16"/>
          <w:szCs w:val="16"/>
          <w:color w:val="auto"/>
        </w:rPr>
        <w:t>. We are investing to expand Instacart Ads to retailers’ owned</w:t>
      </w:r>
      <w:r>
        <w:rPr>
          <w:rFonts w:ascii="Arial" w:cs="Arial" w:eastAsia="Arial" w:hAnsi="Arial"/>
          <w:sz w:val="16"/>
          <w:szCs w:val="16"/>
          <w:i w:val="1"/>
          <w:iCs w:val="1"/>
          <w:color w:val="auto"/>
        </w:rPr>
        <w:t xml:space="preserve"> </w:t>
      </w:r>
      <w:r>
        <w:rPr>
          <w:rFonts w:ascii="Arial" w:cs="Arial" w:eastAsia="Arial" w:hAnsi="Arial"/>
          <w:sz w:val="16"/>
          <w:szCs w:val="16"/>
          <w:color w:val="auto"/>
        </w:rPr>
        <w:t>and operated online storefronts through Instacart Enterprise Platform. In 2021, we launched Carrot Ads, which helps our retail partners capture new monetization opportunities while broadening advertiser reach to millions of new customers via additional relevant placements on retailers’ owned and operated online storefronts.</w:t>
      </w:r>
    </w:p>
    <w:p>
      <w:pPr>
        <w:spacing w:after="0" w:line="362"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Our Commitment to Our Community</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are committed to empowering the communities we serve. Our work to create positive impacts in the broader community include:</w:t>
      </w:r>
    </w:p>
    <w:p>
      <w:pPr>
        <w:spacing w:after="0" w:line="133" w:lineRule="exact"/>
        <w:rPr>
          <w:sz w:val="20"/>
          <w:szCs w:val="20"/>
          <w:color w:val="auto"/>
        </w:rPr>
      </w:pPr>
    </w:p>
    <w:p>
      <w:pPr>
        <w:ind w:left="1360" w:right="140" w:hanging="498"/>
        <w:spacing w:after="0" w:line="256" w:lineRule="auto"/>
        <w:tabs>
          <w:tab w:leader="none" w:pos="1360" w:val="left"/>
        </w:tabs>
        <w:numPr>
          <w:ilvl w:val="0"/>
          <w:numId w:val="193"/>
        </w:numPr>
        <w:rPr>
          <w:rFonts w:ascii="Arial" w:cs="Arial" w:eastAsia="Arial" w:hAnsi="Arial"/>
          <w:sz w:val="15"/>
          <w:szCs w:val="15"/>
          <w:color w:val="auto"/>
        </w:rPr>
      </w:pPr>
      <w:r>
        <w:rPr>
          <w:rFonts w:ascii="Arial" w:cs="Arial" w:eastAsia="Arial" w:hAnsi="Arial"/>
          <w:sz w:val="15"/>
          <w:szCs w:val="15"/>
          <w:b w:val="1"/>
          <w:bCs w:val="1"/>
          <w:i w:val="1"/>
          <w:iCs w:val="1"/>
          <w:color w:val="auto"/>
        </w:rPr>
        <w:t>Economic Enablement</w:t>
      </w:r>
      <w:r>
        <w:rPr>
          <w:rFonts w:ascii="Arial" w:cs="Arial" w:eastAsia="Arial" w:hAnsi="Arial"/>
          <w:sz w:val="15"/>
          <w:szCs w:val="15"/>
          <w:color w:val="auto"/>
        </w:rPr>
        <w:t>. Our business model is designed to enable the success of all of our constituents, including shoppers and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communities that we serve. We deeply value our community of over 600,000 shoppers, and we strive to provide the support and earnings opportunities that make the shopping experience as safe and rewarding as possible.</w:t>
      </w:r>
      <w:r>
        <w:rPr>
          <w:rFonts w:ascii="Arial" w:cs="Arial" w:eastAsia="Arial" w:hAnsi="Arial"/>
          <w:sz w:val="22"/>
          <w:szCs w:val="22"/>
          <w:color w:val="auto"/>
          <w:vertAlign w:val="superscript"/>
        </w:rPr>
        <w:t>174</w:t>
      </w:r>
      <w:r>
        <w:rPr>
          <w:rFonts w:ascii="Arial" w:cs="Arial" w:eastAsia="Arial" w:hAnsi="Arial"/>
          <w:sz w:val="15"/>
          <w:szCs w:val="15"/>
          <w:color w:val="auto"/>
        </w:rPr>
        <w:t xml:space="preserve"> We also believe our business model translates into positive economic impacts for the broader community, and in particular benefited frontline grocery workers during the COVID-19 pandemic. From 2013 to 2020, we contributed to the creation of approximately 186,000 grocery jobs in the United States, approximately 70,000 of which were created during the early stages of the pandemic.</w:t>
      </w:r>
      <w:r>
        <w:rPr>
          <w:rFonts w:ascii="Arial" w:cs="Arial" w:eastAsia="Arial" w:hAnsi="Arial"/>
          <w:sz w:val="22"/>
          <w:szCs w:val="22"/>
          <w:color w:val="auto"/>
          <w:vertAlign w:val="superscript"/>
        </w:rPr>
        <w:t>175</w:t>
      </w:r>
      <w:r>
        <w:rPr>
          <w:rFonts w:ascii="Arial" w:cs="Arial" w:eastAsia="Arial" w:hAnsi="Arial"/>
          <w:sz w:val="15"/>
          <w:szCs w:val="15"/>
          <w:color w:val="auto"/>
        </w:rPr>
        <w:t xml:space="preserve"> In communities we served at the outset of the COVID-19 pandemic, we also contributed to an average weekly grocery wage increase of approximately $22 per employee.</w:t>
      </w:r>
      <w:r>
        <w:rPr>
          <w:rFonts w:ascii="Arial" w:cs="Arial" w:eastAsia="Arial" w:hAnsi="Arial"/>
          <w:sz w:val="22"/>
          <w:szCs w:val="22"/>
          <w:color w:val="auto"/>
          <w:vertAlign w:val="superscript"/>
        </w:rPr>
        <w:t>176</w:t>
      </w:r>
    </w:p>
    <w:p>
      <w:pPr>
        <w:ind w:left="1360" w:right="100" w:hanging="498"/>
        <w:spacing w:after="0" w:line="236" w:lineRule="auto"/>
        <w:tabs>
          <w:tab w:leader="none" w:pos="1360" w:val="left"/>
        </w:tabs>
        <w:numPr>
          <w:ilvl w:val="0"/>
          <w:numId w:val="193"/>
        </w:numPr>
        <w:rPr>
          <w:rFonts w:ascii="Arial" w:cs="Arial" w:eastAsia="Arial" w:hAnsi="Arial"/>
          <w:sz w:val="16"/>
          <w:szCs w:val="16"/>
          <w:color w:val="auto"/>
        </w:rPr>
      </w:pPr>
      <w:r>
        <w:rPr>
          <w:rFonts w:ascii="Arial" w:cs="Arial" w:eastAsia="Arial" w:hAnsi="Arial"/>
          <w:sz w:val="16"/>
          <w:szCs w:val="16"/>
          <w:b w:val="1"/>
          <w:bCs w:val="1"/>
          <w:i w:val="1"/>
          <w:iCs w:val="1"/>
          <w:color w:val="auto"/>
        </w:rPr>
        <w:t>Access to Quality Food and Nutrition</w:t>
      </w:r>
      <w:r>
        <w:rPr>
          <w:rFonts w:ascii="Arial" w:cs="Arial" w:eastAsia="Arial" w:hAnsi="Arial"/>
          <w:sz w:val="16"/>
          <w:szCs w:val="16"/>
          <w:color w:val="auto"/>
        </w:rPr>
        <w:t>. Today, one in 10 Americans struggles to get access to fresh, nutritious food,</w:t>
      </w:r>
      <w:r>
        <w:rPr>
          <w:rFonts w:ascii="Arial" w:cs="Arial" w:eastAsia="Arial" w:hAnsi="Arial"/>
          <w:sz w:val="24"/>
          <w:szCs w:val="24"/>
          <w:color w:val="auto"/>
          <w:vertAlign w:val="superscript"/>
        </w:rPr>
        <w:t>177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more than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Americans suffer from diet-related diseases.</w:t>
      </w:r>
      <w:r>
        <w:rPr>
          <w:rFonts w:ascii="Arial" w:cs="Arial" w:eastAsia="Arial" w:hAnsi="Arial"/>
          <w:sz w:val="24"/>
          <w:szCs w:val="24"/>
          <w:color w:val="auto"/>
          <w:vertAlign w:val="superscript"/>
        </w:rPr>
        <w:t>178</w:t>
      </w:r>
      <w:r>
        <w:rPr>
          <w:rFonts w:ascii="Arial" w:cs="Arial" w:eastAsia="Arial" w:hAnsi="Arial"/>
          <w:sz w:val="16"/>
          <w:szCs w:val="16"/>
          <w:color w:val="auto"/>
        </w:rPr>
        <w:t xml:space="preserve"> We believe that we are uniquely positioned to contribute to the fight against nutrition insecurity and promote healthier lifestyles for consumers through our Instacart Health initiative. We launched our EBT SNAP program to increase the accessibility of Instacart for more households, and we have since expanded the program to more than 120 retailer banners across more than 10,000 stores in the United States.</w:t>
      </w:r>
      <w:r>
        <w:rPr>
          <w:rFonts w:ascii="Arial" w:cs="Arial" w:eastAsia="Arial" w:hAnsi="Arial"/>
          <w:sz w:val="24"/>
          <w:szCs w:val="24"/>
          <w:color w:val="auto"/>
          <w:vertAlign w:val="superscript"/>
        </w:rPr>
        <w:t>179</w:t>
      </w:r>
      <w:r>
        <w:rPr>
          <w:rFonts w:ascii="Arial" w:cs="Arial" w:eastAsia="Arial" w:hAnsi="Arial"/>
          <w:sz w:val="16"/>
          <w:szCs w:val="16"/>
          <w:color w:val="auto"/>
        </w:rPr>
        <w:t xml:space="preserve"> We recently launched Fresh Funds with a similar goal. Many of these customers value the privacy and convenience that our services provide while accessing nutritious food. We also partner with a number of organizations to promote access to food through monetary and in-kind donations, particularly in underserved communities and food deserts. Additionally, we designed our offering to ensure that doctors, hospitals, and health systems have access to tools that help them seamlessly launch food-as-medicine programs at scale. By partnering with payers, providers, employers, and non-profits, and making it easy for them to fund the cost of nutritious choices and administer food-as-medicine programs, we believe we can make it possible for a larger number of people to get access to affordable, nutritious food choices. To that end, we have designed programs like Fresh Funds, Care Carts, Storefronts, and Lists to enable collaborative care and empower organizations and individuals to help people get the personalized nutrition they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93980</wp:posOffset>
            </wp:positionV>
            <wp:extent cx="7239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1" w:lineRule="exact"/>
        <w:rPr>
          <w:sz w:val="20"/>
          <w:szCs w:val="20"/>
          <w:color w:val="auto"/>
        </w:rPr>
      </w:pPr>
    </w:p>
    <w:p>
      <w:pPr>
        <w:ind w:left="860" w:hanging="403"/>
        <w:spacing w:after="0"/>
        <w:tabs>
          <w:tab w:leader="none" w:pos="860" w:val="left"/>
        </w:tabs>
        <w:numPr>
          <w:ilvl w:val="0"/>
          <w:numId w:val="194"/>
        </w:numPr>
        <w:rPr>
          <w:rFonts w:ascii="Arial" w:cs="Arial" w:eastAsia="Arial" w:hAnsi="Arial"/>
          <w:sz w:val="10"/>
          <w:szCs w:val="10"/>
          <w:color w:val="auto"/>
        </w:rPr>
      </w:pPr>
      <w:r>
        <w:rPr>
          <w:rFonts w:ascii="Arial" w:cs="Arial" w:eastAsia="Arial" w:hAnsi="Arial"/>
          <w:sz w:val="13"/>
          <w:szCs w:val="13"/>
          <w:color w:val="auto"/>
        </w:rPr>
        <w:t>Based on shoppers who completed at least one order during the month ended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194"/>
        </w:numPr>
        <w:rPr>
          <w:rFonts w:ascii="Arial" w:cs="Arial" w:eastAsia="Arial" w:hAnsi="Arial"/>
          <w:sz w:val="10"/>
          <w:szCs w:val="10"/>
          <w:color w:val="auto"/>
        </w:rPr>
      </w:pPr>
      <w:r>
        <w:rPr>
          <w:rFonts w:ascii="Arial" w:cs="Arial" w:eastAsia="Arial" w:hAnsi="Arial"/>
          <w:sz w:val="13"/>
          <w:szCs w:val="13"/>
          <w:color w:val="auto"/>
        </w:rPr>
        <w:t>NERA.</w:t>
      </w:r>
    </w:p>
    <w:p>
      <w:pPr>
        <w:ind w:left="860" w:hanging="403"/>
        <w:spacing w:after="0" w:line="223" w:lineRule="auto"/>
        <w:tabs>
          <w:tab w:leader="none" w:pos="860" w:val="left"/>
        </w:tabs>
        <w:numPr>
          <w:ilvl w:val="0"/>
          <w:numId w:val="194"/>
        </w:numPr>
        <w:rPr>
          <w:rFonts w:ascii="Arial" w:cs="Arial" w:eastAsia="Arial" w:hAnsi="Arial"/>
          <w:sz w:val="10"/>
          <w:szCs w:val="10"/>
          <w:color w:val="auto"/>
        </w:rPr>
      </w:pPr>
      <w:r>
        <w:rPr>
          <w:rFonts w:ascii="Arial" w:cs="Arial" w:eastAsia="Arial" w:hAnsi="Arial"/>
          <w:sz w:val="13"/>
          <w:szCs w:val="13"/>
          <w:color w:val="auto"/>
        </w:rPr>
        <w:t>NERA.</w:t>
      </w:r>
    </w:p>
    <w:p>
      <w:pPr>
        <w:ind w:left="860" w:hanging="403"/>
        <w:spacing w:after="0" w:line="223" w:lineRule="auto"/>
        <w:tabs>
          <w:tab w:leader="none" w:pos="860" w:val="left"/>
        </w:tabs>
        <w:numPr>
          <w:ilvl w:val="0"/>
          <w:numId w:val="194"/>
        </w:numPr>
        <w:rPr>
          <w:rFonts w:ascii="Arial" w:cs="Arial" w:eastAsia="Arial" w:hAnsi="Arial"/>
          <w:sz w:val="10"/>
          <w:szCs w:val="10"/>
          <w:color w:val="auto"/>
        </w:rPr>
      </w:pPr>
      <w:r>
        <w:rPr>
          <w:rFonts w:ascii="Arial" w:cs="Arial" w:eastAsia="Arial" w:hAnsi="Arial"/>
          <w:sz w:val="13"/>
          <w:szCs w:val="13"/>
          <w:color w:val="auto"/>
        </w:rPr>
        <w:t xml:space="preserve">Department of Agriculture Food and Nutrition Service, </w:t>
      </w:r>
      <w:r>
        <w:rPr>
          <w:rFonts w:ascii="Arial" w:cs="Arial" w:eastAsia="Arial" w:hAnsi="Arial"/>
          <w:sz w:val="13"/>
          <w:szCs w:val="13"/>
          <w:i w:val="1"/>
          <w:iCs w:val="1"/>
          <w:color w:val="auto"/>
        </w:rPr>
        <w:t>Food Security: Key Statistics &amp; Graphics</w:t>
      </w:r>
      <w:r>
        <w:rPr>
          <w:rFonts w:ascii="Arial" w:cs="Arial" w:eastAsia="Arial" w:hAnsi="Arial"/>
          <w:sz w:val="13"/>
          <w:szCs w:val="13"/>
          <w:color w:val="auto"/>
        </w:rPr>
        <w:t>.</w:t>
      </w:r>
    </w:p>
    <w:p>
      <w:pPr>
        <w:ind w:left="860" w:hanging="403"/>
        <w:spacing w:after="0" w:line="223" w:lineRule="auto"/>
        <w:tabs>
          <w:tab w:leader="none" w:pos="860" w:val="left"/>
        </w:tabs>
        <w:numPr>
          <w:ilvl w:val="0"/>
          <w:numId w:val="194"/>
        </w:numPr>
        <w:rPr>
          <w:rFonts w:ascii="Arial" w:cs="Arial" w:eastAsia="Arial" w:hAnsi="Arial"/>
          <w:sz w:val="10"/>
          <w:szCs w:val="10"/>
          <w:color w:val="auto"/>
        </w:rPr>
      </w:pPr>
      <w:r>
        <w:rPr>
          <w:rFonts w:ascii="Arial" w:cs="Arial" w:eastAsia="Arial" w:hAnsi="Arial"/>
          <w:sz w:val="13"/>
          <w:szCs w:val="13"/>
          <w:color w:val="auto"/>
        </w:rPr>
        <w:t>National Center for Chronic Disease Prevention and Health Promotion</w:t>
      </w:r>
    </w:p>
    <w:p>
      <w:pPr>
        <w:ind w:left="860" w:hanging="403"/>
        <w:spacing w:after="0"/>
        <w:tabs>
          <w:tab w:leader="none" w:pos="860" w:val="left"/>
        </w:tabs>
        <w:numPr>
          <w:ilvl w:val="0"/>
          <w:numId w:val="194"/>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760"/>
          </w:cols>
          <w:pgMar w:left="320" w:top="440" w:right="819" w:bottom="1440" w:gutter="0" w:footer="0" w:header="0"/>
        </w:sectPr>
      </w:pPr>
    </w:p>
    <w:bookmarkStart w:id="212" w:name="page213"/>
    <w:bookmarkEnd w:id="2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20" w:hanging="498"/>
        <w:spacing w:after="0" w:line="267" w:lineRule="auto"/>
        <w:tabs>
          <w:tab w:leader="none" w:pos="1360" w:val="left"/>
        </w:tabs>
        <w:numPr>
          <w:ilvl w:val="0"/>
          <w:numId w:val="195"/>
        </w:numPr>
        <w:rPr>
          <w:rFonts w:ascii="Arial" w:cs="Arial" w:eastAsia="Arial" w:hAnsi="Arial"/>
          <w:sz w:val="16"/>
          <w:szCs w:val="16"/>
          <w:color w:val="auto"/>
        </w:rPr>
      </w:pPr>
      <w:r>
        <w:rPr>
          <w:rFonts w:ascii="Arial" w:cs="Arial" w:eastAsia="Arial" w:hAnsi="Arial"/>
          <w:sz w:val="16"/>
          <w:szCs w:val="16"/>
          <w:b w:val="1"/>
          <w:bCs w:val="1"/>
          <w:i w:val="1"/>
          <w:iCs w:val="1"/>
          <w:color w:val="auto"/>
        </w:rPr>
        <w:t>Promoting Diverse Businesses</w:t>
      </w:r>
      <w:r>
        <w:rPr>
          <w:rFonts w:ascii="Arial" w:cs="Arial" w:eastAsia="Arial" w:hAnsi="Arial"/>
          <w:sz w:val="16"/>
          <w:szCs w:val="16"/>
          <w:color w:val="auto"/>
        </w:rPr>
        <w:t>. As our ads offerings continue to expand, we believe we have a valuable opportunity to support the success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minority and women-owned businesses on Instacart. For example, in 2021, we launched an initiative to invest up to $1 million to promote Black-owned brands by providing them advertising credit and ongoing ad campaign support. We expanded this initiative with an additional $1 million commitment to promote women-owned brands in 2022. Additionally, with Instacart Business, we are creating more ways for retailers to reach customers shopping for their businesses — ranging from a diverse cross section of local small businesses to larger, national entities. Through Instacart Business, we have also partnered with national organizations that serve diverse small businesses to help them grow, such as the U.S. Black Chambers, U.S. Hispanic Chamber of Commerce, U.S. Pan Asian American Chambers of Commerce, Women’s Business Enterprise National Council, and Black Enterprise. Combined, these organizations represent hundreds of thousands of businesses across the country. Through this partnership, we have helped these businesses expand their network through sponsoring events for diverse small business owners and providing access to training and informational resources. We have also highlighted emerging brands, local retailers, and small businesses using Instacart Business to amplify their voices and reach new customers.</w:t>
      </w: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Offerings</w:t>
      </w:r>
      <w:r>
        <w:rPr>
          <w:rFonts w:ascii="Arial" w:cs="Arial" w:eastAsia="Arial" w:hAnsi="Arial"/>
          <w:sz w:val="25"/>
          <w:szCs w:val="25"/>
          <w:b w:val="1"/>
          <w:bCs w:val="1"/>
          <w:color w:val="auto"/>
          <w:vertAlign w:val="superscript"/>
        </w:rPr>
        <w:t>180</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Retail Partners</w:t>
      </w:r>
    </w:p>
    <w:p>
      <w:pPr>
        <w:spacing w:after="0" w:line="10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We are a trusted partner for national, regional, and local retailers, providing them with a suite of enterprise grade technologies for eCommerce, fulfillment, in-store, ads, and insights. Our goal is to help retailers create a personalized and seamless consumer experience no matter how people choose to shop. We do this through Instacart Marketplace and Instacart Enterprise Platform.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Instacart Marketplace</w:t>
      </w:r>
    </w:p>
    <w:p>
      <w:pPr>
        <w:spacing w:after="0" w:line="108"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With Instacart Marketplace, retailers can seamlessly bring their entire store footprint online and create an omni-channel offering to reach millions of new customers in weeks. Our technology enables our retail partners to showcase their full inventory online at each individual store in real-time, allowing customers to shop how they want: by aisle, purchase history, related items, recipe, or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135255</wp:posOffset>
            </wp:positionV>
            <wp:extent cx="4696460" cy="27660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696460" cy="276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0" w:right="200" w:hanging="403"/>
        <w:spacing w:after="0" w:line="260" w:lineRule="auto"/>
        <w:tabs>
          <w:tab w:leader="none" w:pos="860" w:val="left"/>
        </w:tabs>
        <w:numPr>
          <w:ilvl w:val="0"/>
          <w:numId w:val="196"/>
        </w:numPr>
        <w:rPr>
          <w:rFonts w:ascii="Arial" w:cs="Arial" w:eastAsia="Arial" w:hAnsi="Arial"/>
          <w:sz w:val="10"/>
          <w:szCs w:val="10"/>
          <w:color w:val="auto"/>
        </w:rPr>
      </w:pPr>
      <w:r>
        <w:rPr>
          <w:rFonts w:ascii="Arial" w:cs="Arial" w:eastAsia="Arial" w:hAnsi="Arial"/>
          <w:sz w:val="13"/>
          <w:szCs w:val="13"/>
          <w:color w:val="auto"/>
        </w:rPr>
        <w:t>The figures and data shown in the screenshots of our mobile app and website in this section titled “Business—Our Offerings” are illustrative and are not based on or may not reflect actual results.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780"/>
          </w:cols>
          <w:pgMar w:left="320" w:top="440" w:right="79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line="254" w:lineRule="auto"/>
        <w:tabs>
          <w:tab w:leader="none" w:pos="1360"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Catalog Management</w:t>
      </w:r>
      <w:r>
        <w:rPr>
          <w:rFonts w:ascii="Arial" w:cs="Arial" w:eastAsia="Arial" w:hAnsi="Arial"/>
          <w:sz w:val="17"/>
          <w:szCs w:val="17"/>
          <w:color w:val="auto"/>
        </w:rPr>
        <w:t>. Our catalog technology and algorithms process and reflect billions of data points each day across each retailer,</w:t>
      </w:r>
      <w:r>
        <w:rPr>
          <w:rFonts w:ascii="Arial" w:cs="Arial" w:eastAsia="Arial" w:hAnsi="Arial"/>
          <w:sz w:val="17"/>
          <w:szCs w:val="17"/>
          <w:i w:val="1"/>
          <w:iCs w:val="1"/>
          <w:color w:val="auto"/>
        </w:rPr>
        <w:t xml:space="preserve"> </w:t>
      </w:r>
      <w:r>
        <w:rPr>
          <w:rFonts w:ascii="Arial" w:cs="Arial" w:eastAsia="Arial" w:hAnsi="Arial"/>
          <w:sz w:val="17"/>
          <w:szCs w:val="17"/>
          <w:color w:val="auto"/>
        </w:rPr>
        <w:t>store, and item to ensure we are showing customers relevant, accurate, and up-to-date information. Our deeply integrated technology allows us to aggregate detailed information from many sources—retailers, advertisers, shoppers, and other third parties—to create a comprehensive dataset that contains real-time information about item availability, size, weight, shelf and promotional pricing, nutritional content, high-resolution imagery, and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60" w:right="40" w:hanging="498"/>
        <w:spacing w:after="0" w:line="260" w:lineRule="auto"/>
        <w:tabs>
          <w:tab w:leader="none" w:pos="136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Merchandising Integrations</w:t>
      </w:r>
      <w:r>
        <w:rPr>
          <w:rFonts w:ascii="Arial" w:cs="Arial" w:eastAsia="Arial" w:hAnsi="Arial"/>
          <w:sz w:val="17"/>
          <w:szCs w:val="17"/>
          <w:color w:val="auto"/>
        </w:rPr>
        <w:t>. We offer a variety of proprietary integrations to help retailers mirror their offline offerings on Instacart</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 We maintain digital aisles to accurately reflect retailers’ merchandising priorities. We allow item pricing to remain fully in the control of our retail partners, including promotional and loyalty pricing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62865</wp:posOffset>
            </wp:positionV>
            <wp:extent cx="5508625" cy="26777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08625" cy="267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600"/>
          </w:cols>
          <w:pgMar w:left="320" w:top="440" w:right="97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tabs>
          <w:tab w:leader="none" w:pos="1360" w:val="left"/>
        </w:tabs>
        <w:numPr>
          <w:ilvl w:val="0"/>
          <w:numId w:val="199"/>
        </w:numPr>
        <w:rPr>
          <w:rFonts w:ascii="Arial" w:cs="Arial" w:eastAsia="Arial" w:hAnsi="Arial"/>
          <w:sz w:val="15"/>
          <w:szCs w:val="15"/>
          <w:color w:val="auto"/>
        </w:rPr>
      </w:pPr>
      <w:r>
        <w:rPr>
          <w:rFonts w:ascii="Arial" w:cs="Arial" w:eastAsia="Arial" w:hAnsi="Arial"/>
          <w:sz w:val="15"/>
          <w:szCs w:val="15"/>
          <w:i w:val="1"/>
          <w:iCs w:val="1"/>
          <w:color w:val="auto"/>
        </w:rPr>
        <w:t>Loyalty Integrations</w:t>
      </w:r>
      <w:r>
        <w:rPr>
          <w:rFonts w:ascii="Arial" w:cs="Arial" w:eastAsia="Arial" w:hAnsi="Arial"/>
          <w:sz w:val="15"/>
          <w:szCs w:val="15"/>
          <w:color w:val="auto"/>
        </w:rPr>
        <w:t>. We integrate retailers’ offline loyalty programs directly onto Instacart Marketplace so that our customers are able to</w:t>
      </w:r>
    </w:p>
    <w:p>
      <w:pPr>
        <w:sectPr>
          <w:pgSz w:w="11900" w:h="16838" w:orient="portrait"/>
          <w:cols w:equalWidth="0" w:num="1">
            <w:col w:w="10640"/>
          </w:cols>
          <w:pgMar w:left="320" w:top="440" w:right="939" w:bottom="1440" w:gutter="0" w:footer="0" w:header="0"/>
        </w:sectPr>
      </w:pPr>
    </w:p>
    <w:p>
      <w:pPr>
        <w:spacing w:after="0" w:line="42" w:lineRule="exact"/>
        <w:rPr>
          <w:sz w:val="20"/>
          <w:szCs w:val="20"/>
          <w:color w:val="auto"/>
        </w:rPr>
      </w:pPr>
    </w:p>
    <w:p>
      <w:pPr>
        <w:ind w:left="1360" w:right="100"/>
        <w:spacing w:after="0" w:line="257" w:lineRule="auto"/>
        <w:rPr>
          <w:sz w:val="20"/>
          <w:szCs w:val="20"/>
          <w:color w:val="auto"/>
        </w:rPr>
      </w:pPr>
      <w:r>
        <w:rPr>
          <w:rFonts w:ascii="Arial" w:cs="Arial" w:eastAsia="Arial" w:hAnsi="Arial"/>
          <w:sz w:val="17"/>
          <w:szCs w:val="17"/>
          <w:color w:val="auto"/>
        </w:rPr>
        <w:t>access their favorite loyalty programs from retailers such as and take advantage of digital coupons and specials, as well as popular sales and perks.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64135</wp:posOffset>
            </wp:positionV>
            <wp:extent cx="4696460" cy="29997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696460" cy="2999740"/>
                    </a:xfrm>
                    <a:prstGeom prst="rect">
                      <a:avLst/>
                    </a:prstGeom>
                    <a:noFill/>
                  </pic:spPr>
                </pic:pic>
              </a:graphicData>
            </a:graphic>
          </wp:anchor>
        </w:drawing>
      </w:r>
    </w:p>
    <w:p>
      <w:pPr>
        <w:sectPr>
          <w:pgSz w:w="11900" w:h="16838" w:orient="portrait"/>
          <w:cols w:equalWidth="0" w:num="1">
            <w:col w:w="10640"/>
          </w:cols>
          <w:pgMar w:left="320" w:top="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640"/>
          </w:cols>
          <w:pgMar w:left="320" w:top="440" w:right="93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line="303" w:lineRule="auto"/>
        <w:tabs>
          <w:tab w:leader="none" w:pos="1360"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Virtual Stores: </w:t>
      </w:r>
      <w:r>
        <w:rPr>
          <w:rFonts w:ascii="Arial" w:cs="Arial" w:eastAsia="Arial" w:hAnsi="Arial"/>
          <w:sz w:val="16"/>
          <w:szCs w:val="16"/>
          <w:color w:val="auto"/>
        </w:rPr>
        <w:t>We enable retailers to have a digital presence distinct from their physical locations. For example, a retailer can easily set up</w:t>
      </w:r>
      <w:r>
        <w:rPr>
          <w:rFonts w:ascii="Arial" w:cs="Arial" w:eastAsia="Arial" w:hAnsi="Arial"/>
          <w:sz w:val="16"/>
          <w:szCs w:val="16"/>
          <w:i w:val="1"/>
          <w:iCs w:val="1"/>
          <w:color w:val="auto"/>
        </w:rPr>
        <w:t xml:space="preserve"> </w:t>
      </w:r>
      <w:r>
        <w:rPr>
          <w:rFonts w:ascii="Arial" w:cs="Arial" w:eastAsia="Arial" w:hAnsi="Arial"/>
          <w:sz w:val="16"/>
          <w:szCs w:val="16"/>
          <w:color w:val="auto"/>
        </w:rPr>
        <w:t>a virtual convenience store on Instacart Marketplace that allows them to offer a tailored set of SKUs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42545</wp:posOffset>
            </wp:positionV>
            <wp:extent cx="3401695" cy="29997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01695" cy="299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60" w:right="20" w:hanging="498"/>
        <w:spacing w:after="0" w:line="340" w:lineRule="auto"/>
        <w:tabs>
          <w:tab w:leader="none" w:pos="1360" w:val="left"/>
        </w:tabs>
        <w:numPr>
          <w:ilvl w:val="0"/>
          <w:numId w:val="201"/>
        </w:numPr>
        <w:rPr>
          <w:rFonts w:ascii="Arial" w:cs="Arial" w:eastAsia="Arial" w:hAnsi="Arial"/>
          <w:sz w:val="15"/>
          <w:szCs w:val="15"/>
          <w:color w:val="auto"/>
        </w:rPr>
      </w:pPr>
      <w:r>
        <w:rPr>
          <w:rFonts w:ascii="Arial" w:cs="Arial" w:eastAsia="Arial" w:hAnsi="Arial"/>
          <w:sz w:val="15"/>
          <w:szCs w:val="15"/>
          <w:i w:val="1"/>
          <w:iCs w:val="1"/>
          <w:color w:val="auto"/>
        </w:rPr>
        <w:t>Logistics Network</w:t>
      </w:r>
      <w:r>
        <w:rPr>
          <w:rFonts w:ascii="Arial" w:cs="Arial" w:eastAsia="Arial" w:hAnsi="Arial"/>
          <w:sz w:val="15"/>
          <w:szCs w:val="15"/>
          <w:color w:val="auto"/>
        </w:rPr>
        <w:t>. Our logistics technology powers our shopper network and enables retailers to offer delivery across multiple speeds and</w:t>
      </w:r>
      <w:r>
        <w:rPr>
          <w:rFonts w:ascii="Arial" w:cs="Arial" w:eastAsia="Arial" w:hAnsi="Arial"/>
          <w:sz w:val="15"/>
          <w:szCs w:val="15"/>
          <w:i w:val="1"/>
          <w:iCs w:val="1"/>
          <w:color w:val="auto"/>
        </w:rPr>
        <w:t xml:space="preserve"> </w:t>
      </w:r>
      <w:r>
        <w:rPr>
          <w:rFonts w:ascii="Arial" w:cs="Arial" w:eastAsia="Arial" w:hAnsi="Arial"/>
          <w:sz w:val="15"/>
          <w:szCs w:val="15"/>
          <w:color w:val="auto"/>
        </w:rPr>
        <w:t>pickup to their customers through Instacart Marketplace, bringing the magic of their in-store experiences directly to customers’ doorsteps.</w:t>
      </w:r>
    </w:p>
    <w:p>
      <w:pPr>
        <w:spacing w:after="0" w:line="5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720"/>
          </w:cols>
          <w:pgMar w:left="320" w:top="440" w:right="859" w:bottom="1440" w:gutter="0" w:footer="0" w:header="0"/>
        </w:sectPr>
      </w:pPr>
    </w:p>
    <w:bookmarkStart w:id="216" w:name="page217"/>
    <w:bookmarkEnd w:id="2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Instacart Enterprise Platform</w:t>
      </w:r>
    </w:p>
    <w:p>
      <w:pPr>
        <w:spacing w:after="0" w:line="108" w:lineRule="exact"/>
        <w:rPr>
          <w:sz w:val="20"/>
          <w:szCs w:val="20"/>
          <w:color w:val="auto"/>
        </w:rPr>
      </w:pPr>
    </w:p>
    <w:p>
      <w:pPr>
        <w:ind w:left="460" w:right="180" w:firstLine="413"/>
        <w:spacing w:after="0" w:line="254" w:lineRule="auto"/>
        <w:rPr>
          <w:sz w:val="20"/>
          <w:szCs w:val="20"/>
          <w:color w:val="auto"/>
        </w:rPr>
      </w:pPr>
      <w:r>
        <w:rPr>
          <w:rFonts w:ascii="Arial" w:cs="Arial" w:eastAsia="Arial" w:hAnsi="Arial"/>
          <w:sz w:val="17"/>
          <w:szCs w:val="17"/>
          <w:color w:val="auto"/>
        </w:rPr>
        <w:t>Instacart Enterprise Platform is an end-to-end technology solution that powers retailers across all aspects of their business. Our offerings are modular, allowing retail partners to pick and choose which technologies best fit their needs. These solutions work seamlessly together, so retailers can more efficiently integrate with Instacart than they can with multiple separate technologies. The depth of our integrations — across inventory systems, loyalty programs, store operations, and more — also allows us to provide actionable data insights to our retail partners. Key components of Instacart Enterprise Platform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139065</wp:posOffset>
            </wp:positionV>
            <wp:extent cx="4792980" cy="17608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92980"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60" w:hanging="498"/>
        <w:spacing w:after="0" w:line="254" w:lineRule="auto"/>
        <w:tabs>
          <w:tab w:leader="none" w:pos="1360"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eCommerce</w:t>
      </w:r>
      <w:r>
        <w:rPr>
          <w:rFonts w:ascii="Arial" w:cs="Arial" w:eastAsia="Arial" w:hAnsi="Arial"/>
          <w:sz w:val="17"/>
          <w:szCs w:val="17"/>
          <w:color w:val="auto"/>
        </w:rPr>
        <w:t>. Our technology solutions power owned and operated online storefronts that we build for our retail partners through Storefront</w:t>
      </w:r>
      <w:r>
        <w:rPr>
          <w:rFonts w:ascii="Arial" w:cs="Arial" w:eastAsia="Arial" w:hAnsi="Arial"/>
          <w:sz w:val="17"/>
          <w:szCs w:val="17"/>
          <w:i w:val="1"/>
          <w:iCs w:val="1"/>
          <w:color w:val="auto"/>
        </w:rPr>
        <w:t xml:space="preserve"> </w:t>
      </w:r>
      <w:r>
        <w:rPr>
          <w:rFonts w:ascii="Arial" w:cs="Arial" w:eastAsia="Arial" w:hAnsi="Arial"/>
          <w:sz w:val="17"/>
          <w:szCs w:val="17"/>
          <w:color w:val="auto"/>
        </w:rPr>
        <w:t>and Storefront Pro. We also enable retailers with their own eCommerce storefronts to plug into Instacart API to access services for fulfillment and ads. We have invested in building robust technology that powers product discovery tools, merchandising, different payment models, and loyalty-as-a-service. These services are available to retailers of all sizes to use on their own websites, even if they do not use our storefront technology.</w:t>
      </w:r>
    </w:p>
    <w:p>
      <w:pPr>
        <w:spacing w:after="0" w:line="92" w:lineRule="exact"/>
        <w:rPr>
          <w:rFonts w:ascii="Arial" w:cs="Arial" w:eastAsia="Arial" w:hAnsi="Arial"/>
          <w:sz w:val="17"/>
          <w:szCs w:val="17"/>
          <w:color w:val="auto"/>
        </w:rPr>
      </w:pPr>
    </w:p>
    <w:p>
      <w:pPr>
        <w:jc w:val="both"/>
        <w:ind w:left="2400" w:right="340" w:hanging="499"/>
        <w:spacing w:after="0" w:line="277" w:lineRule="auto"/>
        <w:tabs>
          <w:tab w:leader="none" w:pos="2400"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Storefront. </w:t>
      </w:r>
      <w:r>
        <w:rPr>
          <w:rFonts w:ascii="Arial" w:cs="Arial" w:eastAsia="Arial" w:hAnsi="Arial"/>
          <w:sz w:val="16"/>
          <w:szCs w:val="16"/>
          <w:color w:val="auto"/>
        </w:rPr>
        <w:t>Through Storefront, we build online businesses for retailers quickly and easily that allow their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browse and shop a branded eCommerce storefront on web or mobile. Retailers can offer pickup or delivery enabled by Instacart’s shopper community, order scheduling, payment integrations, order tracking, and limited promotional tools, among many features to provide customers with a seamless experience.</w:t>
      </w:r>
    </w:p>
    <w:p>
      <w:pPr>
        <w:spacing w:after="0" w:line="75" w:lineRule="exact"/>
        <w:rPr>
          <w:rFonts w:ascii="Arial" w:cs="Arial" w:eastAsia="Arial" w:hAnsi="Arial"/>
          <w:sz w:val="16"/>
          <w:szCs w:val="16"/>
          <w:color w:val="auto"/>
        </w:rPr>
      </w:pPr>
    </w:p>
    <w:p>
      <w:pPr>
        <w:ind w:left="2400" w:hanging="499"/>
        <w:spacing w:after="0" w:line="272" w:lineRule="auto"/>
        <w:tabs>
          <w:tab w:leader="none" w:pos="2400"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Storefront Pro</w:t>
      </w:r>
      <w:r>
        <w:rPr>
          <w:rFonts w:ascii="Arial" w:cs="Arial" w:eastAsia="Arial" w:hAnsi="Arial"/>
          <w:sz w:val="16"/>
          <w:szCs w:val="16"/>
          <w:color w:val="auto"/>
        </w:rPr>
        <w:t>. Storefront Pro allows retailers to further customize and configure their branded storefronts and enable richer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experiences through additional integrations such as loyalty programs, enhanced content customization, and advanced merchandising capabilities. This offering also includes access to a dedicated support team and Carrot Ads. To augment these solutions, we acquired Rosie, which provides eCommerce storefront experiences specifically for local, independent retailers. Rosie expands our offerings for retailers of this size and serves as a complement to Storefront Pro but with a simple interface and set of tools designed for smaller retailers.</w:t>
      </w:r>
    </w:p>
    <w:p>
      <w:pPr>
        <w:spacing w:after="0" w:line="78" w:lineRule="exact"/>
        <w:rPr>
          <w:rFonts w:ascii="Arial" w:cs="Arial" w:eastAsia="Arial" w:hAnsi="Arial"/>
          <w:sz w:val="16"/>
          <w:szCs w:val="16"/>
          <w:color w:val="auto"/>
        </w:rPr>
      </w:pPr>
    </w:p>
    <w:p>
      <w:pPr>
        <w:ind w:left="2400" w:right="600" w:hanging="499"/>
        <w:spacing w:after="0" w:line="284" w:lineRule="auto"/>
        <w:tabs>
          <w:tab w:leader="none" w:pos="2400"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Loyalty Integrations</w:t>
      </w:r>
      <w:r>
        <w:rPr>
          <w:rFonts w:ascii="Arial" w:cs="Arial" w:eastAsia="Arial" w:hAnsi="Arial"/>
          <w:sz w:val="16"/>
          <w:szCs w:val="16"/>
          <w:color w:val="auto"/>
        </w:rPr>
        <w:t>. Our newly-expanded loyalty capabilities allow us to offer native sign-up for retailers’ loyalty</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By providing access to savings like points, discounts, and digital coupons, retailers can deliver more personalized and convenient shopping experiences that maximize value and savings.</w:t>
      </w:r>
    </w:p>
    <w:p>
      <w:pPr>
        <w:spacing w:after="0" w:line="68" w:lineRule="exact"/>
        <w:rPr>
          <w:rFonts w:ascii="Arial" w:cs="Arial" w:eastAsia="Arial" w:hAnsi="Arial"/>
          <w:sz w:val="16"/>
          <w:szCs w:val="16"/>
          <w:color w:val="auto"/>
        </w:rPr>
      </w:pPr>
    </w:p>
    <w:p>
      <w:pPr>
        <w:ind w:left="1360" w:right="200" w:hanging="498"/>
        <w:spacing w:after="0" w:line="260" w:lineRule="auto"/>
        <w:tabs>
          <w:tab w:leader="none" w:pos="1360"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Fulfillment. </w:t>
      </w:r>
      <w:r>
        <w:rPr>
          <w:rFonts w:ascii="Arial" w:cs="Arial" w:eastAsia="Arial" w:hAnsi="Arial"/>
          <w:sz w:val="17"/>
          <w:szCs w:val="17"/>
          <w:color w:val="auto"/>
        </w:rPr>
        <w:t>Our fulfillment technologies allow retailers to offer grocery pickup and delivery through our community of shoppers or a</w:t>
      </w:r>
      <w:r>
        <w:rPr>
          <w:rFonts w:ascii="Arial" w:cs="Arial" w:eastAsia="Arial" w:hAnsi="Arial"/>
          <w:sz w:val="17"/>
          <w:szCs w:val="17"/>
          <w:i w:val="1"/>
          <w:iCs w:val="1"/>
          <w:color w:val="auto"/>
        </w:rPr>
        <w:t xml:space="preserve"> </w:t>
      </w:r>
      <w:r>
        <w:rPr>
          <w:rFonts w:ascii="Arial" w:cs="Arial" w:eastAsia="Arial" w:hAnsi="Arial"/>
          <w:sz w:val="17"/>
          <w:szCs w:val="17"/>
          <w:color w:val="auto"/>
        </w:rPr>
        <w:t>retailer’s own store employees. We also provide next-generation fulfillment capabilities that are customized to a retailer’s specific needs and are designed to optimize picking speeds, accuracy, and checkout.</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760"/>
          </w:cols>
          <w:pgMar w:left="320" w:top="440" w:right="81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400" w:right="280" w:hanging="499"/>
        <w:spacing w:after="0" w:line="256" w:lineRule="auto"/>
        <w:tabs>
          <w:tab w:leader="none" w:pos="2400"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 xml:space="preserve">Pick &amp; Pack. </w:t>
      </w:r>
      <w:r>
        <w:rPr>
          <w:rFonts w:ascii="Arial" w:cs="Arial" w:eastAsia="Arial" w:hAnsi="Arial"/>
          <w:sz w:val="17"/>
          <w:szCs w:val="17"/>
          <w:color w:val="auto"/>
        </w:rPr>
        <w:t>In most instances, Instacart shoppers pick, pack, and deliver these orders, but retailers can also use our</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to enable orders that are picked and packed with that partner’s own employees. Our technologies allow customers to view their order status and speak to their Instacart shopper or a retailer’s own store employees in real time, ensuring all orders are successfully picked and packed.</w:t>
      </w:r>
    </w:p>
    <w:p>
      <w:pPr>
        <w:spacing w:after="0" w:line="90" w:lineRule="exact"/>
        <w:rPr>
          <w:rFonts w:ascii="Arial" w:cs="Arial" w:eastAsia="Arial" w:hAnsi="Arial"/>
          <w:sz w:val="17"/>
          <w:szCs w:val="17"/>
          <w:color w:val="auto"/>
        </w:rPr>
      </w:pPr>
    </w:p>
    <w:p>
      <w:pPr>
        <w:ind w:left="2920" w:right="120" w:hanging="399"/>
        <w:spacing w:after="0" w:line="272" w:lineRule="auto"/>
        <w:tabs>
          <w:tab w:leader="none" w:pos="2920" w:val="left"/>
        </w:tabs>
        <w:numPr>
          <w:ilvl w:val="1"/>
          <w:numId w:val="203"/>
        </w:numPr>
        <w:rPr>
          <w:rFonts w:ascii="Arial" w:cs="Arial" w:eastAsia="Arial" w:hAnsi="Arial"/>
          <w:sz w:val="17"/>
          <w:szCs w:val="17"/>
          <w:color w:val="auto"/>
        </w:rPr>
      </w:pPr>
      <w:r>
        <w:rPr>
          <w:rFonts w:ascii="Arial" w:cs="Arial" w:eastAsia="Arial" w:hAnsi="Arial"/>
          <w:sz w:val="17"/>
          <w:szCs w:val="17"/>
          <w:i w:val="1"/>
          <w:iCs w:val="1"/>
          <w:color w:val="auto"/>
        </w:rPr>
        <w:t>Delivery</w:t>
      </w:r>
      <w:r>
        <w:rPr>
          <w:rFonts w:ascii="Arial" w:cs="Arial" w:eastAsia="Arial" w:hAnsi="Arial"/>
          <w:sz w:val="17"/>
          <w:szCs w:val="17"/>
          <w:color w:val="auto"/>
        </w:rPr>
        <w:t>. We help retailers fulfill delivery orders at speeds ranging from quick convenience (as fast as 30 minutes)</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priority (one hour) to the next available window and even next day.</w:t>
      </w:r>
    </w:p>
    <w:p>
      <w:pPr>
        <w:spacing w:after="0" w:line="76" w:lineRule="exact"/>
        <w:rPr>
          <w:rFonts w:ascii="Arial" w:cs="Arial" w:eastAsia="Arial" w:hAnsi="Arial"/>
          <w:sz w:val="17"/>
          <w:szCs w:val="17"/>
          <w:color w:val="auto"/>
        </w:rPr>
      </w:pPr>
    </w:p>
    <w:p>
      <w:pPr>
        <w:ind w:left="2920" w:right="140" w:hanging="399"/>
        <w:spacing w:after="0" w:line="272" w:lineRule="auto"/>
        <w:tabs>
          <w:tab w:leader="none" w:pos="2920" w:val="left"/>
        </w:tabs>
        <w:numPr>
          <w:ilvl w:val="1"/>
          <w:numId w:val="203"/>
        </w:numPr>
        <w:rPr>
          <w:rFonts w:ascii="Arial" w:cs="Arial" w:eastAsia="Arial" w:hAnsi="Arial"/>
          <w:sz w:val="17"/>
          <w:szCs w:val="17"/>
          <w:color w:val="auto"/>
        </w:rPr>
      </w:pPr>
      <w:r>
        <w:rPr>
          <w:rFonts w:ascii="Arial" w:cs="Arial" w:eastAsia="Arial" w:hAnsi="Arial"/>
          <w:sz w:val="17"/>
          <w:szCs w:val="17"/>
          <w:i w:val="1"/>
          <w:iCs w:val="1"/>
          <w:color w:val="auto"/>
        </w:rPr>
        <w:t>Pickup</w:t>
      </w:r>
      <w:r>
        <w:rPr>
          <w:rFonts w:ascii="Arial" w:cs="Arial" w:eastAsia="Arial" w:hAnsi="Arial"/>
          <w:sz w:val="17"/>
          <w:szCs w:val="17"/>
          <w:color w:val="auto"/>
        </w:rPr>
        <w:t>. We also enable retailers to offer pickup to capture growing customer demand for curbside services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local stores.</w:t>
      </w:r>
    </w:p>
    <w:p>
      <w:pPr>
        <w:spacing w:after="0" w:line="76" w:lineRule="exact"/>
        <w:rPr>
          <w:rFonts w:ascii="Arial" w:cs="Arial" w:eastAsia="Arial" w:hAnsi="Arial"/>
          <w:sz w:val="17"/>
          <w:szCs w:val="17"/>
          <w:color w:val="auto"/>
        </w:rPr>
      </w:pPr>
    </w:p>
    <w:p>
      <w:pPr>
        <w:ind w:left="2400" w:hanging="499"/>
        <w:spacing w:after="0" w:line="340" w:lineRule="auto"/>
        <w:tabs>
          <w:tab w:leader="none" w:pos="2400" w:val="left"/>
        </w:tabs>
        <w:numPr>
          <w:ilvl w:val="0"/>
          <w:numId w:val="203"/>
        </w:numPr>
        <w:rPr>
          <w:rFonts w:ascii="Arial" w:cs="Arial" w:eastAsia="Arial" w:hAnsi="Arial"/>
          <w:sz w:val="15"/>
          <w:szCs w:val="15"/>
          <w:color w:val="auto"/>
        </w:rPr>
      </w:pPr>
      <w:r>
        <w:rPr>
          <w:rFonts w:ascii="Arial" w:cs="Arial" w:eastAsia="Arial" w:hAnsi="Arial"/>
          <w:sz w:val="15"/>
          <w:szCs w:val="15"/>
          <w:i w:val="1"/>
          <w:iCs w:val="1"/>
          <w:color w:val="auto"/>
        </w:rPr>
        <w:t>Store Manager</w:t>
      </w:r>
      <w:r>
        <w:rPr>
          <w:rFonts w:ascii="Arial" w:cs="Arial" w:eastAsia="Arial" w:hAnsi="Arial"/>
          <w:sz w:val="15"/>
          <w:szCs w:val="15"/>
          <w:color w:val="auto"/>
        </w:rPr>
        <w:t>. Store Manager allows retailers to better understand how their store employees are managing online orders.</w:t>
      </w:r>
      <w:r>
        <w:rPr>
          <w:rFonts w:ascii="Arial" w:cs="Arial" w:eastAsia="Arial" w:hAnsi="Arial"/>
          <w:sz w:val="15"/>
          <w:szCs w:val="15"/>
          <w:i w:val="1"/>
          <w:iCs w:val="1"/>
          <w:color w:val="auto"/>
        </w:rPr>
        <w:t xml:space="preserve"> </w:t>
      </w:r>
      <w:r>
        <w:rPr>
          <w:rFonts w:ascii="Arial" w:cs="Arial" w:eastAsia="Arial" w:hAnsi="Arial"/>
          <w:sz w:val="15"/>
          <w:szCs w:val="15"/>
          <w:color w:val="auto"/>
        </w:rPr>
        <w:t>This offering allows retailers to track every step of the fulfillment process from staged, shopping, and handoff to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99695</wp:posOffset>
            </wp:positionV>
            <wp:extent cx="4817110" cy="254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817110" cy="254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60" w:right="60" w:hanging="498"/>
        <w:spacing w:after="0" w:line="252" w:lineRule="auto"/>
        <w:tabs>
          <w:tab w:leader="none" w:pos="1360" w:val="left"/>
        </w:tabs>
        <w:numPr>
          <w:ilvl w:val="0"/>
          <w:numId w:val="204"/>
        </w:numPr>
        <w:rPr>
          <w:rFonts w:ascii="Arial" w:cs="Arial" w:eastAsia="Arial" w:hAnsi="Arial"/>
          <w:sz w:val="15"/>
          <w:szCs w:val="15"/>
          <w:color w:val="auto"/>
        </w:rPr>
      </w:pPr>
      <w:r>
        <w:rPr>
          <w:rFonts w:ascii="Arial" w:cs="Arial" w:eastAsia="Arial" w:hAnsi="Arial"/>
          <w:sz w:val="15"/>
          <w:szCs w:val="15"/>
          <w:i w:val="1"/>
          <w:iCs w:val="1"/>
          <w:color w:val="auto"/>
        </w:rPr>
        <w:t>Connected Store</w:t>
      </w:r>
      <w:r>
        <w:rPr>
          <w:rFonts w:ascii="Arial" w:cs="Arial" w:eastAsia="Arial" w:hAnsi="Arial"/>
          <w:sz w:val="15"/>
          <w:szCs w:val="15"/>
          <w:color w:val="auto"/>
        </w:rPr>
        <w:t>s. Instacart helps retailers create a unified, seamless, and personalized experience both online and in-store and provides</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technologies that enhance in-store operations. Tens of thousands of our retail partners’ store associates use various Instacart in-store tools, such as FoodStorm OMS, FoodStorm Production Reports, Picking App, and our Store Manager App showing operational metrics like orders, associate performance, and key store trends.</w:t>
      </w:r>
      <w:r>
        <w:rPr>
          <w:rFonts w:ascii="Arial" w:cs="Arial" w:eastAsia="Arial" w:hAnsi="Arial"/>
          <w:sz w:val="22"/>
          <w:szCs w:val="22"/>
          <w:color w:val="auto"/>
          <w:vertAlign w:val="superscript"/>
        </w:rPr>
        <w:t>181</w:t>
      </w:r>
      <w:r>
        <w:rPr>
          <w:rFonts w:ascii="Arial" w:cs="Arial" w:eastAsia="Arial" w:hAnsi="Arial"/>
          <w:sz w:val="15"/>
          <w:szCs w:val="15"/>
          <w:color w:val="auto"/>
        </w:rPr>
        <w:t xml:space="preserve"> Thousands of retailers’ locations across the country also have staging areas, many of which have Instacart specific branding such as signage or Instacart-branded refrigerators.</w:t>
      </w:r>
      <w:r>
        <w:rPr>
          <w:rFonts w:ascii="Arial" w:cs="Arial" w:eastAsia="Arial" w:hAnsi="Arial"/>
          <w:sz w:val="22"/>
          <w:szCs w:val="22"/>
          <w:color w:val="auto"/>
          <w:vertAlign w:val="superscript"/>
        </w:rPr>
        <w:t>182</w:t>
      </w:r>
      <w:r>
        <w:rPr>
          <w:rFonts w:ascii="Arial" w:cs="Arial" w:eastAsia="Arial" w:hAnsi="Arial"/>
          <w:sz w:val="15"/>
          <w:szCs w:val="15"/>
          <w:color w:val="auto"/>
        </w:rPr>
        <w:t xml:space="preserve"> Our omni-channel offerings are important to retailers as third-party data shows that customers who shop online and in-store spend two to four times more than in-store customers.</w:t>
      </w:r>
      <w:r>
        <w:rPr>
          <w:rFonts w:ascii="Arial" w:cs="Arial" w:eastAsia="Arial" w:hAnsi="Arial"/>
          <w:sz w:val="22"/>
          <w:szCs w:val="22"/>
          <w:color w:val="auto"/>
          <w:vertAlign w:val="superscript"/>
        </w:rPr>
        <w:t>183</w:t>
      </w:r>
    </w:p>
    <w:p>
      <w:pPr>
        <w:spacing w:after="0" w:line="3" w:lineRule="exact"/>
        <w:rPr>
          <w:rFonts w:ascii="Arial" w:cs="Arial" w:eastAsia="Arial" w:hAnsi="Arial"/>
          <w:sz w:val="15"/>
          <w:szCs w:val="15"/>
          <w:color w:val="auto"/>
        </w:rPr>
      </w:pPr>
    </w:p>
    <w:p>
      <w:pPr>
        <w:ind w:left="2400" w:right="220" w:hanging="499"/>
        <w:spacing w:after="0" w:line="250" w:lineRule="auto"/>
        <w:tabs>
          <w:tab w:leader="none" w:pos="2400" w:val="left"/>
        </w:tabs>
        <w:numPr>
          <w:ilvl w:val="1"/>
          <w:numId w:val="204"/>
        </w:numPr>
        <w:rPr>
          <w:rFonts w:ascii="Arial" w:cs="Arial" w:eastAsia="Arial" w:hAnsi="Arial"/>
          <w:sz w:val="17"/>
          <w:szCs w:val="17"/>
          <w:color w:val="auto"/>
        </w:rPr>
      </w:pPr>
      <w:r>
        <w:rPr>
          <w:rFonts w:ascii="Arial" w:cs="Arial" w:eastAsia="Arial" w:hAnsi="Arial"/>
          <w:sz w:val="17"/>
          <w:szCs w:val="17"/>
          <w:i w:val="1"/>
          <w:iCs w:val="1"/>
          <w:color w:val="auto"/>
        </w:rPr>
        <w:t>Caper Carts</w:t>
      </w:r>
      <w:r>
        <w:rPr>
          <w:rFonts w:ascii="Arial" w:cs="Arial" w:eastAsia="Arial" w:hAnsi="Arial"/>
          <w:sz w:val="17"/>
          <w:szCs w:val="17"/>
          <w:color w:val="auto"/>
        </w:rPr>
        <w:t>. Caper Carts are AI-powered smart carts that are equipped with scales, sensors, touchscreens, and computer</w:t>
      </w:r>
      <w:r>
        <w:rPr>
          <w:rFonts w:ascii="Arial" w:cs="Arial" w:eastAsia="Arial" w:hAnsi="Arial"/>
          <w:sz w:val="17"/>
          <w:szCs w:val="17"/>
          <w:i w:val="1"/>
          <w:iCs w:val="1"/>
          <w:color w:val="auto"/>
        </w:rPr>
        <w:t xml:space="preserve"> </w:t>
      </w:r>
      <w:r>
        <w:rPr>
          <w:rFonts w:ascii="Arial" w:cs="Arial" w:eastAsia="Arial" w:hAnsi="Arial"/>
          <w:sz w:val="17"/>
          <w:szCs w:val="17"/>
          <w:color w:val="auto"/>
        </w:rPr>
        <w:t>vision that powers Instacart’s proprietary scanless technology, so that customers can navigate the store and check themselves out without manually scanning items. Caper Cart screens can also be managed remotely in real-time by retailers,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85090</wp:posOffset>
            </wp:positionV>
            <wp:extent cx="7239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6" w:lineRule="exact"/>
        <w:rPr>
          <w:sz w:val="20"/>
          <w:szCs w:val="20"/>
          <w:color w:val="auto"/>
        </w:rPr>
      </w:pPr>
    </w:p>
    <w:p>
      <w:pPr>
        <w:ind w:left="860" w:hanging="403"/>
        <w:spacing w:after="0"/>
        <w:tabs>
          <w:tab w:leader="none" w:pos="860" w:val="left"/>
        </w:tabs>
        <w:numPr>
          <w:ilvl w:val="0"/>
          <w:numId w:val="205"/>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205"/>
        </w:numPr>
        <w:rPr>
          <w:rFonts w:ascii="Arial" w:cs="Arial" w:eastAsia="Arial" w:hAnsi="Arial"/>
          <w:sz w:val="10"/>
          <w:szCs w:val="10"/>
          <w:color w:val="auto"/>
        </w:rPr>
      </w:pPr>
      <w:r>
        <w:rPr>
          <w:rFonts w:ascii="Arial" w:cs="Arial" w:eastAsia="Arial" w:hAnsi="Arial"/>
          <w:sz w:val="13"/>
          <w:szCs w:val="13"/>
          <w:color w:val="auto"/>
        </w:rPr>
        <w:t>As of June 30, 2023.</w:t>
      </w:r>
    </w:p>
    <w:p>
      <w:pPr>
        <w:ind w:left="860" w:hanging="403"/>
        <w:spacing w:after="0"/>
        <w:tabs>
          <w:tab w:leader="none" w:pos="860" w:val="left"/>
        </w:tabs>
        <w:numPr>
          <w:ilvl w:val="0"/>
          <w:numId w:val="205"/>
        </w:numPr>
        <w:rPr>
          <w:rFonts w:ascii="Arial" w:cs="Arial" w:eastAsia="Arial" w:hAnsi="Arial"/>
          <w:sz w:val="10"/>
          <w:szCs w:val="10"/>
          <w:color w:val="auto"/>
        </w:rPr>
      </w:pPr>
      <w:r>
        <w:rPr>
          <w:rFonts w:ascii="Arial" w:cs="Arial" w:eastAsia="Arial" w:hAnsi="Arial"/>
          <w:sz w:val="13"/>
          <w:szCs w:val="13"/>
          <w:color w:val="auto"/>
        </w:rPr>
        <w:t xml:space="preserve">McKinsey, </w:t>
      </w:r>
      <w:r>
        <w:rPr>
          <w:rFonts w:ascii="Arial" w:cs="Arial" w:eastAsia="Arial" w:hAnsi="Arial"/>
          <w:sz w:val="13"/>
          <w:szCs w:val="13"/>
          <w:i w:val="1"/>
          <w:iCs w:val="1"/>
          <w:color w:val="auto"/>
        </w:rPr>
        <w:t>Navigating the market headwinds: The state of grocery retail 2022</w:t>
      </w:r>
      <w:r>
        <w:rPr>
          <w:rFonts w:ascii="Arial" w:cs="Arial" w:eastAsia="Arial" w:hAnsi="Arial"/>
          <w:sz w:val="13"/>
          <w:szCs w:val="13"/>
          <w:color w:val="auto"/>
        </w:rPr>
        <w:t>.</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780"/>
          </w:cols>
          <w:pgMar w:left="320" w:top="440" w:right="79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2300"/>
        <w:spacing w:after="0" w:line="272" w:lineRule="auto"/>
        <w:rPr>
          <w:sz w:val="20"/>
          <w:szCs w:val="20"/>
          <w:color w:val="auto"/>
        </w:rPr>
      </w:pPr>
      <w:r>
        <w:rPr>
          <w:rFonts w:ascii="Arial" w:cs="Arial" w:eastAsia="Arial" w:hAnsi="Arial"/>
          <w:sz w:val="17"/>
          <w:szCs w:val="17"/>
          <w:color w:val="auto"/>
        </w:rPr>
        <w:t>powerful auditing and insight tools for store associates, like how many carts are being used and what types of items are being purchased.</w:t>
      </w:r>
    </w:p>
    <w:p>
      <w:pPr>
        <w:spacing w:after="0" w:line="76" w:lineRule="exact"/>
        <w:rPr>
          <w:sz w:val="20"/>
          <w:szCs w:val="20"/>
          <w:color w:val="auto"/>
        </w:rPr>
      </w:pPr>
    </w:p>
    <w:p>
      <w:pPr>
        <w:ind w:left="2400" w:right="180" w:hanging="499"/>
        <w:spacing w:after="0" w:line="311" w:lineRule="auto"/>
        <w:tabs>
          <w:tab w:leader="none" w:pos="2400" w:val="left"/>
        </w:tabs>
        <w:numPr>
          <w:ilvl w:val="1"/>
          <w:numId w:val="206"/>
        </w:numPr>
        <w:rPr>
          <w:rFonts w:ascii="Arial" w:cs="Arial" w:eastAsia="Arial" w:hAnsi="Arial"/>
          <w:sz w:val="15"/>
          <w:szCs w:val="15"/>
          <w:color w:val="auto"/>
        </w:rPr>
      </w:pPr>
      <w:r>
        <w:rPr>
          <w:rFonts w:ascii="Arial" w:cs="Arial" w:eastAsia="Arial" w:hAnsi="Arial"/>
          <w:sz w:val="15"/>
          <w:szCs w:val="15"/>
          <w:i w:val="1"/>
          <w:iCs w:val="1"/>
          <w:color w:val="auto"/>
        </w:rPr>
        <w:t xml:space="preserve">Lists. </w:t>
      </w:r>
      <w:r>
        <w:rPr>
          <w:rFonts w:ascii="Arial" w:cs="Arial" w:eastAsia="Arial" w:hAnsi="Arial"/>
          <w:sz w:val="15"/>
          <w:szCs w:val="15"/>
          <w:color w:val="auto"/>
        </w:rPr>
        <w:t>With Lists, customers can build shopping lists on both Instacart Marketplace and retailer websites powered by</w:t>
      </w:r>
      <w:r>
        <w:rPr>
          <w:rFonts w:ascii="Arial" w:cs="Arial" w:eastAsia="Arial" w:hAnsi="Arial"/>
          <w:sz w:val="15"/>
          <w:szCs w:val="15"/>
          <w:i w:val="1"/>
          <w:iCs w:val="1"/>
          <w:color w:val="auto"/>
        </w:rPr>
        <w:t xml:space="preserve"> </w:t>
      </w:r>
      <w:r>
        <w:rPr>
          <w:rFonts w:ascii="Arial" w:cs="Arial" w:eastAsia="Arial" w:hAnsi="Arial"/>
          <w:sz w:val="15"/>
          <w:szCs w:val="15"/>
          <w:color w:val="auto"/>
        </w:rPr>
        <w:t>Storefront and Storefront Pro as well as sync them directly to a Caper Cart by scanning a QR code. The Caper Cart helps customers locate the items they are shopping for and automatically checks them off their list as they are added to the cart.</w:t>
      </w:r>
    </w:p>
    <w:p>
      <w:pPr>
        <w:spacing w:after="0" w:line="51" w:lineRule="exact"/>
        <w:rPr>
          <w:rFonts w:ascii="Arial" w:cs="Arial" w:eastAsia="Arial" w:hAnsi="Arial"/>
          <w:sz w:val="15"/>
          <w:szCs w:val="15"/>
          <w:color w:val="auto"/>
        </w:rPr>
      </w:pPr>
    </w:p>
    <w:p>
      <w:pPr>
        <w:ind w:left="2400" w:right="20" w:hanging="499"/>
        <w:spacing w:after="0" w:line="254" w:lineRule="auto"/>
        <w:tabs>
          <w:tab w:leader="none" w:pos="2400"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Carrot Tags. </w:t>
      </w:r>
      <w:r>
        <w:rPr>
          <w:rFonts w:ascii="Arial" w:cs="Arial" w:eastAsia="Arial" w:hAnsi="Arial"/>
          <w:sz w:val="17"/>
          <w:szCs w:val="17"/>
          <w:color w:val="auto"/>
        </w:rPr>
        <w:t>With Carrot Tags, retailers can connect electronic shelf labels to Instacart and add functionality such as pick-to-light capabilities, which allow customers, associates, or Instacart shoppers to select an item on their phone and flash a light on its corresponding shelf tag, making it easier to find the products they’re looking for. Carrot Tags also help retailers display key information — like whether a specific product is gluten-free, organic, kosher, or EBT SNAP eligible — driving inspiration and product discovery in stores.</w:t>
      </w:r>
    </w:p>
    <w:p>
      <w:pPr>
        <w:spacing w:after="0" w:line="92" w:lineRule="exact"/>
        <w:rPr>
          <w:rFonts w:ascii="Arial" w:cs="Arial" w:eastAsia="Arial" w:hAnsi="Arial"/>
          <w:sz w:val="17"/>
          <w:szCs w:val="17"/>
          <w:color w:val="auto"/>
        </w:rPr>
      </w:pPr>
    </w:p>
    <w:p>
      <w:pPr>
        <w:ind w:left="2400" w:right="140" w:hanging="499"/>
        <w:spacing w:after="0" w:line="256" w:lineRule="auto"/>
        <w:tabs>
          <w:tab w:leader="none" w:pos="2400"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Scan &amp; Pay. </w:t>
      </w:r>
      <w:r>
        <w:rPr>
          <w:rFonts w:ascii="Arial" w:cs="Arial" w:eastAsia="Arial" w:hAnsi="Arial"/>
          <w:sz w:val="17"/>
          <w:szCs w:val="17"/>
          <w:color w:val="auto"/>
        </w:rPr>
        <w:t>Scan &amp; Pay allows customers to scan items as they shop and pay for them from their mobile phones so they</w:t>
      </w:r>
      <w:r>
        <w:rPr>
          <w:rFonts w:ascii="Arial" w:cs="Arial" w:eastAsia="Arial" w:hAnsi="Arial"/>
          <w:sz w:val="17"/>
          <w:szCs w:val="17"/>
          <w:i w:val="1"/>
          <w:iCs w:val="1"/>
          <w:color w:val="auto"/>
        </w:rPr>
        <w:t xml:space="preserve"> </w:t>
      </w:r>
      <w:r>
        <w:rPr>
          <w:rFonts w:ascii="Arial" w:cs="Arial" w:eastAsia="Arial" w:hAnsi="Arial"/>
          <w:sz w:val="17"/>
          <w:szCs w:val="17"/>
          <w:color w:val="auto"/>
        </w:rPr>
        <w:t>can skip checkout lines. It can also link the items customers buy in-store to their online shopping accounts, making it easy to buy them again. For EBT SNAP users, Scan &amp; Pay easily identifies EBT SNAP-eligible products as soon as they are scanned, making it easier to identify approved products.</w:t>
      </w:r>
    </w:p>
    <w:p>
      <w:pPr>
        <w:spacing w:after="0" w:line="90" w:lineRule="exact"/>
        <w:rPr>
          <w:rFonts w:ascii="Arial" w:cs="Arial" w:eastAsia="Arial" w:hAnsi="Arial"/>
          <w:sz w:val="17"/>
          <w:szCs w:val="17"/>
          <w:color w:val="auto"/>
        </w:rPr>
      </w:pPr>
    </w:p>
    <w:p>
      <w:pPr>
        <w:ind w:left="2400" w:right="60" w:hanging="499"/>
        <w:spacing w:after="0" w:line="254" w:lineRule="auto"/>
        <w:tabs>
          <w:tab w:leader="none" w:pos="2400"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FoodStorm OMS</w:t>
      </w:r>
      <w:r>
        <w:rPr>
          <w:rFonts w:ascii="Arial" w:cs="Arial" w:eastAsia="Arial" w:hAnsi="Arial"/>
          <w:sz w:val="17"/>
          <w:szCs w:val="17"/>
          <w:color w:val="auto"/>
        </w:rPr>
        <w:t>. FoodStorm is a digital catering experience purpose-built for grocery, enabling omni-channel ordering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 including online, by phone or email, or through an in-store kiosk. FoodStorm is powered by a proprietary OMS that helps retailers manage orders from prepared foods departments and collaborate across departments so that retailers can have customers’ orders ready at just the right time. This technology drives efficiency for retailers and enables easy ordering for customers.</w:t>
      </w:r>
    </w:p>
    <w:p>
      <w:pPr>
        <w:spacing w:after="0" w:line="92" w:lineRule="exact"/>
        <w:rPr>
          <w:rFonts w:ascii="Arial" w:cs="Arial" w:eastAsia="Arial" w:hAnsi="Arial"/>
          <w:sz w:val="17"/>
          <w:szCs w:val="17"/>
          <w:color w:val="auto"/>
        </w:rPr>
      </w:pPr>
    </w:p>
    <w:p>
      <w:pPr>
        <w:ind w:left="2400" w:right="120" w:hanging="499"/>
        <w:spacing w:after="0" w:line="284" w:lineRule="auto"/>
        <w:tabs>
          <w:tab w:leader="none" w:pos="2400" w:val="left"/>
        </w:tabs>
        <w:numPr>
          <w:ilvl w:val="1"/>
          <w:numId w:val="206"/>
        </w:numPr>
        <w:rPr>
          <w:rFonts w:ascii="Arial" w:cs="Arial" w:eastAsia="Arial" w:hAnsi="Arial"/>
          <w:sz w:val="16"/>
          <w:szCs w:val="16"/>
          <w:color w:val="auto"/>
        </w:rPr>
      </w:pPr>
      <w:r>
        <w:rPr>
          <w:rFonts w:ascii="Arial" w:cs="Arial" w:eastAsia="Arial" w:hAnsi="Arial"/>
          <w:sz w:val="16"/>
          <w:szCs w:val="16"/>
          <w:i w:val="1"/>
          <w:iCs w:val="1"/>
          <w:color w:val="auto"/>
        </w:rPr>
        <w:t xml:space="preserve">Out of Stock Insights. </w:t>
      </w:r>
      <w:r>
        <w:rPr>
          <w:rFonts w:ascii="Arial" w:cs="Arial" w:eastAsia="Arial" w:hAnsi="Arial"/>
          <w:sz w:val="16"/>
          <w:szCs w:val="16"/>
          <w:color w:val="auto"/>
        </w:rPr>
        <w:t>Out of Stock Insights is an API that helps retailers provide automatic, real-time alerts to in-store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associates when items are running low or out of stock. For retailers, this can result in fewer missed sales opportunities; for customers, this increases the chances they can find the specific product they are looking for.</w:t>
      </w:r>
    </w:p>
    <w:p>
      <w:pPr>
        <w:spacing w:after="0" w:line="68" w:lineRule="exact"/>
        <w:rPr>
          <w:rFonts w:ascii="Arial" w:cs="Arial" w:eastAsia="Arial" w:hAnsi="Arial"/>
          <w:sz w:val="16"/>
          <w:szCs w:val="16"/>
          <w:color w:val="auto"/>
        </w:rPr>
      </w:pPr>
    </w:p>
    <w:p>
      <w:pPr>
        <w:ind w:left="1360" w:right="200" w:hanging="498"/>
        <w:spacing w:after="0" w:line="284" w:lineRule="auto"/>
        <w:tabs>
          <w:tab w:leader="none" w:pos="1360"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Ads &amp; Marketing</w:t>
      </w:r>
      <w:r>
        <w:rPr>
          <w:rFonts w:ascii="Arial" w:cs="Arial" w:eastAsia="Arial" w:hAnsi="Arial"/>
          <w:sz w:val="16"/>
          <w:szCs w:val="16"/>
          <w:color w:val="auto"/>
        </w:rPr>
        <w:t>. Our ads and marketing offerings enable our retail partners to use our solutions on their owned and operated online</w:t>
      </w:r>
      <w:r>
        <w:rPr>
          <w:rFonts w:ascii="Arial" w:cs="Arial" w:eastAsia="Arial" w:hAnsi="Arial"/>
          <w:sz w:val="16"/>
          <w:szCs w:val="16"/>
          <w:i w:val="1"/>
          <w:iCs w:val="1"/>
          <w:color w:val="auto"/>
        </w:rPr>
        <w:t xml:space="preserve"> </w:t>
      </w:r>
      <w:r>
        <w:rPr>
          <w:rFonts w:ascii="Arial" w:cs="Arial" w:eastAsia="Arial" w:hAnsi="Arial"/>
          <w:sz w:val="16"/>
          <w:szCs w:val="16"/>
          <w:color w:val="auto"/>
        </w:rPr>
        <w:t>storefronts and Instacart Marketplace storefronts to engage with more customers and generate new revenue streams. These offerings can increase our retail partners’ profits while broadening their reach to millions of new customers.</w:t>
      </w:r>
    </w:p>
    <w:p>
      <w:pPr>
        <w:spacing w:after="0" w:line="68" w:lineRule="exact"/>
        <w:rPr>
          <w:rFonts w:ascii="Arial" w:cs="Arial" w:eastAsia="Arial" w:hAnsi="Arial"/>
          <w:sz w:val="16"/>
          <w:szCs w:val="16"/>
          <w:color w:val="auto"/>
        </w:rPr>
      </w:pPr>
    </w:p>
    <w:p>
      <w:pPr>
        <w:ind w:left="2400" w:right="40" w:hanging="499"/>
        <w:spacing w:after="0" w:line="256" w:lineRule="auto"/>
        <w:tabs>
          <w:tab w:leader="none" w:pos="2400" w:val="left"/>
        </w:tabs>
        <w:numPr>
          <w:ilvl w:val="1"/>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Carrot Ads. </w:t>
      </w:r>
      <w:r>
        <w:rPr>
          <w:rFonts w:ascii="Arial" w:cs="Arial" w:eastAsia="Arial" w:hAnsi="Arial"/>
          <w:sz w:val="17"/>
          <w:szCs w:val="17"/>
          <w:color w:val="auto"/>
        </w:rPr>
        <w:t>Carrot Ads, our enterprise ads offering, allows retailers to use Instacart’s sophisticated advertising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and data insights on their owned and operated online storefronts. This delivers technology and insights and opens up new revenue streams for retailers by making it extremely easy to establish a retail advertising business. Retailers can also utilize Carrot Ads to promote their private label products.</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780"/>
          </w:cols>
          <w:pgMar w:left="320" w:top="440" w:right="79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93345</wp:posOffset>
            </wp:positionV>
            <wp:extent cx="2500630" cy="25171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00630" cy="251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00" w:hanging="499"/>
        <w:spacing w:after="0" w:line="268" w:lineRule="auto"/>
        <w:tabs>
          <w:tab w:leader="none" w:pos="2400"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Marketing Solutions</w:t>
      </w:r>
      <w:r>
        <w:rPr>
          <w:rFonts w:ascii="Arial" w:cs="Arial" w:eastAsia="Arial" w:hAnsi="Arial"/>
          <w:sz w:val="16"/>
          <w:szCs w:val="16"/>
          <w:color w:val="auto"/>
        </w:rPr>
        <w:t>. Our suite of marketing solutions, from self-serve tools to fully customized strategic partnerships,</w:t>
      </w:r>
      <w:r>
        <w:rPr>
          <w:rFonts w:ascii="Arial" w:cs="Arial" w:eastAsia="Arial" w:hAnsi="Arial"/>
          <w:sz w:val="16"/>
          <w:szCs w:val="16"/>
          <w:i w:val="1"/>
          <w:iCs w:val="1"/>
          <w:color w:val="auto"/>
        </w:rPr>
        <w:t xml:space="preserve"> </w:t>
      </w:r>
      <w:r>
        <w:rPr>
          <w:rFonts w:ascii="Arial" w:cs="Arial" w:eastAsia="Arial" w:hAnsi="Arial"/>
          <w:sz w:val="16"/>
          <w:szCs w:val="16"/>
          <w:color w:val="auto"/>
        </w:rPr>
        <w:t>allows retailers to grow their business by serving targeted promotions to customers. Retailers are able to provide tailored discounts to target new customers, offer promotions on curated collections for seasonal moments like Mother’s Day, and offer discounts when customers sign up for their loyalty programs. Retailers can use these tools to advertise across various surfaces of the Instacart Marketplace, as well as through different media channels. Regardless of size or budget, we provide differentiated solutions for all our retailer partners, which have driven significant increases in retailer first time orderers from in-app activation campaigns.</w:t>
      </w:r>
      <w:r>
        <w:rPr>
          <w:rFonts w:ascii="Arial" w:cs="Arial" w:eastAsia="Arial" w:hAnsi="Arial"/>
          <w:sz w:val="24"/>
          <w:szCs w:val="24"/>
          <w:color w:val="auto"/>
          <w:vertAlign w:val="superscript"/>
        </w:rPr>
        <w:t>184</w:t>
      </w:r>
    </w:p>
    <w:p>
      <w:pPr>
        <w:spacing w:after="0" w:line="5" w:lineRule="exact"/>
        <w:rPr>
          <w:rFonts w:ascii="Arial" w:cs="Arial" w:eastAsia="Arial" w:hAnsi="Arial"/>
          <w:sz w:val="16"/>
          <w:szCs w:val="16"/>
          <w:color w:val="auto"/>
        </w:rPr>
      </w:pPr>
    </w:p>
    <w:p>
      <w:pPr>
        <w:ind w:left="1360" w:right="640" w:hanging="498"/>
        <w:spacing w:after="0" w:line="254" w:lineRule="auto"/>
        <w:tabs>
          <w:tab w:leader="none" w:pos="1360"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Insights</w:t>
      </w:r>
      <w:r>
        <w:rPr>
          <w:rFonts w:ascii="Arial" w:cs="Arial" w:eastAsia="Arial" w:hAnsi="Arial"/>
          <w:sz w:val="17"/>
          <w:szCs w:val="17"/>
          <w:color w:val="auto"/>
        </w:rPr>
        <w:t>. We complement retailers’ existing data sets from point-of-sale transactions with differentiated data and insights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 a customer’s journey and improve their own operations:</w:t>
      </w:r>
    </w:p>
    <w:p>
      <w:pPr>
        <w:spacing w:after="0" w:line="91" w:lineRule="exact"/>
        <w:rPr>
          <w:rFonts w:ascii="Arial" w:cs="Arial" w:eastAsia="Arial" w:hAnsi="Arial"/>
          <w:sz w:val="17"/>
          <w:szCs w:val="17"/>
          <w:color w:val="auto"/>
        </w:rPr>
      </w:pPr>
    </w:p>
    <w:p>
      <w:pPr>
        <w:ind w:left="2400" w:right="40" w:hanging="499"/>
        <w:spacing w:after="0" w:line="284" w:lineRule="auto"/>
        <w:tabs>
          <w:tab w:leader="none" w:pos="2400"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Customer Insights</w:t>
      </w:r>
      <w:r>
        <w:rPr>
          <w:rFonts w:ascii="Arial" w:cs="Arial" w:eastAsia="Arial" w:hAnsi="Arial"/>
          <w:sz w:val="16"/>
          <w:szCs w:val="16"/>
          <w:color w:val="auto"/>
        </w:rPr>
        <w:t>. We help retailers better understand their customers’ digital interactions, such as what they are searching</w:t>
      </w:r>
      <w:r>
        <w:rPr>
          <w:rFonts w:ascii="Arial" w:cs="Arial" w:eastAsia="Arial" w:hAnsi="Arial"/>
          <w:sz w:val="16"/>
          <w:szCs w:val="16"/>
          <w:i w:val="1"/>
          <w:iCs w:val="1"/>
          <w:color w:val="auto"/>
        </w:rPr>
        <w:t xml:space="preserve"> </w:t>
      </w:r>
      <w:r>
        <w:rPr>
          <w:rFonts w:ascii="Arial" w:cs="Arial" w:eastAsia="Arial" w:hAnsi="Arial"/>
          <w:sz w:val="16"/>
          <w:szCs w:val="16"/>
          <w:color w:val="auto"/>
        </w:rPr>
        <w:t>for, their preferred fulfillment options, and frequency of placing orders. We also aggregate and anonymize comparative operational benchmarking so that retailers have a broader picture of customer behavior.</w:t>
      </w:r>
    </w:p>
    <w:p>
      <w:pPr>
        <w:spacing w:after="0" w:line="68" w:lineRule="exact"/>
        <w:rPr>
          <w:rFonts w:ascii="Arial" w:cs="Arial" w:eastAsia="Arial" w:hAnsi="Arial"/>
          <w:sz w:val="16"/>
          <w:szCs w:val="16"/>
          <w:color w:val="auto"/>
        </w:rPr>
      </w:pPr>
    </w:p>
    <w:p>
      <w:pPr>
        <w:ind w:left="2400" w:hanging="499"/>
        <w:spacing w:after="0" w:line="270" w:lineRule="auto"/>
        <w:tabs>
          <w:tab w:leader="none" w:pos="2400"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Retailer Insights</w:t>
      </w:r>
      <w:r>
        <w:rPr>
          <w:rFonts w:ascii="Arial" w:cs="Arial" w:eastAsia="Arial" w:hAnsi="Arial"/>
          <w:sz w:val="16"/>
          <w:szCs w:val="16"/>
          <w:color w:val="auto"/>
        </w:rPr>
        <w:t>. Our retail partner dashboard provides key operational insights such as per item or per store detail, data on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engagement, search conversion, and out of stock items, as well as financial insights such as sales growth and average order value. We show these metrics in real-time versus on a lagging basis helping retail partners better manage their store operations, merchandising, and marketing strategies. For example, when a shopper marks an item as out-of-stock while fulfilling an order, we can relay that information back to the retailer immediately so they know the item needs to be restocked. This would be harder to track and slower to reach a retailer at a brick-and-mortar location as they would need to physically see an empty shelf to initiate a restock.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205740</wp:posOffset>
            </wp:positionV>
            <wp:extent cx="7239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36" w:lineRule="exact"/>
        <w:rPr>
          <w:sz w:val="20"/>
          <w:szCs w:val="20"/>
          <w:color w:val="auto"/>
        </w:rPr>
      </w:pPr>
    </w:p>
    <w:p>
      <w:pPr>
        <w:ind w:left="860" w:hanging="403"/>
        <w:spacing w:after="0"/>
        <w:tabs>
          <w:tab w:leader="none" w:pos="860" w:val="left"/>
        </w:tabs>
        <w:numPr>
          <w:ilvl w:val="0"/>
          <w:numId w:val="208"/>
        </w:numPr>
        <w:rPr>
          <w:rFonts w:ascii="Arial" w:cs="Arial" w:eastAsia="Arial" w:hAnsi="Arial"/>
          <w:sz w:val="10"/>
          <w:szCs w:val="10"/>
          <w:color w:val="auto"/>
        </w:rPr>
      </w:pPr>
      <w:r>
        <w:rPr>
          <w:rFonts w:ascii="Arial" w:cs="Arial" w:eastAsia="Arial" w:hAnsi="Arial"/>
          <w:sz w:val="13"/>
          <w:szCs w:val="13"/>
          <w:color w:val="auto"/>
        </w:rPr>
        <w:t>Based on internal tests run across active multiple retailer banners measured over four weeks ended on January 18, 2023, leveraging In-App Activation Campaign product.</w:t>
      </w:r>
    </w:p>
    <w:p>
      <w:pPr>
        <w:spacing w:after="0" w:line="13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0760"/>
          </w:cols>
          <w:pgMar w:left="320" w:top="440" w:right="819" w:bottom="1440" w:gutter="0" w:footer="0" w:header="0"/>
        </w:sectPr>
      </w:pPr>
    </w:p>
    <w:bookmarkStart w:id="220" w:name="page221"/>
    <w:bookmarkEnd w:id="2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Customers</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built Instacart to make grocery shopping effortless by giving customers access to their favorite national, regional, and local retailers online. Our solutions are designed to provide a personalized shopping experience as customers browse, search, and order items from retailers they know or discover. As Instacart has grown and adapted to offer broader selection, support new verticals and use cases, and lean into inspiration and discovery, our ads offerings have followed and helped to shape new consumer behaviors. These offerings complement each other and offer meaningful opportunities for future product innovation.</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Customer App and Website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easy-to-use mobile app and website allow customers to shop from their favorite national, regional, and local retailers — wherever they are.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goal is to provide a superior online grocery experience, offering the best selection, quality, value, and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60" w:right="40" w:hanging="498"/>
        <w:spacing w:after="0" w:line="289" w:lineRule="auto"/>
        <w:tabs>
          <w:tab w:leader="none" w:pos="1360" w:val="left"/>
        </w:tabs>
        <w:numPr>
          <w:ilvl w:val="0"/>
          <w:numId w:val="209"/>
        </w:numPr>
        <w:rPr>
          <w:rFonts w:ascii="Arial" w:cs="Arial" w:eastAsia="Arial" w:hAnsi="Arial"/>
          <w:sz w:val="15"/>
          <w:szCs w:val="15"/>
          <w:color w:val="auto"/>
        </w:rPr>
      </w:pPr>
      <w:r>
        <w:rPr>
          <w:rFonts w:ascii="Arial" w:cs="Arial" w:eastAsia="Arial" w:hAnsi="Arial"/>
          <w:sz w:val="15"/>
          <w:szCs w:val="15"/>
          <w:i w:val="1"/>
          <w:iCs w:val="1"/>
          <w:color w:val="auto"/>
        </w:rPr>
        <w:t xml:space="preserve">Search and Browse. </w:t>
      </w:r>
      <w:r>
        <w:rPr>
          <w:rFonts w:ascii="Arial" w:cs="Arial" w:eastAsia="Arial" w:hAnsi="Arial"/>
          <w:sz w:val="15"/>
          <w:szCs w:val="15"/>
          <w:color w:val="auto"/>
        </w:rPr>
        <w:t>Customers can browse aisles, like produce, pet food, sales, or alcohol, to discover new items or search for whatever</w:t>
      </w:r>
      <w:r>
        <w:rPr>
          <w:rFonts w:ascii="Arial" w:cs="Arial" w:eastAsia="Arial" w:hAnsi="Arial"/>
          <w:sz w:val="15"/>
          <w:szCs w:val="15"/>
          <w:i w:val="1"/>
          <w:iCs w:val="1"/>
          <w:color w:val="auto"/>
        </w:rPr>
        <w:t xml:space="preserve"> </w:t>
      </w:r>
      <w:r>
        <w:rPr>
          <w:rFonts w:ascii="Arial" w:cs="Arial" w:eastAsia="Arial" w:hAnsi="Arial"/>
          <w:sz w:val="15"/>
          <w:szCs w:val="15"/>
          <w:color w:val="auto"/>
        </w:rPr>
        <w:t>they might need from a specific retailer or even across stores. Our machine learning-based search algorithm — based on billions of search queries each year — is critical to enhance a customer’s online shopping journey, by sorting over a million unique products to return the most relevant results. Our technology can decipher that a customer is searching for steak and return results for a filet when they are shopping in a grocery store, rather than steak dog treats, which would be shown when searching in a pet store. Our search and browse process leverages our Ads and picking and replacement capabilities to drive discovery and allow customers to seamlessly pick replacements or add an item to their order based on unique recommendations. Our ranking algorithms optimize results using factors that span relevance, availability, and customer lifecycle stage to ensure customers see the most relevant items. These capabilities bolster incremental use cases and product purchases, larger average order values, and increased order frequency.</w:t>
      </w:r>
    </w:p>
    <w:p>
      <w:pPr>
        <w:spacing w:after="0" w:line="32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740"/>
          </w:cols>
          <w:pgMar w:left="320" w:top="440" w:right="83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93345</wp:posOffset>
            </wp:positionV>
            <wp:extent cx="2726055" cy="24930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26055"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60" w:hanging="498"/>
        <w:spacing w:after="0" w:line="271" w:lineRule="auto"/>
        <w:tabs>
          <w:tab w:leader="none" w:pos="1360" w:val="left"/>
        </w:tabs>
        <w:numPr>
          <w:ilvl w:val="0"/>
          <w:numId w:val="210"/>
        </w:numPr>
        <w:rPr>
          <w:rFonts w:ascii="Arial" w:cs="Arial" w:eastAsia="Arial" w:hAnsi="Arial"/>
          <w:sz w:val="15"/>
          <w:szCs w:val="15"/>
          <w:color w:val="auto"/>
        </w:rPr>
      </w:pPr>
      <w:r>
        <w:rPr>
          <w:rFonts w:ascii="Arial" w:cs="Arial" w:eastAsia="Arial" w:hAnsi="Arial"/>
          <w:sz w:val="15"/>
          <w:szCs w:val="15"/>
          <w:i w:val="1"/>
          <w:iCs w:val="1"/>
          <w:color w:val="auto"/>
        </w:rPr>
        <w:t xml:space="preserve">Personalized Experience. </w:t>
      </w:r>
      <w:r>
        <w:rPr>
          <w:rFonts w:ascii="Arial" w:cs="Arial" w:eastAsia="Arial" w:hAnsi="Arial"/>
          <w:sz w:val="15"/>
          <w:szCs w:val="15"/>
          <w:color w:val="auto"/>
        </w:rPr>
        <w:t>We use information from past purchases, customer app engagement patterns, preferences, and billions of other</w:t>
      </w:r>
      <w:r>
        <w:rPr>
          <w:rFonts w:ascii="Arial" w:cs="Arial" w:eastAsia="Arial" w:hAnsi="Arial"/>
          <w:sz w:val="15"/>
          <w:szCs w:val="15"/>
          <w:i w:val="1"/>
          <w:iCs w:val="1"/>
          <w:color w:val="auto"/>
        </w:rPr>
        <w:t xml:space="preserve"> </w:t>
      </w:r>
      <w:r>
        <w:rPr>
          <w:rFonts w:ascii="Arial" w:cs="Arial" w:eastAsia="Arial" w:hAnsi="Arial"/>
          <w:sz w:val="15"/>
          <w:szCs w:val="15"/>
          <w:color w:val="auto"/>
        </w:rPr>
        <w:t>data points on Instacart every day to deeply personalize the experience for each customer. Instacart allows customers to easily reorder items, tailor replacement suggestions, and offer targeted, personalized new item recommendations. For example, if a customer has hot dog buns in their cart, we recommend ketchup and mustard to the customer based on our machine-learning data insights. Because we may process approximately 410 million replacements each year,</w:t>
      </w:r>
      <w:r>
        <w:rPr>
          <w:rFonts w:ascii="Arial" w:cs="Arial" w:eastAsia="Arial" w:hAnsi="Arial"/>
          <w:sz w:val="22"/>
          <w:szCs w:val="22"/>
          <w:color w:val="auto"/>
          <w:vertAlign w:val="superscript"/>
        </w:rPr>
        <w:t>185</w:t>
      </w:r>
      <w:r>
        <w:rPr>
          <w:rFonts w:ascii="Arial" w:cs="Arial" w:eastAsia="Arial" w:hAnsi="Arial"/>
          <w:sz w:val="15"/>
          <w:szCs w:val="15"/>
          <w:color w:val="auto"/>
        </w:rPr>
        <w:t xml:space="preserve"> we have a differentiated data set to provide the most relevant replacements to ensure every order meets the needs of our customers and delivers a high-quality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125095</wp:posOffset>
            </wp:positionV>
            <wp:extent cx="5717540" cy="26212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17540" cy="262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60" w:hanging="403"/>
        <w:spacing w:after="0"/>
        <w:tabs>
          <w:tab w:leader="none" w:pos="860" w:val="left"/>
        </w:tabs>
        <w:numPr>
          <w:ilvl w:val="0"/>
          <w:numId w:val="211"/>
        </w:numPr>
        <w:rPr>
          <w:rFonts w:ascii="Arial" w:cs="Arial" w:eastAsia="Arial" w:hAnsi="Arial"/>
          <w:sz w:val="10"/>
          <w:szCs w:val="10"/>
          <w:color w:val="auto"/>
        </w:rPr>
      </w:pPr>
      <w:r>
        <w:rPr>
          <w:rFonts w:ascii="Arial" w:cs="Arial" w:eastAsia="Arial" w:hAnsi="Arial"/>
          <w:sz w:val="13"/>
          <w:szCs w:val="13"/>
          <w:color w:val="auto"/>
        </w:rPr>
        <w:t>For the year ended December 31, 2022.</w:t>
      </w:r>
    </w:p>
    <w:p>
      <w:pPr>
        <w:spacing w:after="0" w:line="13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0720"/>
          </w:cols>
          <w:pgMar w:left="320" w:top="440" w:right="859" w:bottom="1440" w:gutter="0" w:footer="0" w:header="0"/>
        </w:sectPr>
      </w:pPr>
    </w:p>
    <w:bookmarkStart w:id="222" w:name="page223"/>
    <w:bookmarkEnd w:id="2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line="256" w:lineRule="auto"/>
        <w:tabs>
          <w:tab w:leader="none" w:pos="1360"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 xml:space="preserve">Order Management. </w:t>
      </w:r>
      <w:r>
        <w:rPr>
          <w:rFonts w:ascii="Arial" w:cs="Arial" w:eastAsia="Arial" w:hAnsi="Arial"/>
          <w:sz w:val="17"/>
          <w:szCs w:val="17"/>
          <w:color w:val="auto"/>
        </w:rPr>
        <w:t>Once customers place their orders, they can easily access the order status page where they can communicate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shopper and track timing of completion. Customers have the option to update orders after they are placed, allowing them to add to their baskets, review item selections, pick replacements, and adjust quantities. Our replacements technology is driven by our data insights from previous orders to recommend personalized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137795</wp:posOffset>
            </wp:positionV>
            <wp:extent cx="4865370" cy="26454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865370" cy="264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60" w:right="120" w:hanging="498"/>
        <w:spacing w:after="0" w:line="284" w:lineRule="auto"/>
        <w:tabs>
          <w:tab w:leader="none" w:pos="1360"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AI Integrations</w:t>
      </w:r>
      <w:r>
        <w:rPr>
          <w:rFonts w:ascii="Arial" w:cs="Arial" w:eastAsia="Arial" w:hAnsi="Arial"/>
          <w:sz w:val="16"/>
          <w:szCs w:val="16"/>
          <w:color w:val="auto"/>
        </w:rPr>
        <w:t>. We offer a variety of AI product experiences to help customers get the most out of Instacart — whether that’s addressing</w:t>
      </w:r>
      <w:r>
        <w:rPr>
          <w:rFonts w:ascii="Arial" w:cs="Arial" w:eastAsia="Arial" w:hAnsi="Arial"/>
          <w:sz w:val="16"/>
          <w:szCs w:val="16"/>
          <w:i w:val="1"/>
          <w:iCs w:val="1"/>
          <w:color w:val="auto"/>
        </w:rPr>
        <w:t xml:space="preserve"> </w:t>
      </w:r>
      <w:r>
        <w:rPr>
          <w:rFonts w:ascii="Arial" w:cs="Arial" w:eastAsia="Arial" w:hAnsi="Arial"/>
          <w:sz w:val="16"/>
          <w:szCs w:val="16"/>
          <w:color w:val="auto"/>
        </w:rPr>
        <w:t>food-related questions or helping with meal planning. These products are designed to be integrated into other AI-powered consumer experiences, allowing us to participate in conversations on platforms beyond those powered by Instacart.</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0740"/>
          </w:cols>
          <w:pgMar w:left="320" w:top="440" w:right="839" w:bottom="1440" w:gutter="0" w:footer="0" w:header="0"/>
        </w:sectPr>
      </w:pPr>
    </w:p>
    <w:bookmarkStart w:id="223" w:name="page224"/>
    <w:bookmarkEnd w:id="2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780" w:hanging="398"/>
        <w:spacing w:after="0"/>
        <w:tabs>
          <w:tab w:leader="none" w:pos="1780" w:val="left"/>
        </w:tabs>
        <w:numPr>
          <w:ilvl w:val="0"/>
          <w:numId w:val="214"/>
        </w:numPr>
        <w:rPr>
          <w:rFonts w:ascii="Arial" w:cs="Arial" w:eastAsia="Arial" w:hAnsi="Arial"/>
          <w:sz w:val="15"/>
          <w:szCs w:val="15"/>
          <w:color w:val="auto"/>
        </w:rPr>
      </w:pPr>
      <w:r>
        <w:rPr>
          <w:rFonts w:ascii="Arial" w:cs="Arial" w:eastAsia="Arial" w:hAnsi="Arial"/>
          <w:sz w:val="15"/>
          <w:szCs w:val="15"/>
          <w:i w:val="1"/>
          <w:iCs w:val="1"/>
          <w:color w:val="auto"/>
        </w:rPr>
        <w:t>Ask Instacart</w:t>
      </w:r>
      <w:r>
        <w:rPr>
          <w:rFonts w:ascii="Arial" w:cs="Arial" w:eastAsia="Arial" w:hAnsi="Arial"/>
          <w:sz w:val="15"/>
          <w:szCs w:val="15"/>
          <w:color w:val="auto"/>
        </w:rPr>
        <w:t>. Ask Instacart is an innovative AI-powered search tool designed to assist with customers’ grocery shopping questions</w:t>
      </w:r>
    </w:p>
    <w:p>
      <w:pPr>
        <w:spacing w:after="0" w:line="41" w:lineRule="exact"/>
        <w:rPr>
          <w:rFonts w:ascii="Arial" w:cs="Arial" w:eastAsia="Arial" w:hAnsi="Arial"/>
          <w:sz w:val="15"/>
          <w:szCs w:val="15"/>
          <w:color w:val="auto"/>
        </w:rPr>
      </w:pPr>
    </w:p>
    <w:p>
      <w:pPr>
        <w:ind w:left="1780" w:right="980"/>
        <w:spacing w:after="0" w:line="257" w:lineRule="auto"/>
        <w:rPr>
          <w:rFonts w:ascii="Arial" w:cs="Arial" w:eastAsia="Arial" w:hAnsi="Arial"/>
          <w:sz w:val="15"/>
          <w:szCs w:val="15"/>
          <w:color w:val="auto"/>
        </w:rPr>
      </w:pPr>
      <w:r>
        <w:rPr>
          <w:rFonts w:ascii="Arial" w:cs="Arial" w:eastAsia="Arial" w:hAnsi="Arial"/>
          <w:sz w:val="17"/>
          <w:szCs w:val="17"/>
          <w:color w:val="auto"/>
        </w:rPr>
        <w:t>— saving them time, inspiring their routines, and helping them make food-related decisions by offering personalized recommendations throughout the shopping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136525</wp:posOffset>
            </wp:positionV>
            <wp:extent cx="2693670" cy="26454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93670" cy="264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80" w:right="120" w:hanging="398"/>
        <w:spacing w:after="0" w:line="340" w:lineRule="auto"/>
        <w:tabs>
          <w:tab w:leader="none" w:pos="1780" w:val="left"/>
        </w:tabs>
        <w:numPr>
          <w:ilvl w:val="1"/>
          <w:numId w:val="215"/>
        </w:numPr>
        <w:rPr>
          <w:rFonts w:ascii="Arial" w:cs="Arial" w:eastAsia="Arial" w:hAnsi="Arial"/>
          <w:sz w:val="15"/>
          <w:szCs w:val="15"/>
          <w:color w:val="auto"/>
        </w:rPr>
      </w:pPr>
      <w:r>
        <w:rPr>
          <w:rFonts w:ascii="Arial" w:cs="Arial" w:eastAsia="Arial" w:hAnsi="Arial"/>
          <w:sz w:val="15"/>
          <w:szCs w:val="15"/>
          <w:i w:val="1"/>
          <w:iCs w:val="1"/>
          <w:color w:val="auto"/>
        </w:rPr>
        <w:t>Instacart Plugins</w:t>
      </w:r>
      <w:r>
        <w:rPr>
          <w:rFonts w:ascii="Arial" w:cs="Arial" w:eastAsia="Arial" w:hAnsi="Arial"/>
          <w:sz w:val="15"/>
          <w:szCs w:val="15"/>
          <w:color w:val="auto"/>
        </w:rPr>
        <w:t>. The Instacart AI plugin enables users from popular non-Instacart platforms on the internet to express their food</w:t>
      </w:r>
      <w:r>
        <w:rPr>
          <w:rFonts w:ascii="Arial" w:cs="Arial" w:eastAsia="Arial" w:hAnsi="Arial"/>
          <w:sz w:val="15"/>
          <w:szCs w:val="15"/>
          <w:i w:val="1"/>
          <w:iCs w:val="1"/>
          <w:color w:val="auto"/>
        </w:rPr>
        <w:t xml:space="preserve"> </w:t>
      </w:r>
      <w:r>
        <w:rPr>
          <w:rFonts w:ascii="Arial" w:cs="Arial" w:eastAsia="Arial" w:hAnsi="Arial"/>
          <w:sz w:val="15"/>
          <w:szCs w:val="15"/>
          <w:color w:val="auto"/>
        </w:rPr>
        <w:t>needs in natural language. Our plugin enables customers to turn inspiration for meal planning into ingredients on their doorstep.</w:t>
      </w:r>
    </w:p>
    <w:p>
      <w:pPr>
        <w:spacing w:after="0" w:line="30" w:lineRule="exact"/>
        <w:rPr>
          <w:rFonts w:ascii="Arial" w:cs="Arial" w:eastAsia="Arial" w:hAnsi="Arial"/>
          <w:sz w:val="15"/>
          <w:szCs w:val="15"/>
          <w:color w:val="auto"/>
        </w:rPr>
      </w:pPr>
    </w:p>
    <w:p>
      <w:pPr>
        <w:ind w:left="1360" w:right="20" w:hanging="498"/>
        <w:spacing w:after="0" w:line="260" w:lineRule="auto"/>
        <w:tabs>
          <w:tab w:leader="none" w:pos="1360"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Shoppable Content. </w:t>
      </w:r>
      <w:r>
        <w:rPr>
          <w:rFonts w:ascii="Arial" w:cs="Arial" w:eastAsia="Arial" w:hAnsi="Arial"/>
          <w:sz w:val="17"/>
          <w:szCs w:val="17"/>
          <w:color w:val="auto"/>
        </w:rPr>
        <w:t>Shoppable Content pairs entertainment with shopping to drive engagement, allowing select food creators to feature</w:t>
      </w:r>
      <w:r>
        <w:rPr>
          <w:rFonts w:ascii="Arial" w:cs="Arial" w:eastAsia="Arial" w:hAnsi="Arial"/>
          <w:sz w:val="17"/>
          <w:szCs w:val="17"/>
          <w:i w:val="1"/>
          <w:iCs w:val="1"/>
          <w:color w:val="auto"/>
        </w:rPr>
        <w:t xml:space="preserve"> </w:t>
      </w:r>
      <w:r>
        <w:rPr>
          <w:rFonts w:ascii="Arial" w:cs="Arial" w:eastAsia="Arial" w:hAnsi="Arial"/>
          <w:sz w:val="17"/>
          <w:szCs w:val="17"/>
          <w:color w:val="auto"/>
        </w:rPr>
        <w:t>shoppable recipes and lists in their videos and online recipes. The feature includes a button that adds all required ingredients needed for a specific recipe to a user’s cart.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0660"/>
          </w:cols>
          <w:pgMar w:left="320" w:top="440" w:right="91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On-Demand Delivery and Pickup</w:t>
      </w:r>
    </w:p>
    <w:p>
      <w:pPr>
        <w:spacing w:after="0" w:line="108"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Customers can select the fulfillment option and speed that best suit their needs. We support weekly shop, bulk stock-up, convenience, and special occasions for both delivery and pickup. Delivery speeds range from quick convenience (as fast as 30 minutes) and priority (one hour) to the next available window or even the next day. Customers have the ultimate flexibility to use Instacart as they need: for their larger weekly or monthly grocery orders, as well as for a quick top-up of ingredients — for tonight’s meal.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127635</wp:posOffset>
            </wp:positionV>
            <wp:extent cx="4841240" cy="255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841240" cy="255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0680"/>
          </w:cols>
          <w:pgMar w:left="320" w:top="440" w:right="899" w:bottom="1440" w:gutter="0" w:footer="0" w:header="0"/>
        </w:sectPr>
      </w:pPr>
    </w:p>
    <w:bookmarkStart w:id="225" w:name="page226"/>
    <w:bookmarkEnd w:id="2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Instacart+</w:t>
      </w:r>
    </w:p>
    <w:p>
      <w:pPr>
        <w:spacing w:after="0" w:line="108" w:lineRule="exact"/>
        <w:rPr>
          <w:sz w:val="20"/>
          <w:szCs w:val="20"/>
          <w:color w:val="auto"/>
        </w:rPr>
      </w:pPr>
    </w:p>
    <w:p>
      <w:pPr>
        <w:ind w:left="460" w:firstLine="413"/>
        <w:spacing w:after="0" w:line="223" w:lineRule="auto"/>
        <w:rPr>
          <w:sz w:val="20"/>
          <w:szCs w:val="20"/>
          <w:color w:val="auto"/>
        </w:rPr>
      </w:pPr>
      <w:r>
        <w:rPr>
          <w:rFonts w:ascii="Arial" w:cs="Arial" w:eastAsia="Arial" w:hAnsi="Arial"/>
          <w:sz w:val="17"/>
          <w:szCs w:val="17"/>
          <w:color w:val="auto"/>
        </w:rPr>
        <w:t>Instacart+ is our membership program that lowers the cost of online grocery through waived delivery fees, lower service fees, and credit back on eligible pickup orders. On average, Instacart+ members enjoy more than $30 of monthly savings with these membership benefits compared to customers without Instacart+.</w:t>
      </w:r>
      <w:r>
        <w:rPr>
          <w:rFonts w:ascii="Arial" w:cs="Arial" w:eastAsia="Arial" w:hAnsi="Arial"/>
          <w:sz w:val="25"/>
          <w:szCs w:val="25"/>
          <w:color w:val="auto"/>
          <w:vertAlign w:val="superscript"/>
        </w:rPr>
        <w:t>186</w:t>
      </w:r>
      <w:r>
        <w:rPr>
          <w:rFonts w:ascii="Arial" w:cs="Arial" w:eastAsia="Arial" w:hAnsi="Arial"/>
          <w:sz w:val="17"/>
          <w:szCs w:val="17"/>
          <w:color w:val="auto"/>
        </w:rPr>
        <w:t xml:space="preserve"> In the first six months of 2023, Instacart+ members represented $8,533 million of our total GTV, including order costs and fees paid by Instacart+ members. On average, an Instacart+ member spent an aggregate of $466 over 4.1 orders per month, compared to an aggregate of $231 spent over 2.1 orders by a non-member.</w:t>
      </w:r>
      <w:r>
        <w:rPr>
          <w:rFonts w:ascii="Arial" w:cs="Arial" w:eastAsia="Arial" w:hAnsi="Arial"/>
          <w:sz w:val="25"/>
          <w:szCs w:val="25"/>
          <w:color w:val="auto"/>
          <w:vertAlign w:val="superscript"/>
        </w:rPr>
        <w:t>187</w:t>
      </w:r>
      <w:r>
        <w:rPr>
          <w:rFonts w:ascii="Arial" w:cs="Arial" w:eastAsia="Arial" w:hAnsi="Arial"/>
          <w:sz w:val="17"/>
          <w:szCs w:val="17"/>
          <w:color w:val="auto"/>
        </w:rPr>
        <w:t xml:space="preserve"> We had approximately 5.1 million and 4.6 million Instacart+ members as of June 30, 2023 and June 30, 2022, respectively.</w:t>
      </w:r>
      <w:r>
        <w:rPr>
          <w:rFonts w:ascii="Arial" w:cs="Arial" w:eastAsia="Arial" w:hAnsi="Arial"/>
          <w:sz w:val="25"/>
          <w:szCs w:val="25"/>
          <w:color w:val="auto"/>
          <w:vertAlign w:val="superscript"/>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69850</wp:posOffset>
            </wp:positionV>
            <wp:extent cx="2726055" cy="255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726055" cy="255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Brand Partners</w:t>
      </w:r>
    </w:p>
    <w:p>
      <w:pPr>
        <w:spacing w:after="0" w:line="108" w:lineRule="exact"/>
        <w:rPr>
          <w:sz w:val="20"/>
          <w:szCs w:val="20"/>
          <w:color w:val="auto"/>
        </w:rPr>
      </w:pPr>
    </w:p>
    <w:p>
      <w:pPr>
        <w:ind w:left="460" w:right="60" w:firstLine="413"/>
        <w:spacing w:after="0" w:line="270" w:lineRule="auto"/>
        <w:rPr>
          <w:sz w:val="20"/>
          <w:szCs w:val="20"/>
          <w:color w:val="auto"/>
        </w:rPr>
      </w:pPr>
      <w:r>
        <w:rPr>
          <w:rFonts w:ascii="Arial" w:cs="Arial" w:eastAsia="Arial" w:hAnsi="Arial"/>
          <w:sz w:val="15"/>
          <w:szCs w:val="15"/>
          <w:color w:val="auto"/>
        </w:rPr>
        <w:t>Instacart Ads empowers discovery and drives meaningful value for over 5,500 CPG brands.</w:t>
      </w:r>
      <w:r>
        <w:rPr>
          <w:rFonts w:ascii="Arial" w:cs="Arial" w:eastAsia="Arial" w:hAnsi="Arial"/>
          <w:sz w:val="22"/>
          <w:szCs w:val="22"/>
          <w:color w:val="auto"/>
          <w:vertAlign w:val="superscript"/>
        </w:rPr>
        <w:t>189</w:t>
      </w:r>
      <w:r>
        <w:rPr>
          <w:rFonts w:ascii="Arial" w:cs="Arial" w:eastAsia="Arial" w:hAnsi="Arial"/>
          <w:sz w:val="15"/>
          <w:szCs w:val="15"/>
          <w:color w:val="auto"/>
        </w:rPr>
        <w:t xml:space="preserve"> Regardless of size, brands face their own unique challenges reaching customers, so we provide them the tools to run a full-funnel marketing strategy throughout the entire customer shopping journey on Instacart, with solutions designed to drive awareness, engagement, and sales. Our advertising offerings deliver results with closed-loop measurement and include sponsored product, display, and video ads. Instacart Ads also enables brands to fully understand customer behavior from discovery to purchase, offering valuable insights about how to optimize their advertising spend. We are building our advertising solutions to benefit not only brands, but customers and retailers as well. We believe that Instacart Ads delivers a superior shopping experience and pricing for customers by giving them access to thousands of deals and discounts while also driving larger average order values for our retail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76835</wp:posOffset>
            </wp:positionV>
            <wp:extent cx="7239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4" w:lineRule="exact"/>
        <w:rPr>
          <w:sz w:val="20"/>
          <w:szCs w:val="20"/>
          <w:color w:val="auto"/>
        </w:rPr>
      </w:pPr>
    </w:p>
    <w:p>
      <w:pPr>
        <w:ind w:left="860" w:hanging="403"/>
        <w:spacing w:after="0"/>
        <w:tabs>
          <w:tab w:leader="none" w:pos="860" w:val="left"/>
        </w:tabs>
        <w:numPr>
          <w:ilvl w:val="0"/>
          <w:numId w:val="216"/>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spacing w:after="0" w:line="1" w:lineRule="exact"/>
        <w:rPr>
          <w:rFonts w:ascii="Arial" w:cs="Arial" w:eastAsia="Arial" w:hAnsi="Arial"/>
          <w:sz w:val="10"/>
          <w:szCs w:val="10"/>
          <w:color w:val="auto"/>
        </w:rPr>
      </w:pPr>
    </w:p>
    <w:p>
      <w:pPr>
        <w:ind w:left="860" w:hanging="403"/>
        <w:spacing w:after="0" w:line="223" w:lineRule="auto"/>
        <w:tabs>
          <w:tab w:leader="none" w:pos="860" w:val="left"/>
        </w:tabs>
        <w:numPr>
          <w:ilvl w:val="0"/>
          <w:numId w:val="216"/>
        </w:numPr>
        <w:rPr>
          <w:rFonts w:ascii="Arial" w:cs="Arial" w:eastAsia="Arial" w:hAnsi="Arial"/>
          <w:sz w:val="10"/>
          <w:szCs w:val="10"/>
          <w:color w:val="auto"/>
        </w:rPr>
      </w:pPr>
      <w:r>
        <w:rPr>
          <w:rFonts w:ascii="Arial" w:cs="Arial" w:eastAsia="Arial" w:hAnsi="Arial"/>
          <w:sz w:val="13"/>
          <w:szCs w:val="13"/>
          <w:color w:val="auto"/>
        </w:rPr>
        <w:t>For the six months ended June 30, 2023.</w:t>
      </w:r>
    </w:p>
    <w:p>
      <w:pPr>
        <w:ind w:left="860" w:right="80" w:hanging="403"/>
        <w:spacing w:after="0" w:line="223" w:lineRule="auto"/>
        <w:tabs>
          <w:tab w:leader="none" w:pos="860" w:val="left"/>
        </w:tabs>
        <w:numPr>
          <w:ilvl w:val="0"/>
          <w:numId w:val="216"/>
        </w:numPr>
        <w:rPr>
          <w:rFonts w:ascii="Arial" w:cs="Arial" w:eastAsia="Arial" w:hAnsi="Arial"/>
          <w:sz w:val="10"/>
          <w:szCs w:val="10"/>
          <w:color w:val="auto"/>
        </w:rPr>
      </w:pPr>
      <w:r>
        <w:rPr>
          <w:rFonts w:ascii="Arial" w:cs="Arial" w:eastAsia="Arial" w:hAnsi="Arial"/>
          <w:sz w:val="13"/>
          <w:szCs w:val="13"/>
          <w:color w:val="auto"/>
        </w:rPr>
        <w:t>Includes paying Instacart+ members only and excludes free trial members. Fluctuations in the number of Instacart+ members are not necessarily indicative of changes in our financial performance or contribution of Instacart+ members to GTV or orders over time.</w:t>
      </w:r>
    </w:p>
    <w:p>
      <w:pPr>
        <w:ind w:left="860" w:hanging="403"/>
        <w:spacing w:after="0"/>
        <w:tabs>
          <w:tab w:leader="none" w:pos="860" w:val="left"/>
        </w:tabs>
        <w:numPr>
          <w:ilvl w:val="0"/>
          <w:numId w:val="216"/>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0780"/>
          </w:cols>
          <w:pgMar w:left="320" w:top="440" w:right="79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Innovative Ad Formats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offer a rich portfolio of ads offerings to help brands connect with customers and optimize their marketing spend:</w:t>
      </w:r>
    </w:p>
    <w:p>
      <w:pPr>
        <w:spacing w:after="0" w:line="121" w:lineRule="exact"/>
        <w:rPr>
          <w:sz w:val="20"/>
          <w:szCs w:val="20"/>
          <w:color w:val="auto"/>
        </w:rPr>
      </w:pPr>
    </w:p>
    <w:p>
      <w:pPr>
        <w:ind w:left="1360" w:hanging="498"/>
        <w:spacing w:after="0"/>
        <w:tabs>
          <w:tab w:leader="none" w:pos="1360" w:val="left"/>
        </w:tabs>
        <w:numPr>
          <w:ilvl w:val="0"/>
          <w:numId w:val="217"/>
        </w:numPr>
        <w:rPr>
          <w:rFonts w:ascii="Arial" w:cs="Arial" w:eastAsia="Arial" w:hAnsi="Arial"/>
          <w:sz w:val="15"/>
          <w:szCs w:val="15"/>
          <w:color w:val="auto"/>
        </w:rPr>
      </w:pPr>
      <w:r>
        <w:rPr>
          <w:rFonts w:ascii="Arial" w:cs="Arial" w:eastAsia="Arial" w:hAnsi="Arial"/>
          <w:sz w:val="15"/>
          <w:szCs w:val="15"/>
          <w:i w:val="1"/>
          <w:iCs w:val="1"/>
          <w:color w:val="auto"/>
        </w:rPr>
        <w:t xml:space="preserve">Sponsored Product Ads. </w:t>
      </w:r>
      <w:r>
        <w:rPr>
          <w:rFonts w:ascii="Arial" w:cs="Arial" w:eastAsia="Arial" w:hAnsi="Arial"/>
          <w:sz w:val="15"/>
          <w:szCs w:val="15"/>
          <w:color w:val="auto"/>
        </w:rPr>
        <w:t>With Sponsored Product ads, brands benefit from prominent and highly visible placement for all types of products</w:t>
      </w:r>
    </w:p>
    <w:p>
      <w:pPr>
        <w:spacing w:after="0" w:line="41" w:lineRule="exact"/>
        <w:rPr>
          <w:rFonts w:ascii="Arial" w:cs="Arial" w:eastAsia="Arial" w:hAnsi="Arial"/>
          <w:sz w:val="15"/>
          <w:szCs w:val="15"/>
          <w:color w:val="auto"/>
        </w:rPr>
      </w:pPr>
    </w:p>
    <w:p>
      <w:pPr>
        <w:ind w:left="1360" w:right="60"/>
        <w:spacing w:after="0" w:line="272" w:lineRule="auto"/>
        <w:rPr>
          <w:rFonts w:ascii="Arial" w:cs="Arial" w:eastAsia="Arial" w:hAnsi="Arial"/>
          <w:sz w:val="15"/>
          <w:szCs w:val="15"/>
          <w:color w:val="auto"/>
        </w:rPr>
      </w:pPr>
      <w:r>
        <w:rPr>
          <w:rFonts w:ascii="Arial" w:cs="Arial" w:eastAsia="Arial" w:hAnsi="Arial"/>
          <w:sz w:val="16"/>
          <w:szCs w:val="16"/>
          <w:color w:val="auto"/>
        </w:rPr>
        <w:t>— from packaged goods to produce to weighted items. Sponsored Product ads can appear when browsing storefronts, aisles, in search results, and on the path to checkout. Sponsored Product ads help brands drive conversion across the full customer journey, increasing average order value while driving higher category share. Sponsored Product ads are offered through a second-price cost-per-click auction, with ranking and relevance powered by advanced machine learning models to maximize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57785</wp:posOffset>
            </wp:positionV>
            <wp:extent cx="2589530" cy="254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89530" cy="254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0740"/>
          </w:cols>
          <w:pgMar w:left="320" w:top="440" w:right="839" w:bottom="1440" w:gutter="0" w:footer="0" w:header="0"/>
        </w:sectPr>
      </w:pPr>
    </w:p>
    <w:bookmarkStart w:id="227" w:name="page228"/>
    <w:bookmarkEnd w:id="2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line="253" w:lineRule="auto"/>
        <w:tabs>
          <w:tab w:leader="none" w:pos="1360"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t>Display Ads</w:t>
      </w:r>
      <w:r>
        <w:rPr>
          <w:rFonts w:ascii="Arial" w:cs="Arial" w:eastAsia="Arial" w:hAnsi="Arial"/>
          <w:sz w:val="17"/>
          <w:szCs w:val="17"/>
          <w:color w:val="auto"/>
        </w:rPr>
        <w:t>. Brands can leverage our Display ads formats to inspire discovery at the point of purchase. These ads can appear on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or complementary searches and while consumers browse through Home or Storefront pages for their favorite retailers. Brands can reach customers with individual ad units like Shoppable Display ads while also curating their collections on the platform with Brand Pages, which can serve as landing destinations for both onsite and offsite traffic. Auction Display ads are offered through a cost-per-thousand impressions pricing model. For tentpole and seasonal moments, advertisers can also purchase Display ads and participate in co-marketing activations on a fixed fee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139700</wp:posOffset>
            </wp:positionV>
            <wp:extent cx="2508885" cy="27343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0888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0660"/>
          </w:cols>
          <w:pgMar w:left="320" w:top="440" w:right="919" w:bottom="1440" w:gutter="0" w:footer="0" w:header="0"/>
        </w:sectPr>
      </w:pPr>
    </w:p>
    <w:bookmarkStart w:id="228" w:name="page229"/>
    <w:bookmarkEnd w:id="2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line="269" w:lineRule="auto"/>
        <w:tabs>
          <w:tab w:leader="none" w:pos="1360"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Instacart’s recently enhanced promotions portfolio enables brands to drive incremental purchases via compelling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and deals. Coupons are dollars-off opportunities surfaced to customers for specific items. Brands can offer coupons directly to customers to drive product trials and help increase sales. CPG-funded coupons are available for setup and management in Ads Manager, allowing brands of all sizes to easily set up and manage coupon campaigns on Instacart. Stock Up and Save is a new type of promotion that offers a discount when customers meet a certain dollar or item threshold on a set of items defined by the brand. This offers brands a powerful basket-building technique. Pricing for these promotions is based on a flat redemption fee, plus savings passed on to the customer. Our acquisition of Eversight furthers our ability to experiment and optimize toward the right pricing and promotions decisions to drive results for brands and surface the best deals for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207010</wp:posOffset>
            </wp:positionV>
            <wp:extent cx="4679950" cy="29997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79950" cy="299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0780"/>
          </w:cols>
          <w:pgMar w:left="320" w:top="440" w:right="79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Ads Manager</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Ads Manager is a self-service campaign management interface allowing brands to create, manage, and monitor their ad campaigns on Instacart. Through API integration, brands can also power management of campaigns in partnership with certified third-party API partners. Ads Manager offers core reporting metrics (e.g., clicks, cost, sales, return on ad spend, and new-to-brand metrics) and has a detailed Insights Portal for broader platform metrics (e.g., category share). It also helps brands forecast and automate campaigns helping them maximize value on marketing dollars spent. Specific tools include:</w:t>
      </w:r>
    </w:p>
    <w:p>
      <w:pPr>
        <w:spacing w:after="0" w:line="93" w:lineRule="exact"/>
        <w:rPr>
          <w:sz w:val="20"/>
          <w:szCs w:val="20"/>
          <w:color w:val="auto"/>
        </w:rPr>
      </w:pPr>
    </w:p>
    <w:p>
      <w:pPr>
        <w:ind w:left="1360" w:hanging="498"/>
        <w:spacing w:after="0"/>
        <w:tabs>
          <w:tab w:leader="none" w:pos="136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Library Manager</w:t>
      </w:r>
      <w:r>
        <w:rPr>
          <w:rFonts w:ascii="Arial" w:cs="Arial" w:eastAsia="Arial" w:hAnsi="Arial"/>
          <w:sz w:val="17"/>
          <w:szCs w:val="17"/>
          <w:color w:val="auto"/>
        </w:rPr>
        <w:t>. Enables advertisers to directly edit, update, add, or claim product listings on Instacart.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84455</wp:posOffset>
            </wp:positionV>
            <wp:extent cx="4824730" cy="258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82473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0620"/>
          </w:cols>
          <w:pgMar w:left="320" w:top="440" w:right="959"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498"/>
        <w:spacing w:after="0"/>
        <w:tabs>
          <w:tab w:leader="none" w:pos="1360"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Bid Landscapes</w:t>
      </w:r>
      <w:r>
        <w:rPr>
          <w:rFonts w:ascii="Arial" w:cs="Arial" w:eastAsia="Arial" w:hAnsi="Arial"/>
          <w:sz w:val="16"/>
          <w:szCs w:val="16"/>
          <w:color w:val="auto"/>
        </w:rPr>
        <w:t>. Helps advertisers understand which bids are likely to drive the best return on ad spend or increase in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92075</wp:posOffset>
            </wp:positionV>
            <wp:extent cx="4817110" cy="25330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817110"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60" w:hanging="498"/>
        <w:spacing w:after="0" w:line="272" w:lineRule="auto"/>
        <w:tabs>
          <w:tab w:leader="none" w:pos="1360"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Optimized Bidding</w:t>
      </w:r>
      <w:r>
        <w:rPr>
          <w:rFonts w:ascii="Arial" w:cs="Arial" w:eastAsia="Arial" w:hAnsi="Arial"/>
          <w:sz w:val="17"/>
          <w:szCs w:val="17"/>
          <w:color w:val="auto"/>
        </w:rPr>
        <w:t>. Uses machine learning and rich data signals on Instacart to automatically manage bids for advertisers, helping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drive more efficient outcomes and increase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128905</wp:posOffset>
            </wp:positionV>
            <wp:extent cx="4800600" cy="24847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800600" cy="248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0700"/>
          </w:cols>
          <w:pgMar w:left="320" w:top="440" w:right="87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Reporting &amp; Insights Portal</w:t>
      </w:r>
    </w:p>
    <w:p>
      <w:pPr>
        <w:spacing w:after="0" w:line="108"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Our comprehensive analytics dashboard gives brand partners insights to help them power the most efficient and impactful marketing campaigns. Brands also get access via our Insights Portal to data on their basket penetration, category share, and parent company and brand-level sales. Instacart’s data offers an unparalleled view into a brand’s presence nationally and its performance in grocery eCommerce broadly. In addition, our sales team works directly with clients to offer further valuable insights and analytics services that are unavailable in a traditional, in-store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117475</wp:posOffset>
            </wp:positionV>
            <wp:extent cx="4800600" cy="26212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800600" cy="262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 Shoppers</w:t>
      </w:r>
    </w:p>
    <w:p>
      <w:pPr>
        <w:spacing w:after="0" w:line="108" w:lineRule="exact"/>
        <w:rPr>
          <w:sz w:val="20"/>
          <w:szCs w:val="20"/>
          <w:color w:val="auto"/>
        </w:rPr>
      </w:pPr>
    </w:p>
    <w:p>
      <w:pPr>
        <w:ind w:left="460" w:right="40" w:firstLine="413"/>
        <w:spacing w:after="0" w:line="268" w:lineRule="auto"/>
        <w:rPr>
          <w:sz w:val="20"/>
          <w:szCs w:val="20"/>
          <w:color w:val="auto"/>
        </w:rPr>
      </w:pPr>
      <w:r>
        <w:rPr>
          <w:rFonts w:ascii="Arial" w:cs="Arial" w:eastAsia="Arial" w:hAnsi="Arial"/>
          <w:sz w:val="15"/>
          <w:szCs w:val="15"/>
          <w:color w:val="auto"/>
        </w:rPr>
        <w:t>Instacart offers immediate, flexible earnings opportunities for hundreds of thousands of individuals to work as shoppers.</w:t>
      </w:r>
      <w:r>
        <w:rPr>
          <w:rFonts w:ascii="Arial" w:cs="Arial" w:eastAsia="Arial" w:hAnsi="Arial"/>
          <w:sz w:val="22"/>
          <w:szCs w:val="22"/>
          <w:color w:val="auto"/>
          <w:vertAlign w:val="superscript"/>
        </w:rPr>
        <w:t>190</w:t>
      </w:r>
      <w:r>
        <w:rPr>
          <w:rFonts w:ascii="Arial" w:cs="Arial" w:eastAsia="Arial" w:hAnsi="Arial"/>
          <w:sz w:val="15"/>
          <w:szCs w:val="15"/>
          <w:color w:val="auto"/>
        </w:rPr>
        <w:t xml:space="preserve"> We know that shoppers prioritize flexibility, and we strive to address that preference by offering an opportunity that requires only a mobile device and a car and is often done during the day. Shoppers are about two-thirds female, about half of them are parents, and they work on average about 9 hours per week, nearly half of which is spent shopping not driving.</w:t>
      </w:r>
      <w:r>
        <w:rPr>
          <w:rFonts w:ascii="Arial" w:cs="Arial" w:eastAsia="Arial" w:hAnsi="Arial"/>
          <w:sz w:val="22"/>
          <w:szCs w:val="22"/>
          <w:color w:val="auto"/>
          <w:vertAlign w:val="superscript"/>
        </w:rPr>
        <w:t>191</w:t>
      </w:r>
      <w:r>
        <w:rPr>
          <w:rFonts w:ascii="Arial" w:cs="Arial" w:eastAsia="Arial" w:hAnsi="Arial"/>
          <w:sz w:val="15"/>
          <w:szCs w:val="15"/>
          <w:color w:val="auto"/>
        </w:rPr>
        <w:t xml:space="preserve"> Shoppers balance empathy, efficiency, communication, and problem-solving to prepare the perfect order. We recognize hard work and reward shoppers with impactful incentives that help them stand out to their customers, increase their access to earnings, and reach their personal goals. For example, in July 2022, we announced our shopper rewards program, Cart Star, to recognize shoppers who consistently deliver outstanding service to their customers. We know that one of the rewards shoppers want most is access to more batches, so we purposefully designed our new program in a way that offers this key benefit. As shoppers complete more orders, they will qualify for Gold, Platinum, or Diamond Cart Tier and accordingly earn more rewards, including priority access to certain batches and tailored offerings from Instacart and our partners. These offerings include savings on gas and oil changes and other automobile maintenance, recognition in the customer app, and subsidized backup child, pet, or senior care through Care.com. Shoppers can also qualify for lifetime protection of their Platinum Tier status based on certain order and rating requirements. In addition, as part of our commitment to shoppers to earn on their terms, we offer shoppers tip protection of up to $10 per order in the event that a customer zeroes out their tip without reporting an issue with their order, as well as increased pay during times of higher demand and for batches containing heavy items or that require longer distance travel. Our shopper app enables shoppers to match with customers, navigate orders to their desired destinations, and receive earnings in one integrated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77470</wp:posOffset>
            </wp:positionV>
            <wp:extent cx="7239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5" w:lineRule="exact"/>
        <w:rPr>
          <w:sz w:val="20"/>
          <w:szCs w:val="20"/>
          <w:color w:val="auto"/>
        </w:rPr>
      </w:pPr>
    </w:p>
    <w:p>
      <w:pPr>
        <w:ind w:left="860" w:hanging="403"/>
        <w:spacing w:after="0"/>
        <w:tabs>
          <w:tab w:leader="none" w:pos="860" w:val="left"/>
        </w:tabs>
        <w:numPr>
          <w:ilvl w:val="0"/>
          <w:numId w:val="223"/>
        </w:numPr>
        <w:rPr>
          <w:rFonts w:ascii="Arial" w:cs="Arial" w:eastAsia="Arial" w:hAnsi="Arial"/>
          <w:sz w:val="10"/>
          <w:szCs w:val="10"/>
          <w:color w:val="auto"/>
        </w:rPr>
      </w:pPr>
      <w:r>
        <w:rPr>
          <w:rFonts w:ascii="Arial" w:cs="Arial" w:eastAsia="Arial" w:hAnsi="Arial"/>
          <w:sz w:val="13"/>
          <w:szCs w:val="13"/>
          <w:color w:val="auto"/>
        </w:rPr>
        <w:t>Based on shoppers who completed at least one order during the month ended June 30, 2023.</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223"/>
        </w:numPr>
        <w:rPr>
          <w:rFonts w:ascii="Arial" w:cs="Arial" w:eastAsia="Arial" w:hAnsi="Arial"/>
          <w:sz w:val="10"/>
          <w:szCs w:val="10"/>
          <w:color w:val="auto"/>
        </w:rPr>
      </w:pPr>
      <w:r>
        <w:rPr>
          <w:rFonts w:ascii="Arial" w:cs="Arial" w:eastAsia="Arial" w:hAnsi="Arial"/>
          <w:sz w:val="13"/>
          <w:szCs w:val="13"/>
          <w:color w:val="auto"/>
        </w:rPr>
        <w:t>Based on a random sampling of 2,906 shoppers who completed at least one order during the month ended June 30, 2023.</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222</w:t>
      </w:r>
    </w:p>
    <w:p>
      <w:pPr>
        <w:sectPr>
          <w:pgSz w:w="11900" w:h="16838" w:orient="portrait"/>
          <w:cols w:equalWidth="0" w:num="1">
            <w:col w:w="10780"/>
          </w:cols>
          <w:pgMar w:left="320" w:top="440" w:right="799" w:bottom="1440" w:gutter="0" w:footer="0" w:header="0"/>
        </w:sectPr>
      </w:pPr>
    </w:p>
    <w:bookmarkStart w:id="232" w:name="page233"/>
    <w:bookmarkEnd w:id="2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Shopper App</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offer shoppers a mobile application (iOS and Android) that powers the entire shopper experience seamlessly.</w:t>
      </w:r>
    </w:p>
    <w:p>
      <w:pPr>
        <w:spacing w:after="0" w:line="121" w:lineRule="exact"/>
        <w:rPr>
          <w:sz w:val="20"/>
          <w:szCs w:val="20"/>
          <w:color w:val="auto"/>
        </w:rPr>
      </w:pPr>
    </w:p>
    <w:p>
      <w:pPr>
        <w:jc w:val="both"/>
        <w:ind w:left="1360" w:hanging="498"/>
        <w:spacing w:after="0" w:line="260" w:lineRule="auto"/>
        <w:tabs>
          <w:tab w:leader="none" w:pos="1360" w:val="left"/>
        </w:tabs>
        <w:numPr>
          <w:ilvl w:val="0"/>
          <w:numId w:val="224"/>
        </w:numPr>
        <w:rPr>
          <w:rFonts w:ascii="Arial" w:cs="Arial" w:eastAsia="Arial" w:hAnsi="Arial"/>
          <w:sz w:val="17"/>
          <w:szCs w:val="17"/>
          <w:color w:val="auto"/>
        </w:rPr>
      </w:pPr>
      <w:r>
        <w:rPr>
          <w:rFonts w:ascii="Arial" w:cs="Arial" w:eastAsia="Arial" w:hAnsi="Arial"/>
          <w:sz w:val="17"/>
          <w:szCs w:val="17"/>
          <w:i w:val="1"/>
          <w:iCs w:val="1"/>
          <w:color w:val="auto"/>
        </w:rPr>
        <w:t xml:space="preserve">Getting Started. </w:t>
      </w:r>
      <w:r>
        <w:rPr>
          <w:rFonts w:ascii="Arial" w:cs="Arial" w:eastAsia="Arial" w:hAnsi="Arial"/>
          <w:sz w:val="17"/>
          <w:szCs w:val="17"/>
          <w:color w:val="auto"/>
        </w:rPr>
        <w:t>Shoppers can download our mobile app and sign up within minutes. Onboarding includes entering a valid driver’s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contact information, and taking a picture. Following a thorough background check, shoppers are provided with a virtual credit card and can begin shopping and earning the same day.</w:t>
      </w:r>
    </w:p>
    <w:p>
      <w:pPr>
        <w:spacing w:after="0" w:line="86" w:lineRule="exact"/>
        <w:rPr>
          <w:rFonts w:ascii="Arial" w:cs="Arial" w:eastAsia="Arial" w:hAnsi="Arial"/>
          <w:sz w:val="17"/>
          <w:szCs w:val="17"/>
          <w:color w:val="auto"/>
        </w:rPr>
      </w:pPr>
    </w:p>
    <w:p>
      <w:pPr>
        <w:ind w:left="1360" w:right="140" w:hanging="498"/>
        <w:spacing w:after="0" w:line="260" w:lineRule="auto"/>
        <w:tabs>
          <w:tab w:leader="none" w:pos="1360" w:val="left"/>
        </w:tabs>
        <w:numPr>
          <w:ilvl w:val="0"/>
          <w:numId w:val="224"/>
        </w:numPr>
        <w:rPr>
          <w:rFonts w:ascii="Arial" w:cs="Arial" w:eastAsia="Arial" w:hAnsi="Arial"/>
          <w:sz w:val="17"/>
          <w:szCs w:val="17"/>
          <w:color w:val="auto"/>
        </w:rPr>
      </w:pPr>
      <w:r>
        <w:rPr>
          <w:rFonts w:ascii="Arial" w:cs="Arial" w:eastAsia="Arial" w:hAnsi="Arial"/>
          <w:sz w:val="17"/>
          <w:szCs w:val="17"/>
          <w:i w:val="1"/>
          <w:iCs w:val="1"/>
          <w:color w:val="auto"/>
        </w:rPr>
        <w:t xml:space="preserve">Batch Information. </w:t>
      </w:r>
      <w:r>
        <w:rPr>
          <w:rFonts w:ascii="Arial" w:cs="Arial" w:eastAsia="Arial" w:hAnsi="Arial"/>
          <w:sz w:val="17"/>
          <w:szCs w:val="17"/>
          <w:color w:val="auto"/>
        </w:rPr>
        <w:t>We give shoppers upfront information about each batch they view on Instacart. We tell them how much they will earn</w:t>
      </w:r>
      <w:r>
        <w:rPr>
          <w:rFonts w:ascii="Arial" w:cs="Arial" w:eastAsia="Arial" w:hAnsi="Arial"/>
          <w:sz w:val="17"/>
          <w:szCs w:val="17"/>
          <w:i w:val="1"/>
          <w:iCs w:val="1"/>
          <w:color w:val="auto"/>
        </w:rPr>
        <w:t xml:space="preserve"> </w:t>
      </w:r>
      <w:r>
        <w:rPr>
          <w:rFonts w:ascii="Arial" w:cs="Arial" w:eastAsia="Arial" w:hAnsi="Arial"/>
          <w:sz w:val="17"/>
          <w:szCs w:val="17"/>
          <w:color w:val="auto"/>
        </w:rPr>
        <w:t>from Instacart, the estimated customer tip, number and type of items, store details, estimated driving distances, and more. Our batching algorithm offers shoppers chances to take multiple orders at once to maximize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207645</wp:posOffset>
            </wp:positionV>
            <wp:extent cx="4100830" cy="27343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10083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223</w:t>
      </w:r>
    </w:p>
    <w:p>
      <w:pPr>
        <w:sectPr>
          <w:pgSz w:w="11900" w:h="16838" w:orient="portrait"/>
          <w:cols w:equalWidth="0" w:num="1">
            <w:col w:w="10780"/>
          </w:cols>
          <w:pgMar w:left="320" w:top="440" w:right="79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40" w:hanging="498"/>
        <w:spacing w:after="0" w:line="256" w:lineRule="auto"/>
        <w:tabs>
          <w:tab w:leader="none" w:pos="1360"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 xml:space="preserve">Picking Technology. </w:t>
      </w:r>
      <w:r>
        <w:rPr>
          <w:rFonts w:ascii="Arial" w:cs="Arial" w:eastAsia="Arial" w:hAnsi="Arial"/>
          <w:sz w:val="17"/>
          <w:szCs w:val="17"/>
          <w:color w:val="auto"/>
        </w:rPr>
        <w:t>Once in a store, our picking technology helps shoppers efficiently locate the items in an order. The shopper app</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recommends how to pick the highest-quality produce and the best replacement if an item is out of stock. Our picking technology is optimized for the complexities of grocery, where one order could include a bunch of kale, several ripe avocados, a pint of ice cream, and a pound of steak.</w:t>
      </w:r>
    </w:p>
    <w:p>
      <w:pPr>
        <w:spacing w:after="0" w:line="204" w:lineRule="exact"/>
        <w:rPr>
          <w:rFonts w:ascii="Arial" w:cs="Arial" w:eastAsia="Arial" w:hAnsi="Arial"/>
          <w:sz w:val="17"/>
          <w:szCs w:val="17"/>
          <w:color w:val="auto"/>
        </w:rPr>
      </w:pPr>
    </w:p>
    <w:p>
      <w:pPr>
        <w:ind w:left="1360" w:hanging="498"/>
        <w:spacing w:after="0" w:line="263" w:lineRule="auto"/>
        <w:tabs>
          <w:tab w:leader="none" w:pos="1360"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 xml:space="preserve">Shopper-Customer Chat. </w:t>
      </w:r>
      <w:r>
        <w:rPr>
          <w:rFonts w:ascii="Arial" w:cs="Arial" w:eastAsia="Arial" w:hAnsi="Arial"/>
          <w:sz w:val="17"/>
          <w:szCs w:val="17"/>
          <w:color w:val="auto"/>
        </w:rPr>
        <w:t>We provide shoppers with a number of in-app tools to help them communicate directly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the quality of their shopping experience. Shoppers can send photos to customers and inquire directly about replacements, refunds, or other clarifications to give customers the chance to decide what would make their orders complete. This technology is informed by hundreds of millions of shopper-customer interactions.</w:t>
      </w:r>
      <w:r>
        <w:rPr>
          <w:rFonts w:ascii="Arial" w:cs="Arial" w:eastAsia="Arial" w:hAnsi="Arial"/>
          <w:sz w:val="25"/>
          <w:szCs w:val="25"/>
          <w:color w:val="auto"/>
          <w:vertAlign w:val="superscript"/>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2680970</wp:posOffset>
            </wp:positionV>
            <wp:extent cx="7239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3900" cy="825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59055</wp:posOffset>
            </wp:positionV>
            <wp:extent cx="2452370" cy="25330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52370"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hanging="403"/>
        <w:spacing w:after="0"/>
        <w:tabs>
          <w:tab w:leader="none" w:pos="860" w:val="left"/>
        </w:tabs>
        <w:numPr>
          <w:ilvl w:val="0"/>
          <w:numId w:val="226"/>
        </w:numPr>
        <w:rPr>
          <w:rFonts w:ascii="Arial" w:cs="Arial" w:eastAsia="Arial" w:hAnsi="Arial"/>
          <w:sz w:val="10"/>
          <w:szCs w:val="10"/>
          <w:color w:val="auto"/>
        </w:rPr>
      </w:pPr>
      <w:r>
        <w:rPr>
          <w:rFonts w:ascii="Arial" w:cs="Arial" w:eastAsia="Arial" w:hAnsi="Arial"/>
          <w:sz w:val="13"/>
          <w:szCs w:val="13"/>
          <w:color w:val="auto"/>
        </w:rPr>
        <w:t>For the quarter ended June 30, 2023.</w:t>
      </w:r>
    </w:p>
    <w:p>
      <w:pPr>
        <w:spacing w:after="0" w:line="13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10740"/>
          </w:cols>
          <w:pgMar w:left="320" w:top="440" w:right="83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100" w:hanging="498"/>
        <w:spacing w:after="0" w:line="256" w:lineRule="auto"/>
        <w:tabs>
          <w:tab w:leader="none" w:pos="1360"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 xml:space="preserve">Batching and Delivery. </w:t>
      </w:r>
      <w:r>
        <w:rPr>
          <w:rFonts w:ascii="Arial" w:cs="Arial" w:eastAsia="Arial" w:hAnsi="Arial"/>
          <w:sz w:val="17"/>
          <w:szCs w:val="17"/>
          <w:color w:val="auto"/>
        </w:rPr>
        <w:t>Our fulfillment technology facilitates order allocations and suggests optimal routes to reduce the total time a</w:t>
      </w:r>
      <w:r>
        <w:rPr>
          <w:rFonts w:ascii="Arial" w:cs="Arial" w:eastAsia="Arial" w:hAnsi="Arial"/>
          <w:sz w:val="17"/>
          <w:szCs w:val="17"/>
          <w:i w:val="1"/>
          <w:iCs w:val="1"/>
          <w:color w:val="auto"/>
        </w:rPr>
        <w:t xml:space="preserve"> </w:t>
      </w:r>
      <w:r>
        <w:rPr>
          <w:rFonts w:ascii="Arial" w:cs="Arial" w:eastAsia="Arial" w:hAnsi="Arial"/>
          <w:sz w:val="17"/>
          <w:szCs w:val="17"/>
          <w:color w:val="auto"/>
        </w:rPr>
        <w:t>shopper is on a delivery. Our algorithms based on billions of data points decide in real time how to take customer orders and create the most efficient batch offers for shoppers, in order to maximize earnings opportunities. Our machine learning simulations run every minute to re-compute the optimal combination of batch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186055</wp:posOffset>
            </wp:positionV>
            <wp:extent cx="2621280" cy="25412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21280" cy="254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60" w:hanging="498"/>
        <w:spacing w:after="0" w:line="340" w:lineRule="auto"/>
        <w:tabs>
          <w:tab w:leader="none" w:pos="1360" w:val="left"/>
        </w:tabs>
        <w:numPr>
          <w:ilvl w:val="0"/>
          <w:numId w:val="228"/>
        </w:numPr>
        <w:rPr>
          <w:rFonts w:ascii="Arial" w:cs="Arial" w:eastAsia="Arial" w:hAnsi="Arial"/>
          <w:sz w:val="15"/>
          <w:szCs w:val="15"/>
          <w:color w:val="auto"/>
        </w:rPr>
      </w:pPr>
      <w:r>
        <w:rPr>
          <w:rFonts w:ascii="Arial" w:cs="Arial" w:eastAsia="Arial" w:hAnsi="Arial"/>
          <w:sz w:val="15"/>
          <w:szCs w:val="15"/>
          <w:i w:val="1"/>
          <w:iCs w:val="1"/>
          <w:color w:val="auto"/>
        </w:rPr>
        <w:t>Peak Earning Times</w:t>
      </w:r>
      <w:r>
        <w:rPr>
          <w:rFonts w:ascii="Arial" w:cs="Arial" w:eastAsia="Arial" w:hAnsi="Arial"/>
          <w:sz w:val="15"/>
          <w:szCs w:val="15"/>
          <w:color w:val="auto"/>
        </w:rPr>
        <w:t>. We give shoppers valuable information about the days and times that will offer the highest earning opportunities in</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 areas through our Peak Earning Times feature. This helps shoppers plan for the week ahead and maximize their earnings potential.</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225</w:t>
      </w:r>
    </w:p>
    <w:p>
      <w:pPr>
        <w:sectPr>
          <w:pgSz w:w="11900" w:h="16838" w:orient="portrait"/>
          <w:cols w:equalWidth="0" w:num="1">
            <w:col w:w="10740"/>
          </w:cols>
          <w:pgMar w:left="320" w:top="440" w:right="839" w:bottom="1440" w:gutter="0" w:footer="0" w:header="0"/>
        </w:sectPr>
      </w:pPr>
    </w:p>
    <w:bookmarkStart w:id="235" w:name="page236"/>
    <w:bookmarkEnd w:id="2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Shopper Earnings</w:t>
      </w:r>
    </w:p>
    <w:p>
      <w:pPr>
        <w:spacing w:after="0" w:line="108"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Our app allows shoppers to quickly see their complete earnings history. Once a batch is complete, a shopper can choose to instantly get paid or accumulate earnings until a weekly payment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128905</wp:posOffset>
            </wp:positionV>
            <wp:extent cx="2452370" cy="25412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52370" cy="254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Technology and Data Insights</w:t>
      </w:r>
    </w:p>
    <w:p>
      <w:pPr>
        <w:spacing w:after="0" w:line="214" w:lineRule="exact"/>
        <w:rPr>
          <w:sz w:val="20"/>
          <w:szCs w:val="20"/>
          <w:color w:val="auto"/>
        </w:rPr>
      </w:pPr>
    </w:p>
    <w:p>
      <w:pPr>
        <w:ind w:left="460" w:right="360" w:firstLine="413"/>
        <w:spacing w:after="0" w:line="243" w:lineRule="auto"/>
        <w:rPr>
          <w:sz w:val="20"/>
          <w:szCs w:val="20"/>
          <w:color w:val="auto"/>
        </w:rPr>
      </w:pPr>
      <w:r>
        <w:rPr>
          <w:rFonts w:ascii="Arial" w:cs="Arial" w:eastAsia="Arial" w:hAnsi="Arial"/>
          <w:sz w:val="16"/>
          <w:szCs w:val="16"/>
          <w:color w:val="auto"/>
        </w:rPr>
        <w:t>We have invested and will continue to invest considerable resources in our technology infrastructure. We have assembled a team of about 1,200 engineers and data scientists with broad technical expertise</w:t>
      </w:r>
      <w:r>
        <w:rPr>
          <w:rFonts w:ascii="Arial" w:cs="Arial" w:eastAsia="Arial" w:hAnsi="Arial"/>
          <w:sz w:val="24"/>
          <w:szCs w:val="24"/>
          <w:color w:val="auto"/>
          <w:vertAlign w:val="superscript"/>
        </w:rPr>
        <w:t>193</w:t>
      </w:r>
      <w:r>
        <w:rPr>
          <w:rFonts w:ascii="Arial" w:cs="Arial" w:eastAsia="Arial" w:hAnsi="Arial"/>
          <w:sz w:val="16"/>
          <w:szCs w:val="16"/>
          <w:color w:val="auto"/>
        </w:rPr>
        <w:t xml:space="preserve"> who are focused on expanding Instacart Marketplace’s features, developing solutions to address retailers’ needs through our Instacart Enterprise Platform, and increasing the value Instacart Ads can provide to advertisers and retailers. They are also focused on maximizing synergies across each of our technology solutions and ensuring all the insights and learnings from Instacart Marketplace enhance Instacart Enterprise Platform and Instacart Ads, and vice versa.</w:t>
      </w:r>
    </w:p>
    <w:p>
      <w:pPr>
        <w:spacing w:after="0" w:line="191"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Enabling a digital grocery experience is highly complex. Our machine learning algorithms process billions of data points each day to optimize a range of decisions and tasks, including basket building, merchandising, personalization, ads quality, demand forecasting, order fulfillment, shopper fleet mobilization, dispatching, routing, fraud costs, and appeasements per order. Furthermore, we have designed our technology infrastructure to scale in real time to accommodate demand spikes. We work with multiple third parties that provide cloud hosting services that allow us to quickly and efficiently scale our technology.</w:t>
      </w:r>
    </w:p>
    <w:p>
      <w:pPr>
        <w:spacing w:after="0" w:line="181" w:lineRule="exact"/>
        <w:rPr>
          <w:sz w:val="20"/>
          <w:szCs w:val="20"/>
          <w:color w:val="auto"/>
        </w:rPr>
      </w:pPr>
    </w:p>
    <w:p>
      <w:pPr>
        <w:ind w:left="460" w:right="20" w:firstLine="413"/>
        <w:spacing w:after="0" w:line="219" w:lineRule="auto"/>
        <w:rPr>
          <w:sz w:val="20"/>
          <w:szCs w:val="20"/>
          <w:color w:val="auto"/>
        </w:rPr>
      </w:pPr>
      <w:r>
        <w:rPr>
          <w:rFonts w:ascii="Arial" w:cs="Arial" w:eastAsia="Arial" w:hAnsi="Arial"/>
          <w:sz w:val="17"/>
          <w:szCs w:val="17"/>
          <w:color w:val="auto"/>
        </w:rPr>
        <w:t>We collect billions of data points across millions of orders each quarter, more than 850 million searches, nearly 100 billion Sponsored Product ads impressions, hundreds of millions of customer to shopper interactions, and over 80,000 store footprints shopped.</w:t>
      </w:r>
      <w:r>
        <w:rPr>
          <w:rFonts w:ascii="Arial" w:cs="Arial" w:eastAsia="Arial" w:hAnsi="Arial"/>
          <w:sz w:val="25"/>
          <w:szCs w:val="25"/>
          <w:color w:val="auto"/>
          <w:vertAlign w:val="superscript"/>
        </w:rPr>
        <w:t>194</w:t>
      </w:r>
      <w:r>
        <w:rPr>
          <w:rFonts w:ascii="Arial" w:cs="Arial" w:eastAsia="Arial" w:hAnsi="Arial"/>
          <w:sz w:val="17"/>
          <w:szCs w:val="17"/>
          <w:color w:val="auto"/>
        </w:rPr>
        <w:t xml:space="preserve"> Our technology and data insights drive efficiencies for retailers, customers, brands, and shoppers.</w:t>
      </w:r>
    </w:p>
    <w:p>
      <w:pPr>
        <w:spacing w:after="0" w:line="103" w:lineRule="exact"/>
        <w:rPr>
          <w:sz w:val="20"/>
          <w:szCs w:val="20"/>
          <w:color w:val="auto"/>
        </w:rPr>
      </w:pPr>
    </w:p>
    <w:p>
      <w:pPr>
        <w:ind w:left="1360" w:right="120" w:hanging="498"/>
        <w:spacing w:after="0" w:line="272" w:lineRule="auto"/>
        <w:tabs>
          <w:tab w:leader="none" w:pos="1360"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For Retailers</w:t>
      </w:r>
      <w:r>
        <w:rPr>
          <w:rFonts w:ascii="Arial" w:cs="Arial" w:eastAsia="Arial" w:hAnsi="Arial"/>
          <w:sz w:val="17"/>
          <w:szCs w:val="17"/>
          <w:color w:val="auto"/>
        </w:rPr>
        <w:t>. We have built one of the largest consumer grocery data sets in the world, which provides retailers with business insights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they previously did not have access. We maintain a catalog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72390</wp:posOffset>
            </wp:positionV>
            <wp:extent cx="7239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6" w:lineRule="exact"/>
        <w:rPr>
          <w:sz w:val="20"/>
          <w:szCs w:val="20"/>
          <w:color w:val="auto"/>
        </w:rPr>
      </w:pPr>
    </w:p>
    <w:p>
      <w:pPr>
        <w:ind w:left="860" w:hanging="403"/>
        <w:spacing w:after="0"/>
        <w:tabs>
          <w:tab w:leader="none" w:pos="860" w:val="left"/>
        </w:tabs>
        <w:numPr>
          <w:ilvl w:val="0"/>
          <w:numId w:val="230"/>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 w:lineRule="exact"/>
        <w:rPr>
          <w:rFonts w:ascii="Arial" w:cs="Arial" w:eastAsia="Arial" w:hAnsi="Arial"/>
          <w:sz w:val="10"/>
          <w:szCs w:val="10"/>
          <w:color w:val="auto"/>
        </w:rPr>
      </w:pPr>
    </w:p>
    <w:p>
      <w:pPr>
        <w:ind w:left="860" w:hanging="403"/>
        <w:spacing w:after="0"/>
        <w:tabs>
          <w:tab w:leader="none" w:pos="860" w:val="left"/>
        </w:tabs>
        <w:numPr>
          <w:ilvl w:val="0"/>
          <w:numId w:val="230"/>
        </w:numPr>
        <w:rPr>
          <w:rFonts w:ascii="Arial" w:cs="Arial" w:eastAsia="Arial" w:hAnsi="Arial"/>
          <w:sz w:val="10"/>
          <w:szCs w:val="10"/>
          <w:color w:val="auto"/>
        </w:rPr>
      </w:pPr>
      <w:r>
        <w:rPr>
          <w:rFonts w:ascii="Arial" w:cs="Arial" w:eastAsia="Arial" w:hAnsi="Arial"/>
          <w:sz w:val="13"/>
          <w:szCs w:val="13"/>
          <w:color w:val="auto"/>
        </w:rPr>
        <w:t>For the quarter ended June 30, 2023. Number of stores as of June 30, 2023.</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226</w:t>
      </w:r>
    </w:p>
    <w:p>
      <w:pPr>
        <w:sectPr>
          <w:pgSz w:w="11900" w:h="16838" w:orient="portrait"/>
          <w:cols w:equalWidth="0" w:num="1">
            <w:col w:w="10760"/>
          </w:cols>
          <w:pgMar w:left="320" w:top="440" w:right="81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80" w:right="400"/>
        <w:spacing w:after="0" w:line="238" w:lineRule="auto"/>
        <w:rPr>
          <w:sz w:val="20"/>
          <w:szCs w:val="20"/>
          <w:color w:val="auto"/>
        </w:rPr>
      </w:pPr>
      <w:r>
        <w:rPr>
          <w:rFonts w:ascii="Arial" w:cs="Arial" w:eastAsia="Arial" w:hAnsi="Arial"/>
          <w:sz w:val="16"/>
          <w:szCs w:val="16"/>
          <w:color w:val="auto"/>
        </w:rPr>
        <w:t>over 1.4 billion items, the large majority of which Instacart’s machine learning algorithms predict availability for every two hours,</w:t>
      </w:r>
      <w:r>
        <w:rPr>
          <w:rFonts w:ascii="Arial" w:cs="Arial" w:eastAsia="Arial" w:hAnsi="Arial"/>
          <w:sz w:val="24"/>
          <w:szCs w:val="24"/>
          <w:color w:val="auto"/>
          <w:vertAlign w:val="superscript"/>
        </w:rPr>
        <w:t>195</w:t>
      </w:r>
      <w:r>
        <w:rPr>
          <w:rFonts w:ascii="Arial" w:cs="Arial" w:eastAsia="Arial" w:hAnsi="Arial"/>
          <w:sz w:val="16"/>
          <w:szCs w:val="16"/>
          <w:color w:val="auto"/>
        </w:rPr>
        <w:t xml:space="preserve"> arming retailers with the data they need to better manage their inventory. Understanding order patterns also enables us to deliver personalized shopping experiences, optimize supply for rapid order fulfillment, and empower retailers to make better decisions about assortment, inventory, quantity, and replenishment at both a regional and store level.</w:t>
      </w:r>
    </w:p>
    <w:p>
      <w:pPr>
        <w:spacing w:after="0" w:line="103" w:lineRule="exact"/>
        <w:rPr>
          <w:sz w:val="20"/>
          <w:szCs w:val="20"/>
          <w:color w:val="auto"/>
        </w:rPr>
      </w:pPr>
    </w:p>
    <w:p>
      <w:pPr>
        <w:ind w:left="1360" w:right="140" w:hanging="498"/>
        <w:spacing w:after="0" w:line="296" w:lineRule="auto"/>
        <w:tabs>
          <w:tab w:leader="none" w:pos="1360" w:val="left"/>
        </w:tabs>
        <w:numPr>
          <w:ilvl w:val="0"/>
          <w:numId w:val="231"/>
        </w:numPr>
        <w:rPr>
          <w:rFonts w:ascii="Arial" w:cs="Arial" w:eastAsia="Arial" w:hAnsi="Arial"/>
          <w:sz w:val="15"/>
          <w:szCs w:val="15"/>
          <w:color w:val="auto"/>
        </w:rPr>
      </w:pPr>
      <w:r>
        <w:rPr>
          <w:rFonts w:ascii="Arial" w:cs="Arial" w:eastAsia="Arial" w:hAnsi="Arial"/>
          <w:sz w:val="15"/>
          <w:szCs w:val="15"/>
          <w:i w:val="1"/>
          <w:iCs w:val="1"/>
          <w:color w:val="auto"/>
        </w:rPr>
        <w:t>For Customers</w:t>
      </w:r>
      <w:r>
        <w:rPr>
          <w:rFonts w:ascii="Arial" w:cs="Arial" w:eastAsia="Arial" w:hAnsi="Arial"/>
          <w:sz w:val="15"/>
          <w:szCs w:val="15"/>
          <w:color w:val="auto"/>
        </w:rPr>
        <w:t>. We use algorithms to optimize for the best possible order experience across key metrics, like service availability, speed</w:t>
      </w:r>
      <w:r>
        <w:rPr>
          <w:rFonts w:ascii="Arial" w:cs="Arial" w:eastAsia="Arial" w:hAnsi="Arial"/>
          <w:sz w:val="15"/>
          <w:szCs w:val="15"/>
          <w:i w:val="1"/>
          <w:iCs w:val="1"/>
          <w:color w:val="auto"/>
        </w:rPr>
        <w:t xml:space="preserve"> </w:t>
      </w:r>
      <w:r>
        <w:rPr>
          <w:rFonts w:ascii="Arial" w:cs="Arial" w:eastAsia="Arial" w:hAnsi="Arial"/>
          <w:sz w:val="15"/>
          <w:szCs w:val="15"/>
          <w:color w:val="auto"/>
        </w:rPr>
        <w:t>(shopper and store placement) and quality (precise item identification and best replacement). We also use data-driven personalization to improve our recommendations. More than 70% of customers purchased recommended items in the second quarter of 2023. Additionally, we recently launched Ask Instacart, which brings generative AI into our app. As large language models become more powerful in natural language understanding, we believe Ask Instacart can become a thought partner with customers as they plan their shopping.</w:t>
      </w:r>
    </w:p>
    <w:p>
      <w:pPr>
        <w:spacing w:after="0" w:line="63" w:lineRule="exact"/>
        <w:rPr>
          <w:rFonts w:ascii="Arial" w:cs="Arial" w:eastAsia="Arial" w:hAnsi="Arial"/>
          <w:sz w:val="15"/>
          <w:szCs w:val="15"/>
          <w:color w:val="auto"/>
        </w:rPr>
      </w:pPr>
    </w:p>
    <w:p>
      <w:pPr>
        <w:ind w:left="1360" w:right="20" w:hanging="498"/>
        <w:spacing w:after="0" w:line="256" w:lineRule="auto"/>
        <w:tabs>
          <w:tab w:leader="none" w:pos="1360"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t>For Brands</w:t>
      </w:r>
      <w:r>
        <w:rPr>
          <w:rFonts w:ascii="Arial" w:cs="Arial" w:eastAsia="Arial" w:hAnsi="Arial"/>
          <w:sz w:val="17"/>
          <w:szCs w:val="17"/>
          <w:color w:val="auto"/>
        </w:rPr>
        <w:t>. We offer advertisers a unique ability to promote items to high intent customers. Because we understand customers’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and aggregate purchasing habits, we can help them discover products based on the items they are looking for and those that complement the items they buy. We leverage this data to power our optimized bidding algorithms that automate bidding decisions on advertisers’ behalf to efficiently deploy advertising budgets to drive higher ROI.</w:t>
      </w:r>
    </w:p>
    <w:p>
      <w:pPr>
        <w:spacing w:after="0" w:line="90" w:lineRule="exact"/>
        <w:rPr>
          <w:rFonts w:ascii="Arial" w:cs="Arial" w:eastAsia="Arial" w:hAnsi="Arial"/>
          <w:sz w:val="17"/>
          <w:szCs w:val="17"/>
          <w:color w:val="auto"/>
        </w:rPr>
      </w:pPr>
    </w:p>
    <w:p>
      <w:pPr>
        <w:ind w:left="1360" w:right="20" w:hanging="498"/>
        <w:spacing w:after="0" w:line="260" w:lineRule="auto"/>
        <w:tabs>
          <w:tab w:leader="none" w:pos="1360"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t>For Shoppers</w:t>
      </w:r>
      <w:r>
        <w:rPr>
          <w:rFonts w:ascii="Arial" w:cs="Arial" w:eastAsia="Arial" w:hAnsi="Arial"/>
          <w:sz w:val="17"/>
          <w:szCs w:val="17"/>
          <w:color w:val="auto"/>
        </w:rPr>
        <w:t>. We support shoppers by building an experience that allows them to optimize for efficiency and earnings potential.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built picking technology into the shopper app to help shoppers navigate through stores more quickly, reducing the average picking time per order by 35% since 2021.</w:t>
      </w:r>
    </w:p>
    <w:p>
      <w:pPr>
        <w:spacing w:after="0" w:line="175"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These data-driven capabilities that drive value for our constituents have also benefited our business by increasing average order values and customer acquisition and engagement, as well as generating cost efficiencies that help us to scale our unit economics and generate strong gross profit expansion over time.</w:t>
      </w: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Sales and Marketing</w:t>
      </w:r>
    </w:p>
    <w:p>
      <w:pPr>
        <w:spacing w:after="0" w:line="214" w:lineRule="exact"/>
        <w:rPr>
          <w:sz w:val="20"/>
          <w:szCs w:val="20"/>
          <w:color w:val="auto"/>
        </w:rPr>
      </w:pPr>
    </w:p>
    <w:p>
      <w:pPr>
        <w:ind w:left="460" w:right="400" w:firstLine="413"/>
        <w:spacing w:after="0" w:line="272" w:lineRule="auto"/>
        <w:rPr>
          <w:sz w:val="20"/>
          <w:szCs w:val="20"/>
          <w:color w:val="auto"/>
        </w:rPr>
      </w:pPr>
      <w:r>
        <w:rPr>
          <w:rFonts w:ascii="Arial" w:cs="Arial" w:eastAsia="Arial" w:hAnsi="Arial"/>
          <w:sz w:val="17"/>
          <w:szCs w:val="17"/>
          <w:color w:val="auto"/>
        </w:rPr>
        <w:t>While our brand and leading market position enable us to benefit from organic, word-of-mouth growth, we use sales and marketing to attract customers, retailers, brands, and shoppers and grow the pie for all of our constituents.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Consumer Marketing</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We have built an efficient sales and marketing engine to support our organic motion and drive growth. As we have continued to grow, we have developed a broader set of marketing strategies to attract customers to, and increase their engagement with, Instacart. We run digital marketing campaigns across search engines, social media platforms, and programmatic advertising outlets. We have a CRM platform that allows us to coordinate and manage our email campaigns, push notifications, and in-app messaging. We run referral coupons and bonuses to incentivize customers to invite their family, friends, and connections to join Instacart. We also offer promotions or incentives to prospective customers, using targeted offers to increase adoption and engagement. Finally, we are experimenting with an even broader set of marketing channels and tactics, including television, streaming audio, direct mail, billboards, and in-store marketing.</w:t>
      </w:r>
    </w:p>
    <w:p>
      <w:pPr>
        <w:spacing w:after="0" w:line="172" w:lineRule="exact"/>
        <w:rPr>
          <w:sz w:val="20"/>
          <w:szCs w:val="20"/>
          <w:color w:val="auto"/>
        </w:rPr>
      </w:pPr>
    </w:p>
    <w:p>
      <w:pPr>
        <w:ind w:left="460" w:right="400" w:firstLine="413"/>
        <w:spacing w:after="0" w:line="301" w:lineRule="auto"/>
        <w:rPr>
          <w:sz w:val="20"/>
          <w:szCs w:val="20"/>
          <w:color w:val="auto"/>
        </w:rPr>
      </w:pPr>
      <w:r>
        <w:rPr>
          <w:rFonts w:ascii="Arial" w:cs="Arial" w:eastAsia="Arial" w:hAnsi="Arial"/>
          <w:sz w:val="15"/>
          <w:szCs w:val="15"/>
          <w:color w:val="auto"/>
        </w:rPr>
        <w:t>Our marketing efforts drive sales for our retail and brand partners. We also collaborate to run co-marketing initiatives with retailers and CPG brands to attract new customers. As an extension of their existing offline businesses, we give retailers the opportunity to participate in promotional efforts to drive customers to sign up for Instacart and shop their owned and operated online storefront. We are building out business-to-business marketing capabilities to support partnerships and sales to both retailers and brands, including events, content, sales enablement, and CRM.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61595</wp:posOffset>
            </wp:positionV>
            <wp:extent cx="7239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09" w:lineRule="exact"/>
        <w:rPr>
          <w:sz w:val="20"/>
          <w:szCs w:val="20"/>
          <w:color w:val="auto"/>
        </w:rPr>
      </w:pPr>
    </w:p>
    <w:p>
      <w:pPr>
        <w:ind w:left="860" w:hanging="403"/>
        <w:spacing w:after="0"/>
        <w:tabs>
          <w:tab w:leader="none" w:pos="860" w:val="left"/>
        </w:tabs>
        <w:numPr>
          <w:ilvl w:val="0"/>
          <w:numId w:val="232"/>
        </w:numPr>
        <w:rPr>
          <w:rFonts w:ascii="Arial" w:cs="Arial" w:eastAsia="Arial" w:hAnsi="Arial"/>
          <w:sz w:val="10"/>
          <w:szCs w:val="10"/>
          <w:color w:val="auto"/>
        </w:rPr>
      </w:pPr>
      <w:r>
        <w:rPr>
          <w:rFonts w:ascii="Arial" w:cs="Arial" w:eastAsia="Arial" w:hAnsi="Arial"/>
          <w:sz w:val="13"/>
          <w:szCs w:val="13"/>
          <w:color w:val="auto"/>
        </w:rPr>
        <w:t>As of June 30, 2023.</w:t>
      </w:r>
    </w:p>
    <w:p>
      <w:pPr>
        <w:spacing w:after="0" w:line="13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0780"/>
          </w:cols>
          <w:pgMar w:left="320" w:top="440" w:right="79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0" w:firstLine="413"/>
        <w:spacing w:after="0" w:line="256" w:lineRule="auto"/>
        <w:rPr>
          <w:sz w:val="20"/>
          <w:szCs w:val="20"/>
          <w:color w:val="auto"/>
        </w:rPr>
      </w:pPr>
      <w:r>
        <w:rPr>
          <w:rFonts w:ascii="Arial" w:cs="Arial" w:eastAsia="Arial" w:hAnsi="Arial"/>
          <w:sz w:val="17"/>
          <w:szCs w:val="17"/>
          <w:color w:val="auto"/>
        </w:rPr>
        <w:t>To date, we have not meaningfully invested in brand marketing, and the majority of customers have come to Instacart through organic channels. We believe we have a significant opportunity to build awareness to fuel new customer acquisition, and we plan to prudently invest in brand marketing and other awareness campaigns in the future. See the section titled “Management’s Discussion and Analysis of Financial Condition and Results of Operations—Core Principals of Our Financial Model—Re-Invest for Growth.”</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Retail Partnerships</w:t>
      </w:r>
    </w:p>
    <w:p>
      <w:pPr>
        <w:spacing w:after="0" w:line="10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We maintain a dedicated account management team that identifies and onboards new retailers and broadens adoption of our offerings. Our account management team ensures retailers are as supported by and successful on Instacart as possible. They work hand-in-hand with counterparts inside retailers’ organizations ranging from product to marketing to operations teams to ensure we are delivering the value we promise. For our larger accounts, our onboarding process and initial integrations are bespoke, which helps us best serve those retailers’ specific needs. For all other accounts, we offer an efficient onboarding process onto Instacart Marketplace or Instacart Enterprise Platform that allows them to access customers quickly.</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Brand Partnerships</w:t>
      </w:r>
    </w:p>
    <w:p>
      <w:pPr>
        <w:spacing w:after="0" w:line="108" w:lineRule="exact"/>
        <w:rPr>
          <w:sz w:val="20"/>
          <w:szCs w:val="20"/>
          <w:color w:val="auto"/>
        </w:rPr>
      </w:pPr>
    </w:p>
    <w:p>
      <w:pPr>
        <w:jc w:val="both"/>
        <w:ind w:left="460" w:right="400" w:firstLine="413"/>
        <w:spacing w:after="0" w:line="260" w:lineRule="auto"/>
        <w:rPr>
          <w:sz w:val="20"/>
          <w:szCs w:val="20"/>
          <w:color w:val="auto"/>
        </w:rPr>
      </w:pPr>
      <w:r>
        <w:rPr>
          <w:rFonts w:ascii="Arial" w:cs="Arial" w:eastAsia="Arial" w:hAnsi="Arial"/>
          <w:sz w:val="17"/>
          <w:szCs w:val="17"/>
          <w:color w:val="auto"/>
        </w:rPr>
        <w:t>We maintain a dedicated sales team that identifies and onboards new advertisers. An increasing portion of new advertisers are onboarded and managed through an automated self-service solution, which allows advertisers to sign up, set up a campaign built to meet specific targets set by the advertiser, manage marketing spend, and achieve incremental sales all in the same day.</w:t>
      </w:r>
    </w:p>
    <w:p>
      <w:pPr>
        <w:spacing w:after="0" w:line="175"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Our sales team works closely with our account management team to ensure that advertisers understand how our ads offerings work, receive actionable performance trends, and make adjustments to enhance the value they derive from Instacart.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Shopper Marketing</w:t>
      </w:r>
    </w:p>
    <w:p>
      <w:pPr>
        <w:spacing w:after="0" w:line="108" w:lineRule="exact"/>
        <w:rPr>
          <w:sz w:val="20"/>
          <w:szCs w:val="20"/>
          <w:color w:val="auto"/>
        </w:rPr>
      </w:pPr>
    </w:p>
    <w:p>
      <w:pPr>
        <w:ind w:left="460" w:right="360" w:firstLine="413"/>
        <w:spacing w:after="0" w:line="301" w:lineRule="auto"/>
        <w:rPr>
          <w:sz w:val="20"/>
          <w:szCs w:val="20"/>
          <w:color w:val="auto"/>
        </w:rPr>
      </w:pPr>
      <w:r>
        <w:rPr>
          <w:rFonts w:ascii="Arial" w:cs="Arial" w:eastAsia="Arial" w:hAnsi="Arial"/>
          <w:sz w:val="15"/>
          <w:szCs w:val="15"/>
          <w:color w:val="auto"/>
        </w:rPr>
        <w:t>We maintain a dedicated shopper marketing team that attracts new shoppers as well as retains and engages our existing shopper base by using referral coupons, promotional campaigns, and evergreen engagement programs. Referral coupons are given to encourage shoppers to recommend Instacart to their connections. Promotional campaigns use shopper incentives to drive shopper activation and engagement. Evergreen engagement programs include our onboarding series, focus groups, and shopper commitment initiatives, among others.</w:t>
      </w:r>
    </w:p>
    <w:p>
      <w:pPr>
        <w:spacing w:after="0" w:line="34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Competition</w:t>
      </w:r>
    </w:p>
    <w:p>
      <w:pPr>
        <w:spacing w:after="0" w:line="214"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The markets in which we operate are highly competitive. We compete for retailers, customers, brands, and shoppers across each offering of our end-to-end technology suite based on a number of factors:</w:t>
      </w:r>
    </w:p>
    <w:p>
      <w:pPr>
        <w:spacing w:after="0" w:line="76" w:lineRule="exact"/>
        <w:rPr>
          <w:sz w:val="20"/>
          <w:szCs w:val="20"/>
          <w:color w:val="auto"/>
        </w:rPr>
      </w:pPr>
    </w:p>
    <w:p>
      <w:pPr>
        <w:ind w:left="1360" w:right="60" w:hanging="498"/>
        <w:spacing w:after="0" w:line="260" w:lineRule="auto"/>
        <w:tabs>
          <w:tab w:leader="none" w:pos="1360" w:val="left"/>
        </w:tabs>
        <w:numPr>
          <w:ilvl w:val="0"/>
          <w:numId w:val="233"/>
        </w:numPr>
        <w:rPr>
          <w:rFonts w:ascii="Arial" w:cs="Arial" w:eastAsia="Arial" w:hAnsi="Arial"/>
          <w:sz w:val="17"/>
          <w:szCs w:val="17"/>
          <w:color w:val="auto"/>
        </w:rPr>
      </w:pPr>
      <w:r>
        <w:rPr>
          <w:rFonts w:ascii="Arial" w:cs="Arial" w:eastAsia="Arial" w:hAnsi="Arial"/>
          <w:sz w:val="17"/>
          <w:szCs w:val="17"/>
          <w:b w:val="1"/>
          <w:bCs w:val="1"/>
          <w:i w:val="1"/>
          <w:iCs w:val="1"/>
          <w:color w:val="auto"/>
        </w:rPr>
        <w:t>Retailers</w:t>
      </w:r>
      <w:r>
        <w:rPr>
          <w:rFonts w:ascii="Arial" w:cs="Arial" w:eastAsia="Arial" w:hAnsi="Arial"/>
          <w:sz w:val="17"/>
          <w:szCs w:val="17"/>
          <w:color w:val="auto"/>
        </w:rPr>
        <w:t>. We compete for retailers based on factors such as the quality of our technology including performance, flexibility, ease of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scalability, and reliability, pricing, breadth of fulfillment capabilities, quality of support, and other professional services and ability to meet their needs in a cost-efficient manner.</w:t>
      </w:r>
    </w:p>
    <w:p>
      <w:pPr>
        <w:spacing w:after="0" w:line="86" w:lineRule="exact"/>
        <w:rPr>
          <w:rFonts w:ascii="Arial" w:cs="Arial" w:eastAsia="Arial" w:hAnsi="Arial"/>
          <w:sz w:val="17"/>
          <w:szCs w:val="17"/>
          <w:color w:val="auto"/>
        </w:rPr>
      </w:pPr>
    </w:p>
    <w:p>
      <w:pPr>
        <w:ind w:left="1360" w:right="720" w:hanging="498"/>
        <w:spacing w:after="0" w:line="272" w:lineRule="auto"/>
        <w:tabs>
          <w:tab w:leader="none" w:pos="1360" w:val="left"/>
        </w:tabs>
        <w:numPr>
          <w:ilvl w:val="0"/>
          <w:numId w:val="233"/>
        </w:numPr>
        <w:rPr>
          <w:rFonts w:ascii="Arial" w:cs="Arial" w:eastAsia="Arial" w:hAnsi="Arial"/>
          <w:sz w:val="17"/>
          <w:szCs w:val="17"/>
          <w:color w:val="auto"/>
        </w:rPr>
      </w:pPr>
      <w:r>
        <w:rPr>
          <w:rFonts w:ascii="Arial" w:cs="Arial" w:eastAsia="Arial" w:hAnsi="Arial"/>
          <w:sz w:val="17"/>
          <w:szCs w:val="17"/>
          <w:b w:val="1"/>
          <w:bCs w:val="1"/>
          <w:i w:val="1"/>
          <w:iCs w:val="1"/>
          <w:color w:val="auto"/>
        </w:rPr>
        <w:t>Customers</w:t>
      </w:r>
      <w:r>
        <w:rPr>
          <w:rFonts w:ascii="Arial" w:cs="Arial" w:eastAsia="Arial" w:hAnsi="Arial"/>
          <w:sz w:val="17"/>
          <w:szCs w:val="17"/>
          <w:color w:val="auto"/>
        </w:rPr>
        <w:t>. We compete for customers based on factors such as the quality of consumer experience, selection, quality, value,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convenience.</w:t>
      </w:r>
    </w:p>
    <w:p>
      <w:pPr>
        <w:spacing w:after="0" w:line="190"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233"/>
        </w:numPr>
        <w:rPr>
          <w:rFonts w:ascii="Arial" w:cs="Arial" w:eastAsia="Arial" w:hAnsi="Arial"/>
          <w:sz w:val="17"/>
          <w:szCs w:val="17"/>
          <w:color w:val="auto"/>
        </w:rPr>
      </w:pPr>
      <w:r>
        <w:rPr>
          <w:rFonts w:ascii="Arial" w:cs="Arial" w:eastAsia="Arial" w:hAnsi="Arial"/>
          <w:sz w:val="17"/>
          <w:szCs w:val="17"/>
          <w:b w:val="1"/>
          <w:bCs w:val="1"/>
          <w:i w:val="1"/>
          <w:iCs w:val="1"/>
          <w:color w:val="auto"/>
        </w:rPr>
        <w:t>Brands</w:t>
      </w:r>
      <w:r>
        <w:rPr>
          <w:rFonts w:ascii="Arial" w:cs="Arial" w:eastAsia="Arial" w:hAnsi="Arial"/>
          <w:sz w:val="17"/>
          <w:szCs w:val="17"/>
          <w:color w:val="auto"/>
        </w:rPr>
        <w:t>. We compete for brands based on factors such as the breadth of our offerings, technology capabilities, ease of use, strength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analytics, and pricing.</w:t>
      </w:r>
    </w:p>
    <w:p>
      <w:pPr>
        <w:spacing w:after="0" w:line="76" w:lineRule="exact"/>
        <w:rPr>
          <w:rFonts w:ascii="Arial" w:cs="Arial" w:eastAsia="Arial" w:hAnsi="Arial"/>
          <w:sz w:val="17"/>
          <w:szCs w:val="17"/>
          <w:color w:val="auto"/>
        </w:rPr>
      </w:pPr>
    </w:p>
    <w:p>
      <w:pPr>
        <w:ind w:left="5500" w:right="200" w:hanging="4638"/>
        <w:spacing w:after="0" w:line="443" w:lineRule="auto"/>
        <w:tabs>
          <w:tab w:leader="none" w:pos="1372" w:val="left"/>
        </w:tabs>
        <w:numPr>
          <w:ilvl w:val="0"/>
          <w:numId w:val="233"/>
        </w:numPr>
        <w:rPr>
          <w:rFonts w:ascii="Arial" w:cs="Arial" w:eastAsia="Arial" w:hAnsi="Arial"/>
          <w:sz w:val="17"/>
          <w:szCs w:val="17"/>
          <w:color w:val="auto"/>
        </w:rPr>
      </w:pPr>
      <w:r>
        <w:rPr>
          <w:rFonts w:ascii="Arial" w:cs="Arial" w:eastAsia="Arial" w:hAnsi="Arial"/>
          <w:sz w:val="17"/>
          <w:szCs w:val="17"/>
          <w:b w:val="1"/>
          <w:bCs w:val="1"/>
          <w:i w:val="1"/>
          <w:iCs w:val="1"/>
          <w:color w:val="auto"/>
        </w:rPr>
        <w:t>Shoppers</w:t>
      </w:r>
      <w:r>
        <w:rPr>
          <w:rFonts w:ascii="Arial" w:cs="Arial" w:eastAsia="Arial" w:hAnsi="Arial"/>
          <w:sz w:val="17"/>
          <w:szCs w:val="17"/>
          <w:color w:val="auto"/>
        </w:rPr>
        <w:t>. We compete for shoppers based on factors such as flexibility, earnings potential, safety and overall experience, and our brand.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228</w:t>
      </w:r>
    </w:p>
    <w:p>
      <w:pPr>
        <w:sectPr>
          <w:pgSz w:w="11900" w:h="16838" w:orient="portrait"/>
          <w:cols w:equalWidth="0" w:num="1">
            <w:col w:w="10800"/>
          </w:cols>
          <w:pgMar w:left="320" w:top="440" w:right="77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40" w:firstLine="413"/>
        <w:spacing w:after="0" w:line="340" w:lineRule="auto"/>
        <w:rPr>
          <w:sz w:val="20"/>
          <w:szCs w:val="20"/>
          <w:color w:val="auto"/>
        </w:rPr>
      </w:pPr>
      <w:r>
        <w:rPr>
          <w:rFonts w:ascii="Arial" w:cs="Arial" w:eastAsia="Arial" w:hAnsi="Arial"/>
          <w:sz w:val="15"/>
          <w:szCs w:val="15"/>
          <w:color w:val="auto"/>
        </w:rPr>
        <w:t>New services and offerings from competitors, trends in consumer shopping behavior, the continuing effects of the COVID-19 pandemic and its variants, macroeconomic factors, and other conditions, events, trends, or circumstances also impact our ability to compete for each of our constituents.</w:t>
      </w:r>
    </w:p>
    <w:p>
      <w:pPr>
        <w:spacing w:after="0" w:line="119" w:lineRule="exact"/>
        <w:rPr>
          <w:sz w:val="20"/>
          <w:szCs w:val="20"/>
          <w:color w:val="auto"/>
        </w:rPr>
      </w:pPr>
    </w:p>
    <w:p>
      <w:pPr>
        <w:ind w:left="460" w:right="120" w:firstLine="413"/>
        <w:spacing w:after="0" w:line="284" w:lineRule="auto"/>
        <w:rPr>
          <w:sz w:val="20"/>
          <w:szCs w:val="20"/>
          <w:color w:val="auto"/>
        </w:rPr>
      </w:pPr>
      <w:r>
        <w:rPr>
          <w:rFonts w:ascii="Arial" w:cs="Arial" w:eastAsia="Arial" w:hAnsi="Arial"/>
          <w:sz w:val="15"/>
          <w:szCs w:val="15"/>
          <w:color w:val="auto"/>
        </w:rPr>
        <w:t>With respect to Instacart Marketplace, our current and potential competitors include: (i) existing and well-established online grocery or shopping alternatives, including digital-first platforms, such as Amazon and Thrive Market, (ii) brick-and-mortar retailers that have their own digital offering, such as Target and Walmart, some of which decide to partner with Instacart to complement their own offerings, (iii) companies that provide fulfillment services for third parties, including retailers, whether online or offline, such as DoorDash, Shipt (acquired by Target), and Uber Eats, (iv) digital-first platforms entering the grocery market by owning inventory, including DashMart (owned by DoorDash), Fresh Direct, Getir, and Gopuff, which may include existing retailers on Instacart, which could eventually eliminate their need to partner with us or limit their use of Instacart Marketplace,</w:t>
      </w:r>
    </w:p>
    <w:p>
      <w:pPr>
        <w:spacing w:after="0" w:line="3" w:lineRule="exact"/>
        <w:rPr>
          <w:sz w:val="20"/>
          <w:szCs w:val="20"/>
          <w:color w:val="auto"/>
        </w:rPr>
      </w:pPr>
    </w:p>
    <w:p>
      <w:pPr>
        <w:ind w:left="460" w:right="20" w:hanging="3"/>
        <w:spacing w:after="0" w:line="250" w:lineRule="auto"/>
        <w:tabs>
          <w:tab w:leader="none" w:pos="69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companies that provide fulfillment services that focus on discrete categories of products, such as alcohol or prescription delivery, including Drizly (acquired by Uber), and (vi) companies that offer direct to consumer ingredient or meal offerings, such as Blue Apron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delivery platform.</w:t>
      </w:r>
    </w:p>
    <w:p>
      <w:pPr>
        <w:spacing w:after="0" w:line="185" w:lineRule="exact"/>
        <w:rPr>
          <w:sz w:val="20"/>
          <w:szCs w:val="20"/>
          <w:color w:val="auto"/>
        </w:rPr>
      </w:pPr>
    </w:p>
    <w:p>
      <w:pPr>
        <w:ind w:left="460" w:right="40" w:firstLine="413"/>
        <w:spacing w:after="0" w:line="268" w:lineRule="auto"/>
        <w:rPr>
          <w:sz w:val="20"/>
          <w:szCs w:val="20"/>
          <w:color w:val="auto"/>
        </w:rPr>
      </w:pPr>
      <w:r>
        <w:rPr>
          <w:rFonts w:ascii="Arial" w:cs="Arial" w:eastAsia="Arial" w:hAnsi="Arial"/>
          <w:sz w:val="16"/>
          <w:szCs w:val="16"/>
          <w:color w:val="auto"/>
        </w:rPr>
        <w:t>With respect to Instacart Enterprise Platform, our current and potential competitors include: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online storefronts,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Scan &amp; Pay, Lists, Carrot Tags and other in-store applications, which face competition from other retailer technology solution providers, such as Veeve.</w:t>
      </w:r>
    </w:p>
    <w:p>
      <w:pPr>
        <w:spacing w:after="0" w:line="174"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With respect to Instacart Ads, our current and potential competitors include: (i) third-party platforms that assist retailers with monetization of their digital offerings for consumers, such as CitrusAd (acquired by Publicis Groupe), Criteo, and Quotient, (ii) first-party retailer-owned solutions that provide online advertising opportunities to CPG brands on their owned and operated domains, such as Amazon, Target, Walmart, and others, some of which are also retailers on Instacart, (iii) companies that provide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spacing w:after="0" w:line="167"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With respect to shoppers, we compete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 Other factors that impact our ability to compete include macroeconomic trends and the ongoing COVID-19 pandemic, shopper perks and payment structure (especially versus competitors), shopper safety and experience, and our brand.</w:t>
      </w:r>
    </w:p>
    <w:p>
      <w:pPr>
        <w:spacing w:after="0" w:line="9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229</w:t>
      </w:r>
    </w:p>
    <w:p>
      <w:pPr>
        <w:sectPr>
          <w:pgSz w:w="11900" w:h="16838" w:orient="portrait"/>
          <w:cols w:equalWidth="0" w:num="1">
            <w:col w:w="10760"/>
          </w:cols>
          <w:pgMar w:left="320" w:top="440" w:right="81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For additional information about the risks to our business related to competition, see the section titled “Risk Factors—Risks Related to Our Business and Industry—The markets in which we participate are highly competitive, with well-capitalized and better-known competitors, some of which are also partners. If we are unable to compete effectively, our business and financial prospects would be adversely impacted.”</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Government Regulation</w:t>
      </w:r>
    </w:p>
    <w:p>
      <w:pPr>
        <w:spacing w:after="0" w:line="214" w:lineRule="exact"/>
        <w:rPr>
          <w:sz w:val="20"/>
          <w:szCs w:val="20"/>
          <w:color w:val="auto"/>
        </w:rPr>
      </w:pPr>
    </w:p>
    <w:p>
      <w:pPr>
        <w:ind w:left="460" w:right="200" w:firstLine="413"/>
        <w:spacing w:after="0" w:line="274" w:lineRule="auto"/>
        <w:rPr>
          <w:sz w:val="20"/>
          <w:szCs w:val="20"/>
          <w:color w:val="auto"/>
        </w:rPr>
      </w:pPr>
      <w:r>
        <w:rPr>
          <w:rFonts w:ascii="Arial" w:cs="Arial" w:eastAsia="Arial" w:hAnsi="Arial"/>
          <w:sz w:val="16"/>
          <w:szCs w:val="16"/>
          <w:color w:val="auto"/>
        </w:rPr>
        <w:t>We are subject to a wide variety of complex laws and regulations in the United States and other jurisdictions in which we operate. The laws and regulations govern many issues related to our business practices, including those regarding privacy, data security, data protection, pay and fee transparency, health information privacy and security, consumer protection, marketing and advertising, health and safety, food and product safety, zoning, sustainability, tax, insurance, employment, weights and measures, alcohol and other age-restricted products, worker classification, collective bargaining rights, internet usage and access, eCommerce, and electronic payments.</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As we operate in a relatively new industry where clear guidance is not available for the interpretation and application of existing laws and regulations, 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fulfillment models, or offerings into existing markets, regulatory bodies or courts may claim that we or shoppers on Instacart are subject to additional requirements, or that we are prohibited from conducting business in certain jurisdictions.</w:t>
      </w:r>
    </w:p>
    <w:p>
      <w:pPr>
        <w:spacing w:after="0" w:line="167"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color w:val="auto"/>
        </w:rPr>
        <w:t>Because we classify shoppers as independent contractors in the jurisdictions in which we operate, we are subject to a variety of local, municipal, state, federal, and international laws and regulations governing worker classification, compensation, pay and fee transparency, and payment and benefits rules. Additionally, we are continually subject to administrative actions, government investigations, and other legal and regulatory proceedings at the federal, state, and municipal levels challenging the classification of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spacing w:after="0" w:line="184"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Our technology, and the user data from retailers, customers, brands, and shoppers that we collect and process to run our business, are an integral part of our business model and, as a result, our compliance with laws and regulations dealing with the collection, use, disclosure, and other processing of personal information is core to our strategy to improve our technology and user experience. Regulators and legislatures around the world have adopted or proposed increasingly stringent requirements regarding the collection, use, disclosure, transfer, security, storage, destruction, and other processing of personal information and other data. Regulators and private litigants are more actively enforcing these requirements, and violating them carries substantial penalties. Examples of such laws include the Telephone Consumer Protection Act of 1991 and related state laws, the Health Insurance Portability and Accountability Act of 1996, and various state privacy acts, including the California Consumer Privacy Act of 2018, the California Privacy Rights Act of 2020, and the Illinois Biometric Information Privacy Act. In addition, expanding our business to European markets would subject us to some of the world’s most stringent data protection laws, including the General Data Protection Regulation in the European Union and United Kingdom, which could limit our ability to do business in those markets.</w:t>
      </w:r>
    </w:p>
    <w:p>
      <w:pPr>
        <w:spacing w:after="0" w:line="174"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230</w:t>
      </w:r>
    </w:p>
    <w:p>
      <w:pPr>
        <w:sectPr>
          <w:pgSz w:w="11900" w:h="16838" w:orient="portrait"/>
          <w:cols w:equalWidth="0" w:num="1">
            <w:col w:w="10780"/>
          </w:cols>
          <w:pgMar w:left="320" w:top="440" w:right="79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Intellectual Property</w:t>
      </w:r>
    </w:p>
    <w:p>
      <w:pPr>
        <w:spacing w:after="0" w:line="214" w:lineRule="exact"/>
        <w:rPr>
          <w:sz w:val="20"/>
          <w:szCs w:val="20"/>
          <w:color w:val="auto"/>
        </w:rPr>
      </w:pPr>
    </w:p>
    <w:p>
      <w:pPr>
        <w:jc w:val="both"/>
        <w:ind w:left="460" w:right="180" w:firstLine="413"/>
        <w:spacing w:after="0" w:line="260" w:lineRule="auto"/>
        <w:rPr>
          <w:sz w:val="20"/>
          <w:szCs w:val="20"/>
          <w:color w:val="auto"/>
        </w:rPr>
      </w:pPr>
      <w:r>
        <w:rPr>
          <w:rFonts w:ascii="Arial" w:cs="Arial" w:eastAsia="Arial" w:hAnsi="Arial"/>
          <w:sz w:val="17"/>
          <w:szCs w:val="17"/>
          <w:color w:val="auto"/>
        </w:rPr>
        <w:t>Our intellectual property is an important component of our business. We rely on a combination of patents, trademarks, copyrights, trade secrets, license agreements, confidentiality procedures, non-disclosure agreements, employee non-disclosure and invention assignment agreements, and other legal and contractual rights to establish and protect our proprietary rights.</w:t>
      </w:r>
    </w:p>
    <w:p>
      <w:pPr>
        <w:spacing w:after="0" w:line="175" w:lineRule="exact"/>
        <w:rPr>
          <w:sz w:val="20"/>
          <w:szCs w:val="20"/>
          <w:color w:val="auto"/>
        </w:rPr>
      </w:pPr>
    </w:p>
    <w:p>
      <w:pPr>
        <w:jc w:val="both"/>
        <w:ind w:left="460" w:right="240" w:firstLine="413"/>
        <w:spacing w:after="0" w:line="311" w:lineRule="auto"/>
        <w:rPr>
          <w:sz w:val="20"/>
          <w:szCs w:val="20"/>
          <w:color w:val="auto"/>
        </w:rPr>
      </w:pPr>
      <w:r>
        <w:rPr>
          <w:rFonts w:ascii="Arial" w:cs="Arial" w:eastAsia="Arial" w:hAnsi="Arial"/>
          <w:sz w:val="15"/>
          <w:szCs w:val="15"/>
          <w:color w:val="auto"/>
        </w:rPr>
        <w:t>As of June 30, 2023, we had approximately 350 issued patents in the United States that expire between 2023 and 2043, and approximately 400 patent applications (including active Patent Cooperation Treaty applications) pending in the United States and globally. While we believe our patents and patent applications in the aggregate are important to our competitive position, no single patent or patent application is material to us as a whole.</w:t>
      </w:r>
    </w:p>
    <w:p>
      <w:pPr>
        <w:spacing w:after="0" w:line="140" w:lineRule="exact"/>
        <w:rPr>
          <w:sz w:val="20"/>
          <w:szCs w:val="20"/>
          <w:color w:val="auto"/>
        </w:rPr>
      </w:pPr>
    </w:p>
    <w:p>
      <w:pPr>
        <w:ind w:left="460" w:right="100" w:firstLine="413"/>
        <w:spacing w:after="0" w:line="277" w:lineRule="auto"/>
        <w:rPr>
          <w:sz w:val="20"/>
          <w:szCs w:val="20"/>
          <w:color w:val="auto"/>
        </w:rPr>
      </w:pPr>
      <w:r>
        <w:rPr>
          <w:rFonts w:ascii="Arial" w:cs="Arial" w:eastAsia="Arial" w:hAnsi="Arial"/>
          <w:sz w:val="16"/>
          <w:szCs w:val="16"/>
          <w:color w:val="auto"/>
        </w:rPr>
        <w:t>We have trademark rights in our name and other brand indicia, and have trademark registrations for select marks in the United States and other jurisdictions around the world. As of June 30, 2023, we also had approximately 120 copyright registrations. We also register domain names for certain websites that we use in our business, such as www.instacart.com, as well as similar variations to protect our brands and marks from cybersquatters. We continually review our development efforts to assess the existence and registrability of new intellectual property.</w:t>
      </w:r>
    </w:p>
    <w:p>
      <w:pPr>
        <w:spacing w:after="0" w:line="164"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184"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See the section titled “Risk Factors—Risks Related to Our Intellectual Property” for a more comprehensive description of risks related to our intellectual property.</w:t>
      </w:r>
    </w:p>
    <w:p>
      <w:pPr>
        <w:spacing w:after="0" w:line="36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Our Facilities</w:t>
      </w:r>
    </w:p>
    <w:p>
      <w:pPr>
        <w:spacing w:after="0" w:line="214" w:lineRule="exact"/>
        <w:rPr>
          <w:sz w:val="20"/>
          <w:szCs w:val="20"/>
          <w:color w:val="auto"/>
        </w:rPr>
      </w:pPr>
    </w:p>
    <w:p>
      <w:pPr>
        <w:ind w:left="460" w:right="80" w:firstLine="413"/>
        <w:spacing w:after="0" w:line="301" w:lineRule="auto"/>
        <w:rPr>
          <w:sz w:val="20"/>
          <w:szCs w:val="20"/>
          <w:color w:val="auto"/>
        </w:rPr>
      </w:pPr>
      <w:r>
        <w:rPr>
          <w:rFonts w:ascii="Arial" w:cs="Arial" w:eastAsia="Arial" w:hAnsi="Arial"/>
          <w:sz w:val="15"/>
          <w:szCs w:val="15"/>
          <w:color w:val="auto"/>
        </w:rPr>
        <w:t>Our corporate headquarters is located in San Francisco, California, where we lease approximately 107,000 square feet of space under a lease that expires in November 2026. We also maintain other offices in North America, including in Atlanta, Georgia, Chicago, Illinois, New York City, New York, and Toronto, Ontario, as well as offices in Shanghai, China and near Melbourne, Australia. We believe our facilities are adequate and suitable for our current needs, and that should it be needed, suitable additional or alternative space will be available to accommodate our operations.</w:t>
      </w:r>
    </w:p>
    <w:p>
      <w:pPr>
        <w:spacing w:after="0" w:line="346"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Our Human Capital Strategy</w:t>
      </w:r>
    </w:p>
    <w:p>
      <w:pPr>
        <w:spacing w:after="0" w:line="214"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color w:val="auto"/>
        </w:rPr>
        <w:t>As of June 30, 2023, we had a total of 3,486 full-time employees worldwide. We also engage contractors and consultants. We have invested substantial time and resources into building our team and believe that our employee relations are strong. Our success depends in large part on the efforts of our management, highly-skilled software engineers, sales personnel, and other professionals. Therefore, it is crucial that we continue to attract and retain valuable employees from all demographics by providing competitive compensation and benefits, fostering a diverse, inclusive, and safe workplace, and making opportunities available for all our employees to grow and develop in their careers. Our board of directors and compensation committee oversee our human capital strategy, which is developed and managed under the leadership of our Chief Human Resources Officer, who reports to our Chief Executive Officer.</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231</w:t>
      </w:r>
    </w:p>
    <w:p>
      <w:pPr>
        <w:sectPr>
          <w:pgSz w:w="11900" w:h="16838" w:orient="portrait"/>
          <w:cols w:equalWidth="0" w:num="1">
            <w:col w:w="10760"/>
          </w:cols>
          <w:pgMar w:left="320" w:top="440" w:right="819" w:bottom="1440" w:gutter="0" w:footer="0" w:header="0"/>
        </w:sectPr>
      </w:pPr>
    </w:p>
    <w:bookmarkStart w:id="241" w:name="page242"/>
    <w:bookmarkEnd w:id="2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Compensating and Supporting Our Employees</w:t>
      </w:r>
    </w:p>
    <w:p>
      <w:pPr>
        <w:spacing w:after="0" w:line="108"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b w:val="1"/>
          <w:bCs w:val="1"/>
          <w:i w:val="1"/>
          <w:iCs w:val="1"/>
          <w:color w:val="auto"/>
        </w:rPr>
        <w:t xml:space="preserve">A job is just one of the ingredients in a full life. </w:t>
      </w:r>
      <w:r>
        <w:rPr>
          <w:rFonts w:ascii="Arial" w:cs="Arial" w:eastAsia="Arial" w:hAnsi="Arial"/>
          <w:sz w:val="17"/>
          <w:szCs w:val="17"/>
          <w:color w:val="auto"/>
        </w:rPr>
        <w:t>Instacart is committed to providing fair compensation and rewarding employees who achieve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live our mission and values, and help others succeed. We also believe in supporting our employees’ personal and professional growth as well as their health and wellness.</w:t>
      </w:r>
    </w:p>
    <w:p>
      <w:pPr>
        <w:spacing w:after="0" w:line="175"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i w:val="1"/>
          <w:iCs w:val="1"/>
          <w:color w:val="auto"/>
        </w:rPr>
        <w:t>Providing Equitable and Competitive Compensation</w:t>
      </w:r>
      <w:r>
        <w:rPr>
          <w:rFonts w:ascii="Arial" w:cs="Arial" w:eastAsia="Arial" w:hAnsi="Arial"/>
          <w:sz w:val="17"/>
          <w:szCs w:val="17"/>
          <w:color w:val="auto"/>
        </w:rPr>
        <w:t>. Our philosophy is to provide our employees with market competitive and equitable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that rewards high performance. To ensure equitable compensation for our employees, we consider external market data as well as internal parity considerations for all compensation decisions. Periodically, we conduct comprehensive reviews of employee compensation to help uncover any pay differences not based on legitimate business factors and proactively rectify them. To incentivize high performance, we aim to reward eligible employees with above market pay in recognition of their contributions. We believe our compensation practices help us attract and retain talented and diverse employees in a competitive labor market.</w:t>
      </w:r>
    </w:p>
    <w:p>
      <w:pPr>
        <w:spacing w:after="0" w:line="182"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i w:val="1"/>
          <w:iCs w:val="1"/>
          <w:color w:val="auto"/>
        </w:rPr>
        <w:t>Supporting Our Employees</w:t>
      </w:r>
      <w:r>
        <w:rPr>
          <w:rFonts w:ascii="Arial" w:cs="Arial" w:eastAsia="Arial" w:hAnsi="Arial"/>
          <w:sz w:val="16"/>
          <w:szCs w:val="16"/>
          <w:color w:val="auto"/>
        </w:rPr>
        <w:t>. Our employees work hard to ensure the success of our business, and we know that hard work requires strong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why we are deeply committed to investing in resources to help our employees grow and thrive. We take a holistic approach to supporting employee well-being through providing eligible employees with competitive health and wellness benefits, retirement savings, perks, and work-life options tailored to help keep them and their families feeling their best. We are also devoted to investing in the development of our employees through learning opportunities to help them achieve their personal and professional goals.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Fostering a Diverse Workforce and Cultivating a Culture of Belonging</w:t>
      </w:r>
    </w:p>
    <w:p>
      <w:pPr>
        <w:spacing w:after="0" w:line="108" w:lineRule="exact"/>
        <w:rPr>
          <w:sz w:val="20"/>
          <w:szCs w:val="20"/>
          <w:color w:val="auto"/>
        </w:rPr>
      </w:pPr>
    </w:p>
    <w:p>
      <w:pPr>
        <w:ind w:left="460" w:right="360" w:firstLine="413"/>
        <w:spacing w:after="0" w:line="260" w:lineRule="auto"/>
        <w:rPr>
          <w:sz w:val="20"/>
          <w:szCs w:val="20"/>
          <w:color w:val="auto"/>
        </w:rPr>
      </w:pPr>
      <w:r>
        <w:rPr>
          <w:rFonts w:ascii="Arial" w:cs="Arial" w:eastAsia="Arial" w:hAnsi="Arial"/>
          <w:sz w:val="17"/>
          <w:szCs w:val="17"/>
          <w:b w:val="1"/>
          <w:bCs w:val="1"/>
          <w:i w:val="1"/>
          <w:iCs w:val="1"/>
          <w:color w:val="auto"/>
        </w:rPr>
        <w:t xml:space="preserve">Investing in diversity, equity, and belonging is part of our recipe for creating innovative and high performing teams. </w:t>
      </w:r>
      <w:r>
        <w:rPr>
          <w:rFonts w:ascii="Arial" w:cs="Arial" w:eastAsia="Arial" w:hAnsi="Arial"/>
          <w:sz w:val="17"/>
          <w:szCs w:val="17"/>
          <w:color w:val="auto"/>
        </w:rPr>
        <w:t>One of our important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capital priorities is building a diverse workforce — one that reflects the diversity of our customers and partners — at every level of our organization. We have developed a number of initiatives to achieve this objective.</w:t>
      </w:r>
    </w:p>
    <w:p>
      <w:pPr>
        <w:spacing w:after="0" w:line="175"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i w:val="1"/>
          <w:iCs w:val="1"/>
          <w:color w:val="auto"/>
        </w:rPr>
        <w:t>Increasing Representation</w:t>
      </w:r>
      <w:r>
        <w:rPr>
          <w:rFonts w:ascii="Arial" w:cs="Arial" w:eastAsia="Arial" w:hAnsi="Arial"/>
          <w:sz w:val="17"/>
          <w:szCs w:val="17"/>
          <w:color w:val="auto"/>
        </w:rPr>
        <w:t>. Our recruitment processes are intended to promote access to hiring opportunities for representative candidate slates.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with limited exceptions, we require hiring managers for all managerial roles to include at least one woman and one Black, Latinx, or Native American candidate at the onsite interview stage. We have also implemented programs to attract diverse talent, and we provide training to hiring managers and interviewers on equitable recruiting practices.</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i w:val="1"/>
          <w:iCs w:val="1"/>
          <w:color w:val="auto"/>
        </w:rPr>
        <w:t>Ensuring Equitable Access to Opportunities</w:t>
      </w:r>
      <w:r>
        <w:rPr>
          <w:rFonts w:ascii="Arial" w:cs="Arial" w:eastAsia="Arial" w:hAnsi="Arial"/>
          <w:sz w:val="17"/>
          <w:szCs w:val="17"/>
          <w:color w:val="auto"/>
        </w:rPr>
        <w:t>. We recognize that hiring representative talent is just the first step; we must also ensure that all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have equitable access to development, advancement, and internal opportunities. To help accomplish this, we support all of our managers with training and resources designed to help them provide their team members with equitable performance reviews, promotion, and, for eligible employees, internal mobility opportunities.</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i w:val="1"/>
          <w:iCs w:val="1"/>
          <w:color w:val="auto"/>
        </w:rPr>
        <w:t>Fostering an Inclusive Environment</w:t>
      </w:r>
      <w:r>
        <w:rPr>
          <w:rFonts w:ascii="Arial" w:cs="Arial" w:eastAsia="Arial" w:hAnsi="Arial"/>
          <w:sz w:val="17"/>
          <w:szCs w:val="17"/>
          <w:color w:val="auto"/>
        </w:rPr>
        <w:t>. To ensure Instacart remains a welcoming environment for all employees, while also intentionally focusing on</w:t>
      </w:r>
      <w:r>
        <w:rPr>
          <w:rFonts w:ascii="Arial" w:cs="Arial" w:eastAsia="Arial" w:hAnsi="Arial"/>
          <w:sz w:val="17"/>
          <w:szCs w:val="17"/>
          <w:i w:val="1"/>
          <w:iCs w:val="1"/>
          <w:color w:val="auto"/>
        </w:rPr>
        <w:t xml:space="preserve"> </w:t>
      </w:r>
      <w:r>
        <w:rPr>
          <w:rFonts w:ascii="Arial" w:cs="Arial" w:eastAsia="Arial" w:hAnsi="Arial"/>
          <w:sz w:val="17"/>
          <w:szCs w:val="17"/>
          <w:color w:val="auto"/>
        </w:rPr>
        <w:t>inclusion for historically marginalized talent, we are constantly investing in our culture and creating opportunities to build community. Members of our executive team personally sponsor Employee Resource Groups, or ERGs, which organize a wide array of professional development and community-building programming and events every year.</w:t>
      </w:r>
    </w:p>
    <w:p>
      <w:pPr>
        <w:spacing w:after="0" w:line="179"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i w:val="1"/>
          <w:iCs w:val="1"/>
          <w:color w:val="auto"/>
        </w:rPr>
        <w:t>Proactive Underrepresented Talent Engagement and Retention</w:t>
      </w:r>
      <w:r>
        <w:rPr>
          <w:rFonts w:ascii="Arial" w:cs="Arial" w:eastAsia="Arial" w:hAnsi="Arial"/>
          <w:sz w:val="15"/>
          <w:szCs w:val="15"/>
          <w:color w:val="auto"/>
        </w:rPr>
        <w:t>. We prioritize retaining underrepresented talent at Instacart by proactively focusing</w:t>
      </w:r>
      <w:r>
        <w:rPr>
          <w:rFonts w:ascii="Arial" w:cs="Arial" w:eastAsia="Arial" w:hAnsi="Arial"/>
          <w:sz w:val="15"/>
          <w:szCs w:val="15"/>
          <w:i w:val="1"/>
          <w:iCs w:val="1"/>
          <w:color w:val="auto"/>
        </w:rPr>
        <w:t xml:space="preserve"> </w:t>
      </w:r>
      <w:r>
        <w:rPr>
          <w:rFonts w:ascii="Arial" w:cs="Arial" w:eastAsia="Arial" w:hAnsi="Arial"/>
          <w:sz w:val="15"/>
          <w:szCs w:val="15"/>
          <w:color w:val="auto"/>
        </w:rPr>
        <w:t>on their needs, career interests, and sentiment of belonging. For example, we regularly survey employees on how effective our leadership has been in creating an equitable and inclusive workplace. We also provide opportunities for team members from underrepresented populations to engage with members of our Diversity, Equity, and Belonging, or DEB, team. The DEB team leverages these conversations, survey results, and their expertise to understand our underrepresented team members’ needs and interests and identify opportunities to better retain diverse talent.</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232</w:t>
      </w:r>
    </w:p>
    <w:p>
      <w:pPr>
        <w:sectPr>
          <w:pgSz w:w="11900" w:h="16838" w:orient="portrait"/>
          <w:cols w:equalWidth="0" w:num="1">
            <w:col w:w="10760"/>
          </w:cols>
          <w:pgMar w:left="320" w:top="440" w:right="81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Legal Proceedings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Contractor Classification Matters</w:t>
      </w:r>
    </w:p>
    <w:p>
      <w:pPr>
        <w:spacing w:after="0" w:line="108"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We are regularly subject to claims, lawsuits, arbitration proceedings, administrative actions, government investigations, and other legal and regulatory proceedings at the federal, state, and municipal levels in the United States and other jurisdictions in which we operate, challenging the classification of full-service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spacing w:after="0" w:line="165"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On September 13, 2019, the San Diego City Attorney filed a complaint in San Diego County Superior Court on behalf of the people of the State of California alleging unfair competition claims related to contractor misclassification, which we refer to as the San Diego Action. The suit seeks restitution, civil penalties, and injunctive relief. The San Diego City Attorney subsequently filed a preliminary injunction motion, which was granted by the trial court on February 18, 2020. On February 26, 2020, we filed a Notice of Appeal with the Fourth District Court of Appeal challenging the preliminary injunction order. On February 16, 2021, the appellate court issued an order vacating the preliminary injunction. The appellate court issued a remittitur and sent the case back to the trial court on April 19, 2021. On the same day, we re-noticed our motion to compel arbitration, and on May 20, 2021, the trial court conducted a hearing and denied the motion to compel arbitration. On May 20, 2021, we filed a Notice of Appeal with the Fourth District Court of Appeal regarding the denial of our motion to compel arbitration, which the appellate court affirmed on May 8, 2022. Due to an opinion by the U.S. Supreme Court, however, on June 17, 2022, we successfully petitioned the court of appeal to vacate its prior decision affirming the trial court’s denial of our motion to compel arbitration. After the court of appeal issued its second decision, we agreed with the city to settle the case. The case was remitted to the trial court, where we entered a stipulated judgment on December 8, 2022. The stipulated judgment required Instacart to pay $46.5 million. In exchange, the city, acting on behalf of the People of the State of California, agreed to release its claims from September 13, 2015, to the settlement’s effective date. The city also agreed not to sue or seek injunctive relief for periods after the effective date until Proposition 22 is declared unconstitutional. If Proposition 22 is unconstitutional, the city must meet and confer with Instacart before filing a new lawsuit. The court signed our stipulated judgment on January 27, 2023, and Instacart made the settlement payment in March 2023. We are also currently involved in several putative class actions, thousands of alleged individual claims, including those brought in arbitration or compelled to arbitrate pursuant to our Independent Contractor Agreement, and matters brought, in whole or in part, as representative actions under California’s Private Attorney General Act, Labor Code Section 2698, et seq., alleging that we misclassified shoppers as independent contractors and related claims. None of the putative class actions have progressed to or resulted in class certification. Those involving misclassification are stayed pending prior-filed cases or have motions to compel individual arbitration pending in court.</w:t>
      </w:r>
    </w:p>
    <w:p>
      <w:pPr>
        <w:spacing w:after="0" w:line="363"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We dispute any allegations of wrongdoing and intend to continue to defend ourselves vigorously in these matters. However, the results of litigation and arbitration are inherently unpredictable, including due to the timing of any lifting of existing stays or the timing and final amounts of settlements with adverse parties, and our chances of success on the merits for any proceeding remain uncertain. In particular, an adverse ruling in connection with any misclassification class action may negatively impact our chances of success on the merits or settlement negotiation posture for our other outstanding misclassification claims and proceedings. As a result, such legal proceedings, individually or in the aggregate, could have a material impact on our business, financial condition, and results of operations. While we have accrued a legal reserve balance of $65 million as of June 30, 2023 relating to these misclassification claims and proceedings, as further described in Note 10 to our consolidated financial statements included elsewhere in this prospectus, any actual losses incurred in connection with these claims against us may differ from the initial estimates of loss, including as a result of settlement negotiations, and such differences could be material. Regardless of the outcome, litigation and arbitration of these matters could have an adverse impact on us because of defense and settlement costs, individually and in the aggregate, diversion of management resources, and other factors.</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233</w:t>
      </w:r>
    </w:p>
    <w:p>
      <w:pPr>
        <w:sectPr>
          <w:pgSz w:w="11900" w:h="16838" w:orient="portrait"/>
          <w:cols w:equalWidth="0" w:num="1">
            <w:col w:w="10780"/>
          </w:cols>
          <w:pgMar w:left="320" w:top="440" w:right="79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We also anticipate future claims, lawsuits, arbitration proceedings, administrative actions, and government investigations and audits in various jurisdictions challenging our classification of shoppers as independent contractors and not employees. In California, Proposition 22 was expected to provide more legal certainty over the classification of workers on Instacart from the time it became effective on December 16, 2020. However, on August 20, 2021, a judge in Alameda County Superior Court granted a writ that would order the State of California not to enforce Proposition 22 on the ground that it is unconstitutional. The California Attorney General filed an appeal, and on March 13, 2023, the appellate court largely reversed the superior court and effectively upheld Proposition 22. Plaintiffs have appealed the decision to the California Supreme Court. If the appellate court ruling is reversed by the California Supreme Court, we will face continued legal uncertainty over whether we can properly classify a shopper as an independent contractor in California. Even if Proposition 22 is determined to be enforceable, we may still face allegations that certain of our business practices do not satisfy all of the elements of Proposition 22. While we have not concluded that an adverse ruling relating to Proposition 22 is probable and cannot estimate the potential impact of such a ruling for purposes of our consolidated financial statements, an adverse ruling may result in additional legal proceedings that could result in additional contingency reserves for purposes of our financial statements and would have an adverse impact on us because of defense and settlement costs, individually and in the aggregate, diversion of management resources, and other factors. Further, while we believe we properly provide all requisite pay standards and benefits under Proposition 22, we may nonetheless face various claims involving disputes over such pay standards and benefits. For more information, see the section titled “Risk Factors—Risks Related to Our Legal and Regulatory Environment—If the contractor status of shoppers who use Instacart is successfully challenged, or if additional requirements are placed on our engagement of independent contractors, we may face adverse business, financial, tax, legal, and other consequences.”</w:t>
      </w:r>
    </w:p>
    <w:p>
      <w:pPr>
        <w:spacing w:after="0" w:line="167" w:lineRule="exact"/>
        <w:rPr>
          <w:sz w:val="20"/>
          <w:szCs w:val="20"/>
          <w:color w:val="auto"/>
        </w:rPr>
      </w:pPr>
    </w:p>
    <w:p>
      <w:pPr>
        <w:ind w:left="460" w:right="40" w:firstLine="413"/>
        <w:spacing w:after="0" w:line="291" w:lineRule="auto"/>
        <w:rPr>
          <w:sz w:val="20"/>
          <w:szCs w:val="20"/>
          <w:color w:val="auto"/>
        </w:rPr>
      </w:pPr>
      <w:r>
        <w:rPr>
          <w:rFonts w:ascii="Arial" w:cs="Arial" w:eastAsia="Arial" w:hAnsi="Arial"/>
          <w:sz w:val="15"/>
          <w:szCs w:val="15"/>
          <w:color w:val="auto"/>
        </w:rPr>
        <w:t>We are also involved in administrative audits with various state and local enforcement agencies, including audits related to shopper classification, state and local ordinance requirements, and unemployment insurance and workers’ compensation contributions, in California, New York, Washington, Pennsylvania, Wisconsin, New Jersey, and Florida. We believe that we comply with applicable requirements and that shoppers are properly classified as independent contractors; therefore, we dispute that we are obligated to provide such additional benefits under state law and plan to vigorously contest any adverse assessment or determination. Our chances of success on the merits are still uncertain, such that any reasonably possible loss or range of loss cannot be estimated. However, the results of these audits may result in additional payments, including settlement payments, penalties, and interest, and such additional amounts could have a material impact on our business, financial conditions, results of operations, and cash flows.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Litigation Matters</w:t>
      </w:r>
    </w:p>
    <w:p>
      <w:pPr>
        <w:spacing w:after="0" w:line="108"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In the ordinary course of our business, various parties have from time to time claimed, and may claim in the future, that we are liable for damages related to unpaid wages, missed breaks, premium or overtime pay, inadequate notice under the Worker Adjustment and Retraining Notification Act or its state equivalent, retaliation, denial of or interference with leave of absence, improper application of our paid time off or other policies, discrimination or harassment based on a protected characteristic, or failure to accommodate a disability. Various parties may also file a charge with the National Labor Relations Board alleging unfair labor practices. Additionally, given the high degree of complexity involved in the interpretation and application of states’ sales and indirect tax rules to our activities, it is possible that tax authorities may question our interpretation of taxability of such activities, and various parties have from time to time filed, and may in the future file, complaints related to our current and historical approach to treatment of our sales tax obligations. As a result, we maintain a reserve related to potential tax, interest, or penalties that may be due, as further described in Note 10 to our consolidated financial statements included elsewhere in this prospectus. Although the results of these claims cannot be predicted with certainty, we believe that these claims, individually or in the aggregate, could have a material adverse impact on our business, financial condition, results of operations, and cash flows.</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234</w:t>
      </w:r>
    </w:p>
    <w:p>
      <w:pPr>
        <w:sectPr>
          <w:pgSz w:w="11900" w:h="16838" w:orient="portrait"/>
          <w:cols w:equalWidth="0" w:num="1">
            <w:col w:w="10780"/>
          </w:cols>
          <w:pgMar w:left="320" w:top="440" w:right="79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Besides the matters described above, we are regularly subject to claims, lawsuits, arbitration proceedings, administrative actions, government investigations, and other legal and regulatory proceedings involving personal injury, intellectual property, including patent infringement, property damage, labor and employment, commercial and contract disputes, unfair competition, consumer protection, auto-renewal practices, data protection and privacy, environmental, health and safety, taxes, pricing and fees, appropriate disclosures of worker and customer rights and entitlements, weights and measures, compliance with regulatory requirements, and other matters. 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spacing w:after="0" w:line="9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235</w:t>
      </w:r>
    </w:p>
    <w:p>
      <w:pPr>
        <w:sectPr>
          <w:pgSz w:w="11900" w:h="16838" w:orient="portrait"/>
          <w:cols w:equalWidth="0" w:num="1">
            <w:col w:w="10720"/>
          </w:cols>
          <w:pgMar w:left="320" w:top="440" w:right="859" w:bottom="1440" w:gutter="0" w:footer="0" w:header="0"/>
        </w:sectPr>
      </w:pPr>
    </w:p>
    <w:bookmarkStart w:id="245" w:name="page246"/>
    <w:bookmarkEnd w:id="2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for our executive officers and directors as of June 30, 2023:</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478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1"/>
              </w:rPr>
              <w:t>Age</w:t>
            </w: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Position</w:t>
            </w:r>
          </w:p>
        </w:tc>
        <w:tc>
          <w:tcPr>
            <w:tcW w:w="4280" w:type="dxa"/>
            <w:vAlign w:val="bottom"/>
          </w:tcPr>
          <w:p>
            <w:pPr>
              <w:spacing w:after="0"/>
              <w:rPr>
                <w:sz w:val="15"/>
                <w:szCs w:val="15"/>
                <w:color w:val="auto"/>
              </w:rPr>
            </w:pPr>
          </w:p>
        </w:tc>
      </w:tr>
      <w:tr>
        <w:trPr>
          <w:trHeight w:val="175"/>
        </w:trPr>
        <w:tc>
          <w:tcPr>
            <w:tcW w:w="5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b w:val="1"/>
                <w:bCs w:val="1"/>
                <w:i w:val="1"/>
                <w:iCs w:val="1"/>
                <w:color w:val="auto"/>
              </w:rPr>
              <w:t>Executive Officers</w:t>
            </w: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CCEEFF"/>
            </w:tcBorders>
            <w:shd w:val="clear" w:color="auto" w:fill="CCEEFF"/>
          </w:tcPr>
          <w:p>
            <w:pPr>
              <w:spacing w:after="0"/>
              <w:rPr>
                <w:sz w:val="15"/>
                <w:szCs w:val="15"/>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6"/>
                <w:szCs w:val="16"/>
                <w:color w:val="auto"/>
              </w:rPr>
              <w:t>Fidji Simo</w:t>
            </w:r>
            <w:r>
              <w:rPr>
                <w:rFonts w:ascii="Arial" w:cs="Arial" w:eastAsia="Arial" w:hAnsi="Arial"/>
                <w:sz w:val="23"/>
                <w:szCs w:val="23"/>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Nick Giovanni</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6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Financial Officer and Treasurer</w:t>
            </w:r>
          </w:p>
        </w:tc>
      </w:tr>
      <w:tr>
        <w:trPr>
          <w:trHeight w:val="203"/>
        </w:trPr>
        <w:tc>
          <w:tcPr>
            <w:tcW w:w="5120" w:type="dxa"/>
            <w:vAlign w:val="bottom"/>
            <w:gridSpan w:val="2"/>
          </w:tcPr>
          <w:p>
            <w:pPr>
              <w:spacing w:after="0"/>
              <w:rPr>
                <w:sz w:val="20"/>
                <w:szCs w:val="20"/>
                <w:color w:val="auto"/>
              </w:rPr>
            </w:pPr>
            <w:r>
              <w:rPr>
                <w:rFonts w:ascii="Arial" w:cs="Arial" w:eastAsia="Arial" w:hAnsi="Arial"/>
                <w:sz w:val="17"/>
                <w:szCs w:val="17"/>
                <w:color w:val="auto"/>
              </w:rPr>
              <w:t>Asha Sharma</w:t>
            </w:r>
          </w:p>
        </w:tc>
        <w:tc>
          <w:tcPr>
            <w:tcW w:w="220" w:type="dxa"/>
            <w:vAlign w:val="bottom"/>
          </w:tcPr>
          <w:p>
            <w:pPr>
              <w:jc w:val="right"/>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Chief Operating Officer</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Fong</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Counsel and Secretary</w:t>
            </w:r>
          </w:p>
        </w:tc>
      </w:tr>
      <w:tr>
        <w:trPr>
          <w:trHeight w:val="203"/>
        </w:trPr>
        <w:tc>
          <w:tcPr>
            <w:tcW w:w="51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Non-Executive Officer Directors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Jeffrey Jordan</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6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6"/>
                <w:szCs w:val="16"/>
                <w:color w:val="auto"/>
              </w:rPr>
              <w:t>Meredith Kopit Levien</w:t>
            </w:r>
            <w:r>
              <w:rPr>
                <w:rFonts w:ascii="Arial" w:cs="Arial" w:eastAsia="Arial" w:hAnsi="Arial"/>
                <w:sz w:val="23"/>
                <w:szCs w:val="23"/>
                <w:color w:val="auto"/>
                <w:vertAlign w:val="superscript"/>
              </w:rPr>
              <w:t>(2)(3)</w:t>
            </w:r>
          </w:p>
        </w:tc>
        <w:tc>
          <w:tcPr>
            <w:tcW w:w="220" w:type="dxa"/>
            <w:vAlign w:val="bottom"/>
          </w:tcPr>
          <w:p>
            <w:pPr>
              <w:jc w:val="right"/>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3"/>
        </w:trPr>
        <w:tc>
          <w:tcPr>
            <w:tcW w:w="51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Barry McCarthy</w:t>
            </w:r>
            <w:r>
              <w:rPr>
                <w:rFonts w:ascii="Arial" w:cs="Arial" w:eastAsia="Arial" w:hAnsi="Arial"/>
                <w:sz w:val="23"/>
                <w:szCs w:val="23"/>
                <w:color w:val="auto"/>
                <w:vertAlign w:val="superscript"/>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6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6"/>
                <w:szCs w:val="16"/>
                <w:color w:val="auto"/>
              </w:rPr>
              <w:t>Apoorva Mehta</w:t>
            </w:r>
            <w:r>
              <w:rPr>
                <w:rFonts w:ascii="Arial" w:cs="Arial" w:eastAsia="Arial" w:hAnsi="Arial"/>
                <w:sz w:val="23"/>
                <w:szCs w:val="23"/>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Chairperson</w:t>
            </w:r>
          </w:p>
        </w:tc>
      </w:tr>
      <w:tr>
        <w:trPr>
          <w:trHeight w:val="203"/>
        </w:trPr>
        <w:tc>
          <w:tcPr>
            <w:tcW w:w="51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Michael Moritz</w:t>
            </w:r>
            <w:r>
              <w:rPr>
                <w:rFonts w:ascii="Arial" w:cs="Arial" w:eastAsia="Arial" w:hAnsi="Arial"/>
                <w:sz w:val="23"/>
                <w:szCs w:val="23"/>
                <w:color w:val="auto"/>
                <w:vertAlign w:val="superscript"/>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6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6"/>
                <w:szCs w:val="16"/>
                <w:color w:val="auto"/>
              </w:rPr>
              <w:t>Lily Sarafan</w:t>
            </w:r>
            <w:r>
              <w:rPr>
                <w:rFonts w:ascii="Arial" w:cs="Arial" w:eastAsia="Arial" w:hAnsi="Arial"/>
                <w:sz w:val="23"/>
                <w:szCs w:val="23"/>
                <w:color w:val="auto"/>
                <w:vertAlign w:val="superscript"/>
              </w:rPr>
              <w:t>(3)(4)</w:t>
            </w: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Slootman</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6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30"/>
        </w:trPr>
        <w:tc>
          <w:tcPr>
            <w:tcW w:w="5120" w:type="dxa"/>
            <w:vAlign w:val="bottom"/>
            <w:gridSpan w:val="2"/>
          </w:tcPr>
          <w:p>
            <w:pPr>
              <w:spacing w:after="0"/>
              <w:rPr>
                <w:sz w:val="20"/>
                <w:szCs w:val="20"/>
                <w:color w:val="auto"/>
              </w:rPr>
            </w:pPr>
            <w:r>
              <w:rPr>
                <w:rFonts w:ascii="Arial" w:cs="Arial" w:eastAsia="Arial" w:hAnsi="Arial"/>
                <w:sz w:val="17"/>
                <w:szCs w:val="17"/>
                <w:color w:val="auto"/>
              </w:rPr>
              <w:t>Daniel Sundheim</w:t>
            </w:r>
            <w:r>
              <w:rPr>
                <w:rFonts w:ascii="Arial" w:cs="Arial" w:eastAsia="Arial" w:hAnsi="Arial"/>
                <w:sz w:val="25"/>
                <w:szCs w:val="25"/>
                <w:color w:val="auto"/>
                <w:vertAlign w:val="superscript"/>
              </w:rPr>
              <w:t>(3)</w:t>
            </w:r>
          </w:p>
        </w:tc>
        <w:tc>
          <w:tcPr>
            <w:tcW w:w="220" w:type="dxa"/>
            <w:vAlign w:val="bottom"/>
          </w:tcPr>
          <w:p>
            <w:pPr>
              <w:jc w:val="right"/>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7620</wp:posOffset>
            </wp:positionV>
            <wp:extent cx="7239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4" w:lineRule="exact"/>
        <w:rPr>
          <w:sz w:val="20"/>
          <w:szCs w:val="20"/>
          <w:color w:val="auto"/>
        </w:rPr>
      </w:pPr>
    </w:p>
    <w:p>
      <w:pPr>
        <w:ind w:left="860" w:right="120" w:hanging="403"/>
        <w:spacing w:after="0" w:line="233" w:lineRule="auto"/>
        <w:tabs>
          <w:tab w:leader="none" w:pos="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Mr. Mehta will resign from our board of directors, including as Chairperson, immediately prior to the effectiveness of the registration statement of which this prospectus forms a part, at which time, Ms. Simo will be appointed Chairperson of our board of directors.</w:t>
      </w:r>
    </w:p>
    <w:p>
      <w:pPr>
        <w:ind w:left="860" w:hanging="403"/>
        <w:spacing w:after="0" w:line="223" w:lineRule="auto"/>
        <w:tabs>
          <w:tab w:leader="none" w:pos="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Member of the audit committee.</w:t>
      </w:r>
    </w:p>
    <w:p>
      <w:pPr>
        <w:ind w:left="860" w:hanging="403"/>
        <w:spacing w:after="0" w:line="223" w:lineRule="auto"/>
        <w:tabs>
          <w:tab w:leader="none" w:pos="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ind w:left="860" w:hanging="403"/>
        <w:spacing w:after="0" w:line="223" w:lineRule="auto"/>
        <w:tabs>
          <w:tab w:leader="none" w:pos="8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ind w:left="860" w:hanging="403"/>
        <w:spacing w:after="0"/>
        <w:tabs>
          <w:tab w:leader="none" w:pos="86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Lead independent director.</w:t>
      </w:r>
    </w:p>
    <w:p>
      <w:pPr>
        <w:spacing w:after="0" w:line="3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Executive Officers</w:t>
      </w:r>
    </w:p>
    <w:p>
      <w:pPr>
        <w:spacing w:after="0" w:line="214" w:lineRule="exact"/>
        <w:rPr>
          <w:sz w:val="20"/>
          <w:szCs w:val="20"/>
          <w:color w:val="auto"/>
        </w:rPr>
      </w:pPr>
    </w:p>
    <w:p>
      <w:pPr>
        <w:ind w:left="460" w:right="20" w:firstLine="413"/>
        <w:spacing w:after="0" w:line="289" w:lineRule="auto"/>
        <w:rPr>
          <w:sz w:val="20"/>
          <w:szCs w:val="20"/>
          <w:color w:val="auto"/>
        </w:rPr>
      </w:pPr>
      <w:r>
        <w:rPr>
          <w:rFonts w:ascii="Arial" w:cs="Arial" w:eastAsia="Arial" w:hAnsi="Arial"/>
          <w:sz w:val="15"/>
          <w:szCs w:val="15"/>
          <w:i w:val="1"/>
          <w:iCs w:val="1"/>
          <w:color w:val="auto"/>
        </w:rPr>
        <w:t>Fidji Simo</w:t>
      </w:r>
      <w:r>
        <w:rPr>
          <w:rFonts w:ascii="Arial" w:cs="Arial" w:eastAsia="Arial" w:hAnsi="Arial"/>
          <w:sz w:val="15"/>
          <w:szCs w:val="15"/>
          <w:color w:val="auto"/>
        </w:rPr>
        <w:t>. Ms. Simo has served as our President since December 2021, our Chief Executive Officer since August 2021, and a member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since January 2021. From January 2011 to August 2021, Ms. Simo served in various roles at Meta Platforms, Inc. (formerly Facebook, Inc.), a social networking company, including as Head of the Facebook App since March 2019, where she led a team of 6,000 people and was responsible for the development of Facebook, the flagship product of Meta. From January 2007 to January 2011, Ms. Simo served as Strategy Manager at eBay, Inc., an eCommerce company. Ms. Simo currently serves on the board of directors of Shopify Inc., an eCommerce platform. Ms. Simo holds a Masters of Management from HEC Paris and spent the last year of her Masters program at the University of California, Los Angeles Anderson School of Management. Ms. Simo was selected to serve on our board of directors because of her deep product expertise as a senior executive at a major technology company. In connection with Mr. Mehta’s resignation from our board of directors, including as Chairperson, immediately prior to the effectiveness of the registration statement of which this prospectus forms a part, Ms. Simo will be appointed Chairperson of our board of directors.</w:t>
      </w:r>
    </w:p>
    <w:p>
      <w:pPr>
        <w:spacing w:after="0" w:line="157"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i w:val="1"/>
          <w:iCs w:val="1"/>
          <w:color w:val="auto"/>
        </w:rPr>
        <w:t>Nick Giovanni</w:t>
      </w:r>
      <w:r>
        <w:rPr>
          <w:rFonts w:ascii="Arial" w:cs="Arial" w:eastAsia="Arial" w:hAnsi="Arial"/>
          <w:sz w:val="17"/>
          <w:szCs w:val="17"/>
          <w:color w:val="auto"/>
        </w:rPr>
        <w:t>. Mr. Giovanni has served as our Chief Financial Officer and Treasurer since January 2021. From August 1998 to January 2021,</w:t>
      </w:r>
      <w:r>
        <w:rPr>
          <w:rFonts w:ascii="Arial" w:cs="Arial" w:eastAsia="Arial" w:hAnsi="Arial"/>
          <w:sz w:val="17"/>
          <w:szCs w:val="17"/>
          <w:i w:val="1"/>
          <w:iCs w:val="1"/>
          <w:color w:val="auto"/>
        </w:rPr>
        <w:t xml:space="preserve"> </w:t>
      </w:r>
      <w:r>
        <w:rPr>
          <w:rFonts w:ascii="Arial" w:cs="Arial" w:eastAsia="Arial" w:hAnsi="Arial"/>
          <w:sz w:val="17"/>
          <w:szCs w:val="17"/>
          <w:color w:val="auto"/>
        </w:rPr>
        <w:t>Mr. Giovanni served in a number of roles at The Goldman Sachs Group, Inc., a multinational investment bank and financial services company, most recently as Global Head of the Technology, Media and Telecom Group in the Investment Banking Division, where he was responsible for group management and oversight of technology investment banking transactions. Mr. Giovanni holds a B.S. in Business Administration from the University of California, Berkeley.</w:t>
      </w:r>
    </w:p>
    <w:p>
      <w:pPr>
        <w:spacing w:after="0" w:line="181"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i w:val="1"/>
          <w:iCs w:val="1"/>
          <w:color w:val="auto"/>
        </w:rPr>
        <w:t>Asha Sharma</w:t>
      </w:r>
      <w:r>
        <w:rPr>
          <w:rFonts w:ascii="Arial" w:cs="Arial" w:eastAsia="Arial" w:hAnsi="Arial"/>
          <w:sz w:val="17"/>
          <w:szCs w:val="17"/>
          <w:color w:val="auto"/>
        </w:rPr>
        <w:t>. Ms. Sharma has served as our Chief Operating Officer since February 2021. From August 2017 to February 2021, Ms. Sharma led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organizations at Meta Platforms, Inc., a social networking</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236</w:t>
      </w:r>
    </w:p>
    <w:p>
      <w:pPr>
        <w:sectPr>
          <w:pgSz w:w="11900" w:h="16838" w:orient="portrait"/>
          <w:cols w:equalWidth="0" w:num="1">
            <w:col w:w="10800"/>
          </w:cols>
          <w:pgMar w:left="320" w:top="440" w:right="77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54" w:lineRule="auto"/>
        <w:rPr>
          <w:sz w:val="20"/>
          <w:szCs w:val="20"/>
          <w:color w:val="auto"/>
        </w:rPr>
      </w:pPr>
      <w:r>
        <w:rPr>
          <w:rFonts w:ascii="Arial" w:cs="Arial" w:eastAsia="Arial" w:hAnsi="Arial"/>
          <w:sz w:val="17"/>
          <w:szCs w:val="17"/>
          <w:color w:val="auto"/>
        </w:rPr>
        <w:t>company, where she was most recently Vice President of Product for Messenger, where she oversaw messaging, video communication, and monetization efforts. Prior to Meta, Ms. Sharma served as the Chief Operating Officer and Corporate Secretary from July 2015 to August 2017 at Porch Group, Inc., a vertical software platform for the home, where she also served as Chief Marketing Officer from May 2013 to July 2015. She also currently serves as a member of the board of directors of AppLovin Corporation, a mobile technology company. Ms. Sharma holds a B.S. in Business from the University of Minnesota’s Carlson School of Management.</w:t>
      </w:r>
    </w:p>
    <w:p>
      <w:pPr>
        <w:spacing w:after="0" w:line="181"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6"/>
          <w:szCs w:val="16"/>
          <w:i w:val="1"/>
          <w:iCs w:val="1"/>
          <w:color w:val="auto"/>
        </w:rPr>
        <w:t>Morgan Fong</w:t>
      </w:r>
      <w:r>
        <w:rPr>
          <w:rFonts w:ascii="Arial" w:cs="Arial" w:eastAsia="Arial" w:hAnsi="Arial"/>
          <w:sz w:val="16"/>
          <w:szCs w:val="16"/>
          <w:color w:val="auto"/>
        </w:rPr>
        <w:t>. Mr. Fong has served as our Secretary since December 2020 and our General Counsel since December 2016 after serving as our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Legal from May 2015 to December 2016. From November 2013 to April 2015, Mr. Fong served as Director and Senior Corporate Counsel for Trulia, Inc., a real estate platform and current subsidiary of Zillow Group, Inc., a real estate database company. From December 2004 to November 2013, Mr. Fong served as an attorney at Fenwick &amp; West LLP, a private law firm, and from October 2000 to October 2004, Mr. Fong served as an attorney at Wilson Sonsini Goodrich &amp; Rosati, P.C., a private law firm. Mr. Fong holds a B.A. in Economics and East Asian Studies from Yale University and a J.D. from the University of California, Berkeley School of Law.</w:t>
      </w: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Non-Executive Officer Directors</w:t>
      </w:r>
    </w:p>
    <w:p>
      <w:pPr>
        <w:spacing w:after="0" w:line="214"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i w:val="1"/>
          <w:iCs w:val="1"/>
          <w:color w:val="auto"/>
        </w:rPr>
        <w:t>Jeffrey Jordan</w:t>
      </w:r>
      <w:r>
        <w:rPr>
          <w:rFonts w:ascii="Arial" w:cs="Arial" w:eastAsia="Arial" w:hAnsi="Arial"/>
          <w:sz w:val="16"/>
          <w:szCs w:val="16"/>
          <w:color w:val="auto"/>
        </w:rPr>
        <w:t>. Mr. Jordan has served as a member of our board of directors since June 2014. Since July 2011, Mr. Jordan has served as a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Andreessen Horowitz, a venture capital firm. From 2007 to 2011, Mr. Jordan served as the President and Chief Executive Officer of OpenTable, Inc., an online restaurant-reservation service company. From 2004 to 2006, Mr. Jordan served as President of PayPal Holdings, Inc., a digital payments company, which was then owned by eBay Inc., a multinational eCommerce company. From 1999 to 2004, Mr. Jordan served as Senior Vice President and General Manager of eBay North America. From 1998 to 1999, Mr. Jordan served as Chief Financial Officer of Hollywood Entertainment Corporation, a video rental company, and then President of its subsidiary, Reel.com. Previously, Mr. Jordan served in various capacities at The Walt Disney Company, a multinational mass media and entertainment company, most recently as Senior Vice President and Chief Financial Officer of the Disney Store Worldwide. Prior to that, Mr. Jordan worked for The Boston Consulting Group, a management consulting firm. Mr. Jordan currently serves on the boards of directors of Pinterest, Inc., a mobile app company, Airbnb, Inc., a home sharing company, Accolade, Inc., a health and wellness company, and a number of private companies. Mr. Jordan holds a B.A. from Amherst College and an M.B.A. from the Stanford Graduate School of Business. Mr. Jordan was selected to serve on our board of directors because of his extensive experience in the venture capital industry and as an officer of technology companies.</w:t>
      </w:r>
    </w:p>
    <w:p>
      <w:pPr>
        <w:spacing w:after="0" w:line="178"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i w:val="1"/>
          <w:iCs w:val="1"/>
          <w:color w:val="auto"/>
        </w:rPr>
        <w:t xml:space="preserve">Meredith Kopit Levien. </w:t>
      </w:r>
      <w:r>
        <w:rPr>
          <w:rFonts w:ascii="Arial" w:cs="Arial" w:eastAsia="Arial" w:hAnsi="Arial"/>
          <w:sz w:val="15"/>
          <w:szCs w:val="15"/>
          <w:color w:val="auto"/>
        </w:rPr>
        <w:t>Ms. Kopit Levien has served as a member of our board of directors since October 2021. Since 2020, Ms. Kopit Levien has</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President and Chief Executive Officer of The New York Times Company, a media company, for which she previously served as Executive Vice President and Chief Operating Officer from 2017 to 2020, Executive Vice President and Chief Revenue Officer from 2015 to 2017, and Executive Vice President, Advertising from 2013 to 2015. Ms. Kopit Levien currently serves on the board of directors of The New York Times Company.</w:t>
      </w:r>
    </w:p>
    <w:p>
      <w:pPr>
        <w:ind w:left="460" w:right="600"/>
        <w:spacing w:after="0" w:line="257" w:lineRule="auto"/>
        <w:rPr>
          <w:sz w:val="20"/>
          <w:szCs w:val="20"/>
          <w:color w:val="auto"/>
        </w:rPr>
      </w:pPr>
      <w:r>
        <w:rPr>
          <w:rFonts w:ascii="Arial" w:cs="Arial" w:eastAsia="Arial" w:hAnsi="Arial"/>
          <w:sz w:val="17"/>
          <w:szCs w:val="17"/>
          <w:color w:val="auto"/>
        </w:rPr>
        <w:t>Ms. Kopit Levien holds a B.A. from the University of Virginia. Ms. Kopit Levien was selected to serve on our board of directors because of her extensive experience in the media and advertising industries.</w:t>
      </w:r>
    </w:p>
    <w:p>
      <w:pPr>
        <w:spacing w:after="0" w:line="177" w:lineRule="exact"/>
        <w:rPr>
          <w:sz w:val="20"/>
          <w:szCs w:val="20"/>
          <w:color w:val="auto"/>
        </w:rPr>
      </w:pPr>
    </w:p>
    <w:p>
      <w:pPr>
        <w:ind w:left="460" w:right="240" w:firstLine="413"/>
        <w:spacing w:after="0" w:line="290" w:lineRule="auto"/>
        <w:rPr>
          <w:sz w:val="20"/>
          <w:szCs w:val="20"/>
          <w:color w:val="auto"/>
        </w:rPr>
      </w:pPr>
      <w:r>
        <w:rPr>
          <w:rFonts w:ascii="Arial" w:cs="Arial" w:eastAsia="Arial" w:hAnsi="Arial"/>
          <w:sz w:val="15"/>
          <w:szCs w:val="15"/>
          <w:i w:val="1"/>
          <w:iCs w:val="1"/>
          <w:color w:val="auto"/>
        </w:rPr>
        <w:t>Barry McCarthy</w:t>
      </w:r>
      <w:r>
        <w:rPr>
          <w:rFonts w:ascii="Arial" w:cs="Arial" w:eastAsia="Arial" w:hAnsi="Arial"/>
          <w:sz w:val="15"/>
          <w:szCs w:val="15"/>
          <w:color w:val="auto"/>
        </w:rPr>
        <w:t>. Mr. McCarthy has served as a member of our board of directors since January 2021. Since February 2022, Mr. McCarthy has</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the Chief Executive Officer and President of Peloton Interactive, Inc., a fitness technology company. From 2011 to January 2022,</w:t>
      </w:r>
    </w:p>
    <w:p>
      <w:pPr>
        <w:jc w:val="both"/>
        <w:ind w:left="460" w:right="120"/>
        <w:spacing w:after="0" w:line="251" w:lineRule="auto"/>
        <w:rPr>
          <w:sz w:val="20"/>
          <w:szCs w:val="20"/>
          <w:color w:val="auto"/>
        </w:rPr>
      </w:pPr>
      <w:r>
        <w:rPr>
          <w:rFonts w:ascii="Arial" w:cs="Arial" w:eastAsia="Arial" w:hAnsi="Arial"/>
          <w:sz w:val="17"/>
          <w:szCs w:val="17"/>
          <w:color w:val="auto"/>
        </w:rPr>
        <w:t>Mr. McCarthy served as an Executive Advisor to Technology Crossover Ventures, a venture capital firm. Mr. McCarthy currently serves on the boards of directors of Peloton Interactive, Inc. and Spotify Technology S.A., a music streaming company, for which he served as Chief Financial Officer from July 2015 to January 2020 and global head of the advertising business from September 2016 to January 2020. Mr. McCarthy previously served on the boards of directors of MSD</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237</w:t>
      </w:r>
    </w:p>
    <w:p>
      <w:pPr>
        <w:sectPr>
          <w:pgSz w:w="11900" w:h="16838" w:orient="portrait"/>
          <w:cols w:equalWidth="0" w:num="1">
            <w:col w:w="10760"/>
          </w:cols>
          <w:pgMar w:left="320" w:top="440" w:right="819" w:bottom="1440" w:gutter="0" w:footer="0" w:header="0"/>
        </w:sectPr>
      </w:pPr>
    </w:p>
    <w:bookmarkStart w:id="247" w:name="page248"/>
    <w:bookmarkEnd w:id="2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96" w:lineRule="auto"/>
        <w:rPr>
          <w:sz w:val="20"/>
          <w:szCs w:val="20"/>
          <w:color w:val="auto"/>
        </w:rPr>
      </w:pPr>
      <w:r>
        <w:rPr>
          <w:rFonts w:ascii="Arial" w:cs="Arial" w:eastAsia="Arial" w:hAnsi="Arial"/>
          <w:sz w:val="15"/>
          <w:szCs w:val="15"/>
          <w:color w:val="auto"/>
        </w:rPr>
        <w:t>Acquisition Corp., a special purpose acquisition company, Pandora Media Inc., a music streaming company, Eventbrite, Inc., an event management company, and Chegg, Inc., an education technology company. From 1999 to 2010, Mr. McCarthy served as Chief Financial Officer and Principal Accounting Officer of Netflix, Inc., a video streaming company. Mr. McCarthy holds a B.A. in History from Williams College and an M.B.A. in Finance from the Wharton School at the University of Pennsylvania. Mr. McCarthy was selected to serve on our board of directors because of his experience as a chief financial officer, his knowledge of technology companies, and his service on the boards of directors of various private and public companies.</w:t>
      </w:r>
    </w:p>
    <w:p>
      <w:pPr>
        <w:spacing w:after="0" w:line="152" w:lineRule="exact"/>
        <w:rPr>
          <w:sz w:val="20"/>
          <w:szCs w:val="20"/>
          <w:color w:val="auto"/>
        </w:rPr>
      </w:pPr>
    </w:p>
    <w:p>
      <w:pPr>
        <w:ind w:left="460" w:right="160" w:firstLine="413"/>
        <w:spacing w:after="0" w:line="291" w:lineRule="auto"/>
        <w:rPr>
          <w:sz w:val="20"/>
          <w:szCs w:val="20"/>
          <w:color w:val="auto"/>
        </w:rPr>
      </w:pPr>
      <w:r>
        <w:rPr>
          <w:rFonts w:ascii="Arial" w:cs="Arial" w:eastAsia="Arial" w:hAnsi="Arial"/>
          <w:sz w:val="15"/>
          <w:szCs w:val="15"/>
          <w:i w:val="1"/>
          <w:iCs w:val="1"/>
          <w:color w:val="auto"/>
        </w:rPr>
        <w:t>Apoorva Mehta</w:t>
      </w:r>
      <w:r>
        <w:rPr>
          <w:rFonts w:ascii="Arial" w:cs="Arial" w:eastAsia="Arial" w:hAnsi="Arial"/>
          <w:sz w:val="15"/>
          <w:szCs w:val="15"/>
          <w:color w:val="auto"/>
        </w:rPr>
        <w:t>. Mr. Mehta has served as Chairperson of our board of directors since August 2012. Mr. Mehta is our co-founder and served at</w:t>
      </w:r>
      <w:r>
        <w:rPr>
          <w:rFonts w:ascii="Arial" w:cs="Arial" w:eastAsia="Arial" w:hAnsi="Arial"/>
          <w:sz w:val="15"/>
          <w:szCs w:val="15"/>
          <w:i w:val="1"/>
          <w:iCs w:val="1"/>
          <w:color w:val="auto"/>
        </w:rPr>
        <w:t xml:space="preserve"> </w:t>
      </w:r>
      <w:r>
        <w:rPr>
          <w:rFonts w:ascii="Arial" w:cs="Arial" w:eastAsia="Arial" w:hAnsi="Arial"/>
          <w:sz w:val="15"/>
          <w:szCs w:val="15"/>
          <w:color w:val="auto"/>
        </w:rPr>
        <w:t>Instacart from August 2012 to February 2023, including as our Chief Executive Officer from August 2012 to August 2021. Since October 2022, Mr. Mehta has served as founder and Chief Executive Officer of Cloud Health Systems, LLC, a digital healthcare startup. From 2008 to 2010, Mr. Mehta served as a supply chain engineer for Amazon.com, Inc., a multinational technology company. Mr. Mehta holds a B.S. in Electrical Engineering from the University of Waterloo. Mr. Mehta was selected to serve on our board of directors because of the perspective and experience he provides as our co-founder and former Chief Executive Officer, as well as his extensive experience with technology companies. Mr. Mehta will resign from our board of directors, including as Chairperson, immediately prior to the effectiveness of the registration statement of which this prospectus forms a part.</w:t>
      </w:r>
    </w:p>
    <w:p>
      <w:pPr>
        <w:spacing w:after="0" w:line="157" w:lineRule="exact"/>
        <w:rPr>
          <w:sz w:val="20"/>
          <w:szCs w:val="20"/>
          <w:color w:val="auto"/>
        </w:rPr>
      </w:pPr>
    </w:p>
    <w:p>
      <w:pPr>
        <w:ind w:left="460" w:right="180" w:firstLine="413"/>
        <w:spacing w:after="0" w:line="269" w:lineRule="auto"/>
        <w:rPr>
          <w:sz w:val="20"/>
          <w:szCs w:val="20"/>
          <w:color w:val="auto"/>
        </w:rPr>
      </w:pPr>
      <w:r>
        <w:rPr>
          <w:rFonts w:ascii="Arial" w:cs="Arial" w:eastAsia="Arial" w:hAnsi="Arial"/>
          <w:sz w:val="16"/>
          <w:szCs w:val="16"/>
          <w:i w:val="1"/>
          <w:iCs w:val="1"/>
          <w:color w:val="auto"/>
        </w:rPr>
        <w:t>Michael Moritz</w:t>
      </w:r>
      <w:r>
        <w:rPr>
          <w:rFonts w:ascii="Arial" w:cs="Arial" w:eastAsia="Arial" w:hAnsi="Arial"/>
          <w:sz w:val="16"/>
          <w:szCs w:val="16"/>
          <w:color w:val="auto"/>
        </w:rPr>
        <w:t>. Mr. Moritz has served as a member of our board of directors since June 2013. From 1986, to July 2023, Mr. Moritz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Member of Sequoia Capital, a venture capital firm. Mr. Moritz currently serves on the boards of directors of PhenomeX, Inc. (formerly Berkeley Lights, Inc.), a biotherapeutics company, and a number of private companies, including Klarna Inc., a financial technology company, and TrialSpark, Inc., a pharmaceutical company. Mr. Moritz previously served on the boards of directors of Stripe, Inc., a financial services and payment processing company, LinkedIn Corporation, a professional networking company, Green Dot Corporation, a financial technology company, PayPal Holdings, Inc., a digital payments company, Google, a multinational technology company, and Yahoo!, Inc., a web services provider and digital media company. Mr. Moritz holds an M.A. in History from Christ Church, Oxford. Mr. Moritz was selected to serve on our board of directors because of his extensive experience in the venture capital industry, his knowledge of technology companies, and his service on the boards of directors of various private and public companies.</w:t>
      </w:r>
    </w:p>
    <w:p>
      <w:pPr>
        <w:spacing w:after="0" w:line="170"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i w:val="1"/>
          <w:iCs w:val="1"/>
          <w:color w:val="auto"/>
        </w:rPr>
        <w:t xml:space="preserve">Lily Sarafan. </w:t>
      </w:r>
      <w:r>
        <w:rPr>
          <w:rFonts w:ascii="Arial" w:cs="Arial" w:eastAsia="Arial" w:hAnsi="Arial"/>
          <w:sz w:val="16"/>
          <w:szCs w:val="16"/>
          <w:color w:val="auto"/>
        </w:rPr>
        <w:t>Ms. Sarafan has served as a member of our board of directors since October 2021 and as our lead independent director since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2022. Since December 2020, Ms. Sarafan has served as Executive Chair of TheKey LLC, a premium provider of in-home care, for which she previously served as Chief Executive Officer since she co-founded the company in 2005 until December 2020. Ms. Sarafan holds a B.S. in Science, Technology, and Society from Stanford University and an M.S. in Management Science and Engineering from Stanford University. Ms. Sarafan was selected to serve on our board of directors because of her extensive experience as a founder and executive.</w:t>
      </w:r>
    </w:p>
    <w:p>
      <w:pPr>
        <w:spacing w:after="0" w:line="165"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i w:val="1"/>
          <w:iCs w:val="1"/>
          <w:color w:val="auto"/>
        </w:rPr>
        <w:t>Frank Slootman</w:t>
      </w:r>
      <w:r>
        <w:rPr>
          <w:rFonts w:ascii="Arial" w:cs="Arial" w:eastAsia="Arial" w:hAnsi="Arial"/>
          <w:sz w:val="16"/>
          <w:szCs w:val="16"/>
          <w:color w:val="auto"/>
        </w:rPr>
        <w:t>. Mr. Slootman has served as a member of our board of directors since January 2021. Since April 2019, Mr. Slootman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Chief Executive Officer and Chairman of the board of directors of Snowflake Inc., a cloud-based data warehousing company. From October 2016 to June 2018, Mr. Slootman served as Chairman of the board of directors of ServiceNow, Inc., an enterprise IT cloud company. From May 2011 to April 2017, Mr. Slootman served as President and Chief Executive Officer and as a member of the board of directors of ServiceNow, Inc. From January 2011 to April 2011, Mr. Slootman served as a Partner of Greylock Partners, a venture capital firm. From July 2009 to January 2011, Mr. Slootman served as President of the Backup Recovery Systems Division at EMC Corporation, a computer data storage company, and then as an advisor from January 2011 to February 2012. From June 2003 until its acquisition by EMC Corporation in July 2009, Mr. Slootman served as President and Chief Executive Officer of Data Domain Corporation, an electronic storage solution company. Mr. Slootman previously served as a member of the board of directors of Pure Storage, Inc., from May 2014 to February 2020, and Imperva, Inc., from August 2011 to March 2016. Mr. Slootman holds undergraduate and graduate degrees in Economics from the Netherlands School of Economics, Erasmus University Rotterdam. Mr. Slootman was selected to serve on our board of directors</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238</w:t>
      </w:r>
    </w:p>
    <w:p>
      <w:pPr>
        <w:sectPr>
          <w:pgSz w:w="11900" w:h="16838" w:orient="portrait"/>
          <w:cols w:equalWidth="0" w:num="1">
            <w:col w:w="10800"/>
          </w:cols>
          <w:pgMar w:left="320" w:top="440" w:right="779" w:bottom="1440" w:gutter="0" w:footer="0" w:header="0"/>
        </w:sectPr>
      </w:pPr>
    </w:p>
    <w:bookmarkStart w:id="248" w:name="page249"/>
    <w:bookmarkEnd w:id="2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because of his experience as an executive and board member at several private and public high-growth technology companies.</w:t>
      </w:r>
    </w:p>
    <w:p>
      <w:pPr>
        <w:spacing w:after="0" w:line="210" w:lineRule="exact"/>
        <w:rPr>
          <w:sz w:val="20"/>
          <w:szCs w:val="20"/>
          <w:color w:val="auto"/>
        </w:rPr>
      </w:pPr>
    </w:p>
    <w:p>
      <w:pPr>
        <w:jc w:val="both"/>
        <w:ind w:left="460" w:firstLine="413"/>
        <w:spacing w:after="0" w:line="272" w:lineRule="auto"/>
        <w:rPr>
          <w:sz w:val="20"/>
          <w:szCs w:val="20"/>
          <w:color w:val="auto"/>
        </w:rPr>
      </w:pPr>
      <w:r>
        <w:rPr>
          <w:rFonts w:ascii="Arial" w:cs="Arial" w:eastAsia="Arial" w:hAnsi="Arial"/>
          <w:sz w:val="16"/>
          <w:szCs w:val="16"/>
          <w:i w:val="1"/>
          <w:iCs w:val="1"/>
          <w:color w:val="auto"/>
        </w:rPr>
        <w:t>Daniel Sundheim</w:t>
      </w:r>
      <w:r>
        <w:rPr>
          <w:rFonts w:ascii="Arial" w:cs="Arial" w:eastAsia="Arial" w:hAnsi="Arial"/>
          <w:sz w:val="16"/>
          <w:szCs w:val="16"/>
          <w:color w:val="auto"/>
        </w:rPr>
        <w:t>. Mr. Sundheim has served as a member of our board of directors since June 2020. Since July 2017, Mr. Sundheim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Founder and Chief Investment Officer of D1 Capital Partners L.P., an investment management firm. From August 2002 to June 2017, Mr. Sundheim served in various capacities at Viking Global Investors, an investment management firm, including as an analyst from 2002 to 2005, a portfolio manager from 2005 to 2010, as Co-Chief Investment Officer from 2010 to 2014, and as Chief Investment Officer from 2014 to 2017. Mr. Sundheim holds a B.S. in Economics from the Wharton School of the University of Pennsylvania. Mr. Sundheim was selected to serve on our board of directors because of his extensive financial and business expertise.</w:t>
      </w:r>
    </w:p>
    <w:p>
      <w:pPr>
        <w:spacing w:after="0" w:line="366"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Family Relationships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200" w:lineRule="exact"/>
        <w:rPr>
          <w:sz w:val="20"/>
          <w:szCs w:val="20"/>
          <w:color w:val="auto"/>
        </w:rPr>
      </w:pPr>
    </w:p>
    <w:p>
      <w:pPr>
        <w:spacing w:after="0" w:line="2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Composition of Our Board of Directors</w:t>
      </w:r>
    </w:p>
    <w:p>
      <w:pPr>
        <w:spacing w:after="0" w:line="214"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Our business and affairs are managed under the direction of our board of directors. Pursuant to our current certificate of incorporation and our amended and restated voting agreement, our directors were elected as follows:</w:t>
      </w:r>
    </w:p>
    <w:p>
      <w:pPr>
        <w:spacing w:after="0" w:line="76" w:lineRule="exact"/>
        <w:rPr>
          <w:sz w:val="20"/>
          <w:szCs w:val="20"/>
          <w:color w:val="auto"/>
        </w:rPr>
      </w:pPr>
    </w:p>
    <w:p>
      <w:pPr>
        <w:ind w:left="1360" w:hanging="498"/>
        <w:spacing w:after="0"/>
        <w:tabs>
          <w:tab w:leader="none" w:pos="1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Mr. Mehta was elected by holders of our voting common stock;</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Mr. Moritz was elected by holders of our Series A redeemable convertible preferred stock;</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Mr. Jordan was elected by holders of our Series B redeemable convertible preferred stock;</w:t>
      </w:r>
    </w:p>
    <w:p>
      <w:pPr>
        <w:spacing w:after="0" w:line="121" w:lineRule="exact"/>
        <w:rPr>
          <w:rFonts w:ascii="Arial" w:cs="Arial" w:eastAsia="Arial" w:hAnsi="Arial"/>
          <w:sz w:val="17"/>
          <w:szCs w:val="17"/>
          <w:color w:val="auto"/>
        </w:rPr>
      </w:pPr>
    </w:p>
    <w:p>
      <w:pPr>
        <w:ind w:left="1360" w:right="20" w:hanging="498"/>
        <w:spacing w:after="0" w:line="272" w:lineRule="auto"/>
        <w:tabs>
          <w:tab w:leader="none" w:pos="1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Mr. McCarthy, Ms. Simo, Mr. Slootman, and Mr. Sundheim were elected by holders of our redeemable convertible preferred stock and our voting common stock;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Ms. Kopit Levien and Ms. Sarafan were elected by our board of directors.</w:t>
      </w:r>
    </w:p>
    <w:p>
      <w:pPr>
        <w:spacing w:after="0" w:line="210" w:lineRule="exact"/>
        <w:rPr>
          <w:sz w:val="20"/>
          <w:szCs w:val="20"/>
          <w:color w:val="auto"/>
        </w:rPr>
      </w:pPr>
    </w:p>
    <w:p>
      <w:pPr>
        <w:ind w:left="460" w:right="140" w:firstLine="413"/>
        <w:spacing w:after="0" w:line="296" w:lineRule="auto"/>
        <w:rPr>
          <w:sz w:val="20"/>
          <w:szCs w:val="20"/>
          <w:color w:val="auto"/>
        </w:rPr>
      </w:pPr>
      <w:r>
        <w:rPr>
          <w:rFonts w:ascii="Arial" w:cs="Arial" w:eastAsia="Arial" w:hAnsi="Arial"/>
          <w:sz w:val="15"/>
          <w:szCs w:val="15"/>
          <w:color w:val="auto"/>
        </w:rPr>
        <w:t>Upon the closing of this offering, the provisions of our amended and restated voting agreement relating to the election of our directors will terminate, and our current certificate of incorporation by which our directors were elected, along with our bylaws, will be amended and restated. The number of directors will be fixed by our board of directors, subject to the terms of our amended and restated certificate of incorporation and amended and restated bylaws that will each be in effect immediately prior to the closing of this offering. Each of our current directors will continue to serve as a director until the election and qualification of his or her successor, or until his or her earlier death, resignation, or removal.</w:t>
      </w:r>
    </w:p>
    <w:p>
      <w:pPr>
        <w:spacing w:after="0" w:line="152"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In accordance with our amended and restated certificate of incorporation that will be in effect immediately prior to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0"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2500" w:type="dxa"/>
            <w:vAlign w:val="bottom"/>
          </w:tcPr>
          <w:p>
            <w:pPr>
              <w:ind w:left="220"/>
              <w:spacing w:after="0"/>
              <w:rPr>
                <w:sz w:val="20"/>
                <w:szCs w:val="20"/>
                <w:color w:val="auto"/>
              </w:rPr>
            </w:pPr>
            <w:r>
              <w:rPr>
                <w:rFonts w:ascii="Arial" w:cs="Arial" w:eastAsia="Arial" w:hAnsi="Arial"/>
                <w:sz w:val="17"/>
                <w:szCs w:val="17"/>
                <w:color w:val="auto"/>
              </w:rPr>
              <w:t>the Class I directors will be</w:t>
            </w:r>
          </w:p>
        </w:tc>
        <w:tc>
          <w:tcPr>
            <w:tcW w:w="5520" w:type="dxa"/>
            <w:vAlign w:val="bottom"/>
          </w:tcPr>
          <w:p>
            <w:pPr>
              <w:jc w:val="right"/>
              <w:ind w:right="256"/>
              <w:spacing w:after="0"/>
              <w:rPr>
                <w:sz w:val="20"/>
                <w:szCs w:val="20"/>
                <w:color w:val="auto"/>
              </w:rPr>
            </w:pPr>
            <w:r>
              <w:rPr>
                <w:rFonts w:ascii="Arial" w:cs="Arial" w:eastAsia="Arial" w:hAnsi="Arial"/>
                <w:sz w:val="17"/>
                <w:szCs w:val="17"/>
                <w:color w:val="auto"/>
                <w:w w:val="95"/>
              </w:rPr>
              <w:t>, and their terms will expire at our 2024 annual meeting of stockholders;</w:t>
            </w:r>
          </w:p>
        </w:tc>
      </w:tr>
      <w:tr>
        <w:trPr>
          <w:trHeight w:val="317"/>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2500" w:type="dxa"/>
            <w:vAlign w:val="bottom"/>
          </w:tcPr>
          <w:p>
            <w:pPr>
              <w:ind w:left="220"/>
              <w:spacing w:after="0"/>
              <w:rPr>
                <w:sz w:val="20"/>
                <w:szCs w:val="20"/>
                <w:color w:val="auto"/>
              </w:rPr>
            </w:pPr>
            <w:r>
              <w:rPr>
                <w:rFonts w:ascii="Arial" w:cs="Arial" w:eastAsia="Arial" w:hAnsi="Arial"/>
                <w:sz w:val="17"/>
                <w:szCs w:val="17"/>
                <w:color w:val="auto"/>
              </w:rPr>
              <w:t>the Class II directors will be</w:t>
            </w:r>
          </w:p>
        </w:tc>
        <w:tc>
          <w:tcPr>
            <w:tcW w:w="5520" w:type="dxa"/>
            <w:vAlign w:val="bottom"/>
          </w:tcPr>
          <w:p>
            <w:pPr>
              <w:jc w:val="right"/>
              <w:spacing w:after="0"/>
              <w:rPr>
                <w:sz w:val="20"/>
                <w:szCs w:val="20"/>
                <w:color w:val="auto"/>
              </w:rPr>
            </w:pPr>
            <w:r>
              <w:rPr>
                <w:rFonts w:ascii="Arial" w:cs="Arial" w:eastAsia="Arial" w:hAnsi="Arial"/>
                <w:sz w:val="17"/>
                <w:szCs w:val="17"/>
                <w:color w:val="auto"/>
                <w:w w:val="96"/>
              </w:rPr>
              <w:t>, and their terms will expire at our 2025 annual meeting of stockholders; and</w:t>
            </w:r>
          </w:p>
        </w:tc>
      </w:tr>
      <w:tr>
        <w:trPr>
          <w:trHeight w:val="317"/>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2500" w:type="dxa"/>
            <w:vAlign w:val="bottom"/>
          </w:tcPr>
          <w:p>
            <w:pPr>
              <w:ind w:left="220"/>
              <w:spacing w:after="0"/>
              <w:rPr>
                <w:sz w:val="20"/>
                <w:szCs w:val="20"/>
                <w:color w:val="auto"/>
              </w:rPr>
            </w:pPr>
            <w:r>
              <w:rPr>
                <w:rFonts w:ascii="Arial" w:cs="Arial" w:eastAsia="Arial" w:hAnsi="Arial"/>
                <w:sz w:val="17"/>
                <w:szCs w:val="17"/>
                <w:color w:val="auto"/>
              </w:rPr>
              <w:t>the Class III directors will be</w:t>
            </w:r>
          </w:p>
        </w:tc>
        <w:tc>
          <w:tcPr>
            <w:tcW w:w="5520" w:type="dxa"/>
            <w:vAlign w:val="bottom"/>
          </w:tcPr>
          <w:p>
            <w:pPr>
              <w:jc w:val="right"/>
              <w:ind w:right="156"/>
              <w:spacing w:after="0"/>
              <w:rPr>
                <w:sz w:val="20"/>
                <w:szCs w:val="20"/>
                <w:color w:val="auto"/>
              </w:rPr>
            </w:pPr>
            <w:r>
              <w:rPr>
                <w:rFonts w:ascii="Arial" w:cs="Arial" w:eastAsia="Arial" w:hAnsi="Arial"/>
                <w:sz w:val="17"/>
                <w:szCs w:val="17"/>
                <w:color w:val="auto"/>
                <w:w w:val="97"/>
              </w:rPr>
              <w:t>, and their terms will expire at our 2026 annual meeting of stockholders.</w:t>
            </w:r>
          </w:p>
        </w:tc>
      </w:tr>
      <w:tr>
        <w:trPr>
          <w:trHeight w:val="342"/>
        </w:trPr>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jc w:val="right"/>
              <w:ind w:right="3316"/>
              <w:spacing w:after="0"/>
              <w:rPr>
                <w:sz w:val="20"/>
                <w:szCs w:val="20"/>
                <w:color w:val="auto"/>
              </w:rPr>
            </w:pPr>
            <w:r>
              <w:rPr>
                <w:rFonts w:ascii="Arial" w:cs="Arial" w:eastAsia="Arial" w:hAnsi="Arial"/>
                <w:sz w:val="17"/>
                <w:szCs w:val="17"/>
                <w:color w:val="auto"/>
              </w:rPr>
              <w:t>239</w:t>
            </w:r>
          </w:p>
        </w:tc>
      </w:tr>
    </w:tbl>
    <w:p>
      <w:pPr>
        <w:sectPr>
          <w:pgSz w:w="11900" w:h="16838" w:orient="portrait"/>
          <w:cols w:equalWidth="0" w:num="1">
            <w:col w:w="10760"/>
          </w:cols>
          <w:pgMar w:left="320" w:top="440" w:right="81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260" w:firstLine="413"/>
        <w:spacing w:after="0" w:line="260"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Director Independence</w:t>
      </w:r>
    </w:p>
    <w:p>
      <w:pPr>
        <w:spacing w:after="0" w:line="214"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 director concerning his or her background, employment, and affiliations, our board of directors has determined that Messrs. Jordan, McCarthy, Moritz, Slootman, and Sundheim and Mses. Kopit Levien and Sarafan do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35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Lead Independent Director</w:t>
      </w:r>
    </w:p>
    <w:p>
      <w:pPr>
        <w:spacing w:after="0" w:line="214" w:lineRule="exact"/>
        <w:rPr>
          <w:sz w:val="20"/>
          <w:szCs w:val="20"/>
          <w:color w:val="auto"/>
        </w:rPr>
      </w:pPr>
    </w:p>
    <w:p>
      <w:pPr>
        <w:ind w:left="460" w:right="220" w:firstLine="413"/>
        <w:spacing w:after="0" w:line="301" w:lineRule="auto"/>
        <w:rPr>
          <w:sz w:val="20"/>
          <w:szCs w:val="20"/>
          <w:color w:val="auto"/>
        </w:rPr>
      </w:pPr>
      <w:r>
        <w:rPr>
          <w:rFonts w:ascii="Arial" w:cs="Arial" w:eastAsia="Arial" w:hAnsi="Arial"/>
          <w:sz w:val="15"/>
          <w:szCs w:val="15"/>
          <w:color w:val="auto"/>
        </w:rPr>
        <w:t>Our corporate governance guidelines will provide that one of our independent directors will serve as the lead independent director at any time when an independent director is not serving as the chairperson of the board of directors. Our board of directors has appointed Lily Sarafan to serve as our lead independent director. As lead independent director, Ms. Sarafan will preside over periodic meetings of our independent directors, coordinate activities of the independent directors, and perform such additional duties as our board of directors may otherwise determine and delegate.</w:t>
      </w:r>
    </w:p>
    <w:p>
      <w:pPr>
        <w:spacing w:after="0" w:line="34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Role of the Board in Risk Oversight</w:t>
      </w:r>
    </w:p>
    <w:p>
      <w:pPr>
        <w:spacing w:after="0" w:line="214" w:lineRule="exact"/>
        <w:rPr>
          <w:sz w:val="20"/>
          <w:szCs w:val="20"/>
          <w:color w:val="auto"/>
        </w:rPr>
      </w:pPr>
    </w:p>
    <w:p>
      <w:pPr>
        <w:ind w:left="460" w:right="200" w:firstLine="413"/>
        <w:spacing w:after="0" w:line="254" w:lineRule="auto"/>
        <w:rPr>
          <w:sz w:val="20"/>
          <w:szCs w:val="20"/>
          <w:color w:val="auto"/>
        </w:rPr>
      </w:pPr>
      <w:r>
        <w:rPr>
          <w:rFonts w:ascii="Arial" w:cs="Arial" w:eastAsia="Arial" w:hAnsi="Arial"/>
          <w:sz w:val="17"/>
          <w:szCs w:val="17"/>
          <w:color w:val="auto"/>
        </w:rPr>
        <w:t>Our board of directors oversees our risk management processes, which are designed to support the achievement of organizational objectives, improve long-term organizational performance, and enhance stockholder value while mitigating and managing identified risks. A fundamental part of our approach to risk management is not only understanding the most significant risks we face as a company and the necessary steps to manage those risks, but also deciding what level of risk is appropriate. Our board of directors plays an integral role in guiding management’s risk tolerance and determining an appropriate level of risk.</w:t>
      </w:r>
    </w:p>
    <w:p>
      <w:pPr>
        <w:spacing w:after="0" w:line="181"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While our full board of directors has overall responsibility for evaluating key business risks, its committees monitor and report to our board of directors on certain risks. Our audit committee monitors our major financial, accounting, legal, compliance, investment, tax, cybersecurity, and data privacy risks, and the steps our management has taken to identify and control these exposures, including by reviewing and setting guidelines, internal controls, and policies that govern the process by which risk assessment and management is undertaken. In particular, our audit committee oversees our information security and data privacy programs and reports on these topics to our board of directors. Our management periodically updates the audit committee on information security and data privacy topics, including cybersecurity incidents involving us as well as our third-party service providers, progress of ongoing initiatives, and the effectiveness of internal control and compliance mechanisms. These mechanisms include assessments of prospective third-party service providers’ cybersecurity and data privacy practices prior to entering into or renewing business transactions with them or providing them access to our data or information systems. The results of these assessments inform the controls that we would implement to mitigate any uncovered third-party service provider security risks. Our audit committee also monitors compliance</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240</w:t>
      </w:r>
    </w:p>
    <w:p>
      <w:pPr>
        <w:sectPr>
          <w:pgSz w:w="11900" w:h="16838" w:orient="portrait"/>
          <w:cols w:equalWidth="0" w:num="1">
            <w:col w:w="10760"/>
          </w:cols>
          <w:pgMar w:left="320" w:top="440" w:right="81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301" w:lineRule="auto"/>
        <w:rPr>
          <w:sz w:val="20"/>
          <w:szCs w:val="20"/>
          <w:color w:val="auto"/>
        </w:rPr>
      </w:pPr>
      <w:r>
        <w:rPr>
          <w:rFonts w:ascii="Arial" w:cs="Arial" w:eastAsia="Arial" w:hAnsi="Arial"/>
          <w:sz w:val="15"/>
          <w:szCs w:val="15"/>
          <w:color w:val="auto"/>
        </w:rPr>
        <w:t>with legal and regulatory programs. Our compensation committee assesses and monitors whether our compensation philosophy and practices have the potential to encourage excessive risk-taking and also plans for leadership succession. Our nominating and corporate governance committee oversees risks associated with director independence and the composition and organization of our board of directors, periodically reviews our corporate governance guidelines and code of business conduct and ethics, and provides general oversight of our other corporate governance policies and practices.</w:t>
      </w:r>
    </w:p>
    <w:p>
      <w:pPr>
        <w:spacing w:after="0" w:line="14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In connection with its reviews of the operations of our business, our full board of directors addresses holistically the primary risks associated with our business, as well as the key risk areas monitored by its committees, including cybersecurity and privacy risks. Our board of directors appreciates the evolving nature of our business and industry and oversees the monitoring and mitigation of new threats and risks as they emerge. In particular, our board of directors is committed to the prevention, timely detection, and mitigation of the effects of cybersecurity threats or incidents. Further, our board of directors has closely monitored the evolving COVID-19 pandemic, its potential effects on our business, and related risk mitigation strategies.</w:t>
      </w:r>
    </w:p>
    <w:p>
      <w:pPr>
        <w:spacing w:after="0" w:line="152"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At periodic meetings of our board of directors and its committees, management reports to and seeks guidance from our board of directors and its committees with respect to the most significant risks that could affect our business, such as legal and compliance risks, cybersecurity and privacy risks, and financial, tax, and audit-related risks. In addition, among other matters, management provides our audit committee with periodic reports on our compliance programs and investment policy and practices. We have implemented controls and procedures for our management to quickly escalate violations or breaches of our compliance programs, policies, and practices, as well as cybersecurity, privacy, and other risks, to our board of directors or an applicable committee.</w:t>
      </w:r>
    </w:p>
    <w:p>
      <w:pPr>
        <w:spacing w:after="0" w:line="38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Committees of Our Board of Directors</w:t>
      </w:r>
    </w:p>
    <w:p>
      <w:pPr>
        <w:spacing w:after="0" w:line="214"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8"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6"/>
          <w:szCs w:val="16"/>
          <w:color w:val="auto"/>
        </w:rPr>
        <w:t>Our audit committee consists of Meredith Kopit Levien, Barry McCarthy, and Michael Moritz. Our board of directors has determined that each member of our audit committee satisfies the independence requirements under the listing standards of Nasdaq and Rule 10A-3(b)(1) of the Exchange Act. The chairperson of our audit committee is Barry McCarthy. Our board of directors has determined that Mr. McCarthy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67"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7" w:lineRule="exact"/>
        <w:rPr>
          <w:sz w:val="20"/>
          <w:szCs w:val="20"/>
          <w:color w:val="auto"/>
        </w:rPr>
      </w:pPr>
    </w:p>
    <w:p>
      <w:pPr>
        <w:ind w:left="1360" w:hanging="498"/>
        <w:spacing w:after="0"/>
        <w:tabs>
          <w:tab w:leader="none" w:pos="13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helping our board of directors oversee our corporate accounting and financial reporting processes;</w:t>
      </w:r>
    </w:p>
    <w:p>
      <w:pPr>
        <w:spacing w:after="0" w:line="121" w:lineRule="exact"/>
        <w:rPr>
          <w:rFonts w:ascii="Arial" w:cs="Arial" w:eastAsia="Arial" w:hAnsi="Arial"/>
          <w:sz w:val="17"/>
          <w:szCs w:val="17"/>
          <w:color w:val="auto"/>
        </w:rPr>
      </w:pPr>
    </w:p>
    <w:p>
      <w:pPr>
        <w:ind w:left="1360" w:right="280" w:hanging="498"/>
        <w:spacing w:after="0" w:line="260" w:lineRule="auto"/>
        <w:tabs>
          <w:tab w:leader="none" w:pos="13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241</w:t>
      </w:r>
    </w:p>
    <w:p>
      <w:pPr>
        <w:sectPr>
          <w:pgSz w:w="11900" w:h="16838" w:orient="portrait"/>
          <w:cols w:equalWidth="0" w:num="1">
            <w:col w:w="10760"/>
          </w:cols>
          <w:pgMar w:left="320" w:top="440" w:right="81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right="60" w:hanging="498"/>
        <w:spacing w:after="0" w:line="272" w:lineRule="auto"/>
        <w:tabs>
          <w:tab w:leader="none" w:pos="1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reviewing related party transactions;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overseeing the performance of our internal audit function;</w:t>
      </w:r>
    </w:p>
    <w:p>
      <w:pPr>
        <w:spacing w:after="0" w:line="121"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approving or, as permitted, pre-approving, audit and permissible non-audit services to be performed by the independent registered public accounting firm;</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preparing the audit committee report that the SEC requires in our annual proxy statement;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reviewing legal and regulatory compliance matters, including risks related to data privacy, information security, and cybersecurity.</w:t>
      </w:r>
    </w:p>
    <w:p>
      <w:pPr>
        <w:spacing w:after="0" w:line="221"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Our audit committee will operate under a written charter, to be effective prior to the closing of this offering, that satisfies the applicable listing standards of Nasdaq.</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Our compensation committee consists of Meredith Kopit Levien, Lily Sarafan, and Daniel Sundheim. The chairperson of our compensation committee is Meredith Kopit Levien. Our board of directors has determined that each member of our compensation committee is independent under the listing standards of Nasdaq and a “non-employee director” as defined in Rule 16b-3 promulgated under the Exchange Act.</w:t>
      </w:r>
    </w:p>
    <w:p>
      <w:pPr>
        <w:spacing w:after="0" w:line="157"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360" w:right="20" w:hanging="498"/>
        <w:spacing w:after="0" w:line="272" w:lineRule="auto"/>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reviewing and approving (or recommending to our board of directors) the compensation of our chief executive officer and other executive officers;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reviewing and approving (or recommending to our board of directors) the compensation of our directors;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administering our equity incentive plans and other benefit programs;</w:t>
      </w:r>
    </w:p>
    <w:p>
      <w:pPr>
        <w:spacing w:after="0" w:line="121" w:lineRule="exact"/>
        <w:rPr>
          <w:rFonts w:ascii="Arial" w:cs="Arial" w:eastAsia="Arial" w:hAnsi="Arial"/>
          <w:sz w:val="17"/>
          <w:szCs w:val="17"/>
          <w:color w:val="auto"/>
        </w:rPr>
      </w:pPr>
    </w:p>
    <w:p>
      <w:pPr>
        <w:ind w:left="1360" w:right="300" w:hanging="498"/>
        <w:spacing w:after="0" w:line="260" w:lineRule="auto"/>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86" w:lineRule="exact"/>
        <w:rPr>
          <w:rFonts w:ascii="Arial" w:cs="Arial" w:eastAsia="Arial" w:hAnsi="Arial"/>
          <w:sz w:val="17"/>
          <w:szCs w:val="17"/>
          <w:color w:val="auto"/>
        </w:rPr>
      </w:pPr>
    </w:p>
    <w:p>
      <w:pPr>
        <w:ind w:left="1360" w:right="140" w:hanging="498"/>
        <w:spacing w:after="0" w:line="272" w:lineRule="auto"/>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reviewing and establishing general policies relating to compensation and benefits of our employees, including our overall compensation philosophy for our executive officers and directors;</w:t>
      </w:r>
    </w:p>
    <w:p>
      <w:pPr>
        <w:spacing w:after="0" w:line="76" w:lineRule="exact"/>
        <w:rPr>
          <w:rFonts w:ascii="Arial" w:cs="Arial" w:eastAsia="Arial" w:hAnsi="Arial"/>
          <w:sz w:val="17"/>
          <w:szCs w:val="17"/>
          <w:color w:val="auto"/>
        </w:rPr>
      </w:pPr>
    </w:p>
    <w:p>
      <w:pPr>
        <w:ind w:left="1360" w:right="660" w:hanging="498"/>
        <w:spacing w:after="0" w:line="272" w:lineRule="auto"/>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reviewing matters relating to human capital management, including policies and strategies regarding recruiting, retention, career development and progression, diversity and inclusion, and other employment practices;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reviewing succession planning for our executive leadership team.</w:t>
      </w:r>
    </w:p>
    <w:p>
      <w:pPr>
        <w:spacing w:after="0" w:line="210"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Our compensation committee will operate under a written charter, to be effective prior to the closing of this offering, that satisfies the applicable listing standards of Nasdaq.</w:t>
      </w:r>
    </w:p>
    <w:p>
      <w:pPr>
        <w:spacing w:after="0" w:line="10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242</w:t>
      </w:r>
    </w:p>
    <w:p>
      <w:pPr>
        <w:sectPr>
          <w:pgSz w:w="11900" w:h="16838" w:orient="portrait"/>
          <w:cols w:equalWidth="0" w:num="1">
            <w:col w:w="10700"/>
          </w:cols>
          <w:pgMar w:left="320" w:top="440" w:right="87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8" w:lineRule="exact"/>
        <w:rPr>
          <w:sz w:val="20"/>
          <w:szCs w:val="20"/>
          <w:color w:val="auto"/>
        </w:rPr>
      </w:pPr>
    </w:p>
    <w:p>
      <w:pPr>
        <w:ind w:left="460" w:right="520" w:firstLine="413"/>
        <w:spacing w:after="0" w:line="260" w:lineRule="auto"/>
        <w:rPr>
          <w:sz w:val="20"/>
          <w:szCs w:val="20"/>
          <w:color w:val="auto"/>
        </w:rPr>
      </w:pPr>
      <w:r>
        <w:rPr>
          <w:rFonts w:ascii="Arial" w:cs="Arial" w:eastAsia="Arial" w:hAnsi="Arial"/>
          <w:sz w:val="17"/>
          <w:szCs w:val="17"/>
          <w:color w:val="auto"/>
        </w:rPr>
        <w:t>Our nominating and corporate governance committee consists of Michael Moritz and Lily Sarafan. The chairperson of our nominating and corporate governance committee is Michael Moritz. Our board of directors has determined that each member of our nominating and corporate governance committee is independent under the listing standards of Nasdaq.</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Specific responsibilities of our nominating and corporate governance committee include:</w:t>
      </w:r>
    </w:p>
    <w:p>
      <w:pPr>
        <w:spacing w:after="0" w:line="121" w:lineRule="exact"/>
        <w:rPr>
          <w:sz w:val="20"/>
          <w:szCs w:val="20"/>
          <w:color w:val="auto"/>
        </w:rPr>
      </w:pPr>
    </w:p>
    <w:p>
      <w:pPr>
        <w:ind w:left="1360" w:right="380" w:hanging="498"/>
        <w:spacing w:after="0" w:line="272" w:lineRule="auto"/>
        <w:tabs>
          <w:tab w:leader="none" w:pos="13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76"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and chairpersonship of the committees of our board of directors;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reviewing and considering environmental, social responsibility, and sustainability matters;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overseeing periodic evaluations of the board of directors’ performance, including committees of the board of directors.</w:t>
      </w:r>
    </w:p>
    <w:p>
      <w:pPr>
        <w:spacing w:after="0" w:line="210"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closing of this offering, that satisfies the applicable listing standards of Nasdaq.</w:t>
      </w: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Code of Business Conduct and Ethics</w:t>
      </w:r>
    </w:p>
    <w:p>
      <w:pPr>
        <w:spacing w:after="0" w:line="214" w:lineRule="exact"/>
        <w:rPr>
          <w:sz w:val="20"/>
          <w:szCs w:val="20"/>
          <w:color w:val="auto"/>
        </w:rPr>
      </w:pPr>
    </w:p>
    <w:p>
      <w:pPr>
        <w:ind w:left="460" w:right="100" w:firstLine="413"/>
        <w:spacing w:after="0" w:line="293" w:lineRule="auto"/>
        <w:rPr>
          <w:sz w:val="20"/>
          <w:szCs w:val="20"/>
          <w:color w:val="auto"/>
        </w:rPr>
      </w:pPr>
      <w:r>
        <w:rPr>
          <w:rFonts w:ascii="Arial" w:cs="Arial" w:eastAsia="Arial" w:hAnsi="Arial"/>
          <w:sz w:val="15"/>
          <w:szCs w:val="15"/>
          <w:color w:val="auto"/>
        </w:rPr>
        <w:t>We have adopted a code of business conduct and ethics that applies to our directors, officers, and employees, including our principal executive officer, principal financial officer, principal accounting officer or controller, and persons performing similar functions. Immediately prior to the closing of this offering, our code of business conduct and ethics will be available under the Corporate Governance section of our website at www.instacart.com/company. In addition, we intend to post on our website all disclosures that are required by law or the listing standards of Nasdaq concerning any amendments to, or waivers from, any provision of the code. Information contained on, or that can be accessed through, our website is not incorporated by reference into this prospectus, and you should not consider information on our website to be part of this prospectus.</w:t>
      </w:r>
    </w:p>
    <w:p>
      <w:pPr>
        <w:spacing w:after="0" w:line="35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14" w:lineRule="exact"/>
        <w:rPr>
          <w:sz w:val="20"/>
          <w:szCs w:val="20"/>
          <w:color w:val="auto"/>
        </w:rPr>
      </w:pPr>
    </w:p>
    <w:p>
      <w:pPr>
        <w:jc w:val="both"/>
        <w:ind w:left="460" w:right="20" w:firstLine="413"/>
        <w:spacing w:after="0" w:line="284" w:lineRule="auto"/>
        <w:rPr>
          <w:sz w:val="20"/>
          <w:szCs w:val="20"/>
          <w:color w:val="auto"/>
        </w:rPr>
      </w:pPr>
      <w:r>
        <w:rPr>
          <w:rFonts w:ascii="Arial" w:cs="Arial" w:eastAsia="Arial" w:hAnsi="Arial"/>
          <w:sz w:val="16"/>
          <w:szCs w:val="16"/>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356"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Non-Employee Director Compensation</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 Compensation Table</w:t>
      </w:r>
    </w:p>
    <w:p>
      <w:pPr>
        <w:spacing w:after="0" w:line="108" w:lineRule="exact"/>
        <w:rPr>
          <w:sz w:val="20"/>
          <w:szCs w:val="20"/>
          <w:color w:val="auto"/>
        </w:rPr>
      </w:pPr>
    </w:p>
    <w:p>
      <w:pPr>
        <w:jc w:val="both"/>
        <w:ind w:left="460" w:firstLine="413"/>
        <w:spacing w:after="0" w:line="311" w:lineRule="auto"/>
        <w:rPr>
          <w:sz w:val="20"/>
          <w:szCs w:val="20"/>
          <w:color w:val="auto"/>
        </w:rPr>
      </w:pPr>
      <w:r>
        <w:rPr>
          <w:rFonts w:ascii="Arial" w:cs="Arial" w:eastAsia="Arial" w:hAnsi="Arial"/>
          <w:sz w:val="15"/>
          <w:szCs w:val="15"/>
          <w:color w:val="auto"/>
        </w:rPr>
        <w:t>We did not pay any cash compensation to our non-employee directors for their service on our board of directors during 2022. We have reimbursed and will continue to reimburse all of our non-employee directors for their reasonable out-of-pocket expenses incurred in attending board of directors and committee meetings. All compensation paid to Ms. Simo in 2022 was for services rendered as our current President and Chief Executive</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243</w:t>
      </w:r>
    </w:p>
    <w:p>
      <w:pPr>
        <w:sectPr>
          <w:pgSz w:w="11900" w:h="16838" w:orient="portrait"/>
          <w:cols w:equalWidth="0" w:num="1">
            <w:col w:w="10760"/>
          </w:cols>
          <w:pgMar w:left="320" w:top="440" w:right="81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520"/>
        <w:spacing w:after="0" w:line="260" w:lineRule="auto"/>
        <w:rPr>
          <w:sz w:val="20"/>
          <w:szCs w:val="20"/>
          <w:color w:val="auto"/>
        </w:rPr>
      </w:pPr>
      <w:r>
        <w:rPr>
          <w:rFonts w:ascii="Arial" w:cs="Arial" w:eastAsia="Arial" w:hAnsi="Arial"/>
          <w:sz w:val="17"/>
          <w:szCs w:val="17"/>
          <w:color w:val="auto"/>
        </w:rPr>
        <w:t>Officer (and reported in the section titled “Executive Compensation—Summary Compensation Table”), and she did not receive any additional compensation for her service on our board of directors. See the section titled “Executive Compensation” for additional information regarding the compensation earned by Ms. Simo.</w:t>
      </w:r>
    </w:p>
    <w:p>
      <w:pPr>
        <w:spacing w:after="0" w:line="175"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The following table presents all of the compensation awarded to or earned by or paid to our non-employee directors and Mr. Mehta for service as directors during the fiscal year ended December 31, 2022:</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80"/>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4640" w:type="dxa"/>
            <w:vAlign w:val="bottom"/>
          </w:tcPr>
          <w:p>
            <w:pPr>
              <w:spacing w:after="0"/>
              <w:rPr>
                <w:sz w:val="15"/>
                <w:szCs w:val="15"/>
                <w:color w:val="auto"/>
              </w:rPr>
            </w:pPr>
          </w:p>
        </w:tc>
        <w:tc>
          <w:tcPr>
            <w:tcW w:w="210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w w:val="93"/>
              </w:rPr>
              <w:t xml:space="preserve">Option Awards </w:t>
            </w:r>
            <w:r>
              <w:rPr>
                <w:rFonts w:ascii="Arial" w:cs="Arial" w:eastAsia="Arial" w:hAnsi="Arial"/>
                <w:sz w:val="13"/>
                <w:szCs w:val="13"/>
                <w:b w:val="1"/>
                <w:bCs w:val="1"/>
                <w:u w:val="single" w:color="auto"/>
                <w:color w:val="auto"/>
                <w:w w:val="93"/>
              </w:rPr>
              <w:t>($</w:t>
            </w:r>
            <w:r>
              <w:rPr>
                <w:rFonts w:ascii="Arial" w:cs="Arial" w:eastAsia="Arial" w:hAnsi="Arial"/>
                <w:sz w:val="13"/>
                <w:szCs w:val="13"/>
                <w:b w:val="1"/>
                <w:bCs w:val="1"/>
                <w:color w:val="auto"/>
                <w:w w:val="93"/>
              </w:rPr>
              <w:t>)</w:t>
            </w:r>
            <w:r>
              <w:rPr>
                <w:rFonts w:ascii="Arial" w:cs="Arial" w:eastAsia="Arial" w:hAnsi="Arial"/>
                <w:sz w:val="10"/>
                <w:szCs w:val="10"/>
                <w:b w:val="1"/>
                <w:bCs w:val="1"/>
                <w:color w:val="auto"/>
                <w:w w:val="93"/>
              </w:rPr>
              <w:t>(1)</w:t>
            </w: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w:t>
            </w:r>
          </w:p>
        </w:tc>
      </w:tr>
      <w:tr>
        <w:trPr>
          <w:trHeight w:val="188"/>
        </w:trPr>
        <w:tc>
          <w:tcPr>
            <w:tcW w:w="49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Jeffrey Jordan</w:t>
            </w:r>
          </w:p>
        </w:tc>
        <w:tc>
          <w:tcPr>
            <w:tcW w:w="1180" w:type="dxa"/>
            <w:vAlign w:val="bottom"/>
            <w:tcBorders>
              <w:top w:val="single" w:sz="8" w:color="auto"/>
            </w:tcBorders>
            <w:shd w:val="clear" w:color="auto" w:fill="CCEEFF"/>
          </w:tcPr>
          <w:p>
            <w:pPr>
              <w:ind w:left="940"/>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460"/>
              <w:spacing w:after="0" w:line="188"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7"/>
                <w:szCs w:val="17"/>
                <w:color w:val="auto"/>
              </w:rPr>
              <w:t>Meredith Kopit Levien</w:t>
            </w:r>
          </w:p>
        </w:tc>
        <w:tc>
          <w:tcPr>
            <w:tcW w:w="210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Barry McCarthy</w:t>
            </w:r>
          </w:p>
        </w:tc>
        <w:tc>
          <w:tcPr>
            <w:tcW w:w="21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6"/>
                <w:szCs w:val="16"/>
                <w:color w:val="auto"/>
              </w:rPr>
              <w:t>Apoorva Mehta</w:t>
            </w:r>
            <w:r>
              <w:rPr>
                <w:rFonts w:ascii="Arial" w:cs="Arial" w:eastAsia="Arial" w:hAnsi="Arial"/>
                <w:sz w:val="23"/>
                <w:szCs w:val="23"/>
                <w:color w:val="auto"/>
                <w:vertAlign w:val="superscript"/>
              </w:rPr>
              <w:t>(2)</w:t>
            </w:r>
          </w:p>
        </w:tc>
        <w:tc>
          <w:tcPr>
            <w:tcW w:w="2100" w:type="dxa"/>
            <w:vAlign w:val="bottom"/>
            <w:gridSpan w:val="2"/>
          </w:tcPr>
          <w:p>
            <w:pPr>
              <w:jc w:val="right"/>
              <w:ind w:right="920"/>
              <w:spacing w:after="0"/>
              <w:rPr>
                <w:sz w:val="20"/>
                <w:szCs w:val="20"/>
                <w:color w:val="auto"/>
              </w:rPr>
            </w:pPr>
            <w:r>
              <w:rPr>
                <w:rFonts w:ascii="Arial" w:cs="Arial" w:eastAsia="Arial" w:hAnsi="Arial"/>
                <w:sz w:val="17"/>
                <w:szCs w:val="17"/>
                <w:color w:val="auto"/>
              </w:rPr>
              <w:t>4,672,114</w:t>
            </w:r>
          </w:p>
        </w:tc>
        <w:tc>
          <w:tcPr>
            <w:tcW w:w="760" w:type="dxa"/>
            <w:vAlign w:val="bottom"/>
            <w:gridSpan w:val="2"/>
          </w:tcPr>
          <w:p>
            <w:pPr>
              <w:ind w:left="60"/>
              <w:spacing w:after="0"/>
              <w:rPr>
                <w:sz w:val="20"/>
                <w:szCs w:val="20"/>
                <w:color w:val="auto"/>
              </w:rPr>
            </w:pPr>
            <w:r>
              <w:rPr>
                <w:rFonts w:ascii="Arial" w:cs="Arial" w:eastAsia="Arial" w:hAnsi="Arial"/>
                <w:sz w:val="17"/>
                <w:szCs w:val="17"/>
                <w:color w:val="auto"/>
                <w:w w:val="89"/>
              </w:rPr>
              <w:t>4,672,114</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Moritz</w:t>
            </w:r>
          </w:p>
        </w:tc>
        <w:tc>
          <w:tcPr>
            <w:tcW w:w="21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r>
      <w:tr>
        <w:trPr>
          <w:trHeight w:val="203"/>
        </w:trPr>
        <w:tc>
          <w:tcPr>
            <w:tcW w:w="4980" w:type="dxa"/>
            <w:vAlign w:val="bottom"/>
            <w:gridSpan w:val="2"/>
          </w:tcPr>
          <w:p>
            <w:pPr>
              <w:spacing w:after="0"/>
              <w:rPr>
                <w:sz w:val="20"/>
                <w:szCs w:val="20"/>
                <w:color w:val="auto"/>
              </w:rPr>
            </w:pPr>
            <w:r>
              <w:rPr>
                <w:rFonts w:ascii="Arial" w:cs="Arial" w:eastAsia="Arial" w:hAnsi="Arial"/>
                <w:sz w:val="17"/>
                <w:szCs w:val="17"/>
                <w:color w:val="auto"/>
              </w:rPr>
              <w:t>Lily Sarafan</w:t>
            </w:r>
          </w:p>
        </w:tc>
        <w:tc>
          <w:tcPr>
            <w:tcW w:w="210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Slootman</w:t>
            </w:r>
          </w:p>
        </w:tc>
        <w:tc>
          <w:tcPr>
            <w:tcW w:w="21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r>
      <w:tr>
        <w:trPr>
          <w:trHeight w:val="214"/>
        </w:trPr>
        <w:tc>
          <w:tcPr>
            <w:tcW w:w="4980" w:type="dxa"/>
            <w:vAlign w:val="bottom"/>
            <w:gridSpan w:val="2"/>
          </w:tcPr>
          <w:p>
            <w:pPr>
              <w:spacing w:after="0"/>
              <w:rPr>
                <w:sz w:val="20"/>
                <w:szCs w:val="20"/>
                <w:color w:val="auto"/>
              </w:rPr>
            </w:pPr>
            <w:r>
              <w:rPr>
                <w:rFonts w:ascii="Arial" w:cs="Arial" w:eastAsia="Arial" w:hAnsi="Arial"/>
                <w:sz w:val="17"/>
                <w:szCs w:val="17"/>
                <w:color w:val="auto"/>
              </w:rPr>
              <w:t>Daniel Sundheim</w:t>
            </w:r>
          </w:p>
        </w:tc>
        <w:tc>
          <w:tcPr>
            <w:tcW w:w="210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81280</wp:posOffset>
            </wp:positionV>
            <wp:extent cx="7239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0" w:lineRule="exact"/>
        <w:rPr>
          <w:sz w:val="20"/>
          <w:szCs w:val="20"/>
          <w:color w:val="auto"/>
        </w:rPr>
      </w:pPr>
    </w:p>
    <w:p>
      <w:pPr>
        <w:ind w:left="860" w:hanging="403"/>
        <w:spacing w:after="0" w:line="247" w:lineRule="auto"/>
        <w:tabs>
          <w:tab w:leader="none" w:pos="86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The amount disclosed represents the incremental fair value resulting from the modification to Mr. Mehta’s stock option originally granted in May 2018 and modified in connection with his cessation of service as an employee. Such modification extended the period during which Mr. Mehta’s option will remain exercisable following his resignation from our board of directors, including as Chairperson, immediately prior to the effectiveness of the registration statement of which this prospectus forms a part, to the option expiration date, or May 30, 2028. This amount reflects the accounting cost for this stock option modification and does not reflect the actual economic value that may be realized by Mr. Mehta.</w:t>
      </w:r>
    </w:p>
    <w:p>
      <w:pPr>
        <w:spacing w:after="0" w:line="1" w:lineRule="exact"/>
        <w:rPr>
          <w:rFonts w:ascii="Arial" w:cs="Arial" w:eastAsia="Arial" w:hAnsi="Arial"/>
          <w:sz w:val="12"/>
          <w:szCs w:val="12"/>
          <w:color w:val="auto"/>
        </w:rPr>
      </w:pPr>
    </w:p>
    <w:p>
      <w:pPr>
        <w:ind w:left="860" w:hanging="403"/>
        <w:spacing w:after="0"/>
        <w:tabs>
          <w:tab w:leader="none" w:pos="86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Mr. Mehta became a non-employee director in February 2023.</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the outstanding stock awards held by our non-employee directors and Mr. Mehta as of December 31, 2022:</w:t>
      </w:r>
    </w:p>
    <w:p>
      <w:pPr>
        <w:spacing w:after="0" w:line="239" w:lineRule="exact"/>
        <w:rPr>
          <w:sz w:val="20"/>
          <w:szCs w:val="20"/>
          <w:color w:val="auto"/>
        </w:rPr>
      </w:pPr>
    </w:p>
    <w:tbl>
      <w:tblPr>
        <w:tblLayout w:type="fixed"/>
        <w:tblInd w:w="2120" w:type="dxa"/>
        <w:tblCellMar>
          <w:top w:w="0" w:type="dxa"/>
          <w:left w:w="0" w:type="dxa"/>
          <w:bottom w:w="0" w:type="dxa"/>
          <w:right w:w="0" w:type="dxa"/>
        </w:tblCellMar>
      </w:tblPr>
      <w:tr>
        <w:trPr>
          <w:trHeight w:val="180"/>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338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Stock Awards (#)</w:t>
            </w:r>
            <w:r>
              <w:rPr>
                <w:rFonts w:ascii="Arial" w:cs="Arial" w:eastAsia="Arial" w:hAnsi="Arial"/>
                <w:sz w:val="10"/>
                <w:szCs w:val="10"/>
                <w:b w:val="1"/>
                <w:bCs w:val="1"/>
                <w:color w:val="auto"/>
              </w:rPr>
              <w:t>(1)</w:t>
            </w: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Option Awards (#)</w:t>
            </w:r>
          </w:p>
        </w:tc>
      </w:tr>
      <w:tr>
        <w:trPr>
          <w:trHeight w:val="188"/>
        </w:trPr>
        <w:tc>
          <w:tcPr>
            <w:tcW w:w="37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Jeffrey Jordan</w:t>
            </w:r>
          </w:p>
        </w:tc>
        <w:tc>
          <w:tcPr>
            <w:tcW w:w="11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12,500</w:t>
            </w:r>
          </w:p>
        </w:tc>
        <w:tc>
          <w:tcPr>
            <w:tcW w:w="9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820"/>
              <w:spacing w:after="0" w:line="188"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r>
      <w:tr>
        <w:trPr>
          <w:trHeight w:val="203"/>
        </w:trPr>
        <w:tc>
          <w:tcPr>
            <w:tcW w:w="3720" w:type="dxa"/>
            <w:vAlign w:val="bottom"/>
            <w:gridSpan w:val="2"/>
          </w:tcPr>
          <w:p>
            <w:pPr>
              <w:spacing w:after="0"/>
              <w:rPr>
                <w:sz w:val="20"/>
                <w:szCs w:val="20"/>
                <w:color w:val="auto"/>
              </w:rPr>
            </w:pPr>
            <w:r>
              <w:rPr>
                <w:rFonts w:ascii="Arial" w:cs="Arial" w:eastAsia="Arial" w:hAnsi="Arial"/>
                <w:sz w:val="17"/>
                <w:szCs w:val="17"/>
                <w:color w:val="auto"/>
              </w:rPr>
              <w:t>Meredith Kopit Levien</w:t>
            </w:r>
          </w:p>
        </w:tc>
        <w:tc>
          <w:tcPr>
            <w:tcW w:w="2020" w:type="dxa"/>
            <w:vAlign w:val="bottom"/>
            <w:gridSpan w:val="2"/>
          </w:tcPr>
          <w:p>
            <w:pPr>
              <w:jc w:val="right"/>
              <w:ind w:right="900"/>
              <w:spacing w:after="0"/>
              <w:rPr>
                <w:sz w:val="20"/>
                <w:szCs w:val="20"/>
                <w:color w:val="auto"/>
              </w:rPr>
            </w:pPr>
            <w:r>
              <w:rPr>
                <w:rFonts w:ascii="Arial" w:cs="Arial" w:eastAsia="Arial" w:hAnsi="Arial"/>
                <w:sz w:val="17"/>
                <w:szCs w:val="17"/>
                <w:color w:val="auto"/>
              </w:rPr>
              <w:t>3,750</w:t>
            </w:r>
          </w:p>
        </w:tc>
        <w:tc>
          <w:tcPr>
            <w:tcW w:w="1280" w:type="dxa"/>
            <w:vAlign w:val="bottom"/>
            <w:gridSpan w:val="2"/>
          </w:tcPr>
          <w:p>
            <w:pPr>
              <w:ind w:left="820"/>
              <w:spacing w:after="0"/>
              <w:rPr>
                <w:sz w:val="20"/>
                <w:szCs w:val="20"/>
                <w:color w:val="auto"/>
              </w:rPr>
            </w:pPr>
            <w:r>
              <w:rPr>
                <w:rFonts w:ascii="Arial" w:cs="Arial" w:eastAsia="Arial" w:hAnsi="Arial"/>
                <w:sz w:val="17"/>
                <w:szCs w:val="17"/>
                <w:color w:val="auto"/>
              </w:rPr>
              <w:t>—</w:t>
            </w:r>
          </w:p>
        </w:tc>
      </w:tr>
      <w:tr>
        <w:trPr>
          <w:trHeight w:val="203"/>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Barry McCarthy</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12,500</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03"/>
        </w:trPr>
        <w:tc>
          <w:tcPr>
            <w:tcW w:w="3720" w:type="dxa"/>
            <w:vAlign w:val="bottom"/>
            <w:gridSpan w:val="2"/>
          </w:tcPr>
          <w:p>
            <w:pPr>
              <w:spacing w:after="0" w:line="202" w:lineRule="exact"/>
              <w:rPr>
                <w:sz w:val="20"/>
                <w:szCs w:val="20"/>
                <w:color w:val="auto"/>
              </w:rPr>
            </w:pPr>
            <w:r>
              <w:rPr>
                <w:rFonts w:ascii="Arial" w:cs="Arial" w:eastAsia="Arial" w:hAnsi="Arial"/>
                <w:sz w:val="16"/>
                <w:szCs w:val="16"/>
                <w:color w:val="auto"/>
              </w:rPr>
              <w:t>Apoorva Mehta</w:t>
            </w:r>
            <w:r>
              <w:rPr>
                <w:rFonts w:ascii="Arial" w:cs="Arial" w:eastAsia="Arial" w:hAnsi="Arial"/>
                <w:sz w:val="23"/>
                <w:szCs w:val="23"/>
                <w:color w:val="auto"/>
                <w:vertAlign w:val="superscript"/>
              </w:rPr>
              <w:t>(2)</w:t>
            </w:r>
          </w:p>
        </w:tc>
        <w:tc>
          <w:tcPr>
            <w:tcW w:w="20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400"/>
              <w:spacing w:after="0" w:line="202" w:lineRule="exact"/>
              <w:rPr>
                <w:sz w:val="20"/>
                <w:szCs w:val="20"/>
                <w:color w:val="auto"/>
              </w:rPr>
            </w:pPr>
            <w:r>
              <w:rPr>
                <w:rFonts w:ascii="Arial" w:cs="Arial" w:eastAsia="Arial" w:hAnsi="Arial"/>
                <w:sz w:val="16"/>
                <w:szCs w:val="16"/>
                <w:color w:val="auto"/>
                <w:w w:val="95"/>
              </w:rPr>
              <w:t>4,866,785</w:t>
            </w:r>
            <w:r>
              <w:rPr>
                <w:rFonts w:ascii="Arial" w:cs="Arial" w:eastAsia="Arial" w:hAnsi="Arial"/>
                <w:sz w:val="23"/>
                <w:szCs w:val="23"/>
                <w:color w:val="auto"/>
                <w:w w:val="95"/>
                <w:vertAlign w:val="superscript"/>
              </w:rPr>
              <w:t>(3)</w:t>
            </w:r>
          </w:p>
        </w:tc>
      </w:tr>
      <w:tr>
        <w:trPr>
          <w:trHeight w:val="203"/>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Moritz</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12,500</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03"/>
        </w:trPr>
        <w:tc>
          <w:tcPr>
            <w:tcW w:w="3720" w:type="dxa"/>
            <w:vAlign w:val="bottom"/>
            <w:gridSpan w:val="2"/>
          </w:tcPr>
          <w:p>
            <w:pPr>
              <w:spacing w:after="0"/>
              <w:rPr>
                <w:sz w:val="20"/>
                <w:szCs w:val="20"/>
                <w:color w:val="auto"/>
              </w:rPr>
            </w:pPr>
            <w:r>
              <w:rPr>
                <w:rFonts w:ascii="Arial" w:cs="Arial" w:eastAsia="Arial" w:hAnsi="Arial"/>
                <w:sz w:val="17"/>
                <w:szCs w:val="17"/>
                <w:color w:val="auto"/>
              </w:rPr>
              <w:t>Lily Sarafan</w:t>
            </w:r>
          </w:p>
        </w:tc>
        <w:tc>
          <w:tcPr>
            <w:tcW w:w="2020" w:type="dxa"/>
            <w:vAlign w:val="bottom"/>
            <w:gridSpan w:val="2"/>
          </w:tcPr>
          <w:p>
            <w:pPr>
              <w:jc w:val="right"/>
              <w:ind w:right="900"/>
              <w:spacing w:after="0"/>
              <w:rPr>
                <w:sz w:val="20"/>
                <w:szCs w:val="20"/>
                <w:color w:val="auto"/>
              </w:rPr>
            </w:pPr>
            <w:r>
              <w:rPr>
                <w:rFonts w:ascii="Arial" w:cs="Arial" w:eastAsia="Arial" w:hAnsi="Arial"/>
                <w:sz w:val="17"/>
                <w:szCs w:val="17"/>
                <w:color w:val="auto"/>
              </w:rPr>
              <w:t>3,750</w:t>
            </w:r>
          </w:p>
        </w:tc>
        <w:tc>
          <w:tcPr>
            <w:tcW w:w="1280" w:type="dxa"/>
            <w:vAlign w:val="bottom"/>
            <w:gridSpan w:val="2"/>
          </w:tcPr>
          <w:p>
            <w:pPr>
              <w:ind w:left="820"/>
              <w:spacing w:after="0"/>
              <w:rPr>
                <w:sz w:val="20"/>
                <w:szCs w:val="20"/>
                <w:color w:val="auto"/>
              </w:rPr>
            </w:pPr>
            <w:r>
              <w:rPr>
                <w:rFonts w:ascii="Arial" w:cs="Arial" w:eastAsia="Arial" w:hAnsi="Arial"/>
                <w:sz w:val="17"/>
                <w:szCs w:val="17"/>
                <w:color w:val="auto"/>
              </w:rPr>
              <w:t>—</w:t>
            </w:r>
          </w:p>
        </w:tc>
      </w:tr>
      <w:tr>
        <w:trPr>
          <w:trHeight w:val="203"/>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Slootman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12,500</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14"/>
        </w:trPr>
        <w:tc>
          <w:tcPr>
            <w:tcW w:w="3720" w:type="dxa"/>
            <w:vAlign w:val="bottom"/>
            <w:gridSpan w:val="2"/>
          </w:tcPr>
          <w:p>
            <w:pPr>
              <w:spacing w:after="0"/>
              <w:rPr>
                <w:sz w:val="20"/>
                <w:szCs w:val="20"/>
                <w:color w:val="auto"/>
              </w:rPr>
            </w:pPr>
            <w:r>
              <w:rPr>
                <w:rFonts w:ascii="Arial" w:cs="Arial" w:eastAsia="Arial" w:hAnsi="Arial"/>
                <w:sz w:val="17"/>
                <w:szCs w:val="17"/>
                <w:color w:val="auto"/>
              </w:rPr>
              <w:t>Daniel Sundheim</w:t>
            </w:r>
          </w:p>
        </w:tc>
        <w:tc>
          <w:tcPr>
            <w:tcW w:w="2020" w:type="dxa"/>
            <w:vAlign w:val="bottom"/>
            <w:gridSpan w:val="2"/>
          </w:tcPr>
          <w:p>
            <w:pPr>
              <w:jc w:val="right"/>
              <w:ind w:right="900"/>
              <w:spacing w:after="0"/>
              <w:rPr>
                <w:sz w:val="20"/>
                <w:szCs w:val="20"/>
                <w:color w:val="auto"/>
              </w:rPr>
            </w:pPr>
            <w:r>
              <w:rPr>
                <w:rFonts w:ascii="Arial" w:cs="Arial" w:eastAsia="Arial" w:hAnsi="Arial"/>
                <w:sz w:val="17"/>
                <w:szCs w:val="17"/>
                <w:color w:val="auto"/>
              </w:rPr>
              <w:t>6,000</w:t>
            </w:r>
          </w:p>
        </w:tc>
        <w:tc>
          <w:tcPr>
            <w:tcW w:w="1280" w:type="dxa"/>
            <w:vAlign w:val="bottom"/>
            <w:gridSpan w:val="2"/>
          </w:tcPr>
          <w:p>
            <w:pPr>
              <w:ind w:left="8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73025</wp:posOffset>
            </wp:positionV>
            <wp:extent cx="7239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27" w:lineRule="exact"/>
        <w:rPr>
          <w:sz w:val="20"/>
          <w:szCs w:val="20"/>
          <w:color w:val="auto"/>
        </w:rPr>
      </w:pPr>
    </w:p>
    <w:p>
      <w:pPr>
        <w:jc w:val="both"/>
        <w:ind w:left="860" w:right="20" w:hanging="403"/>
        <w:spacing w:after="0" w:line="249" w:lineRule="auto"/>
        <w:tabs>
          <w:tab w:leader="none" w:pos="86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The shares subject to these RSU awards vest upon meeting both a service-based and liquidity event-based vesting condition. The liquidity event-based vesting condition is satisfied on the earlier of (a) a change of control or (b) the effectiveness of the registration statement of which this prospectus forms a part. The service-based vesting condition is satisfied in equal quarterly installments measured from the grant date through January 2023, subject to the director’s continued service with us through each such date.</w:t>
      </w:r>
    </w:p>
    <w:p>
      <w:pPr>
        <w:ind w:left="860" w:hanging="403"/>
        <w:spacing w:after="0" w:line="223" w:lineRule="auto"/>
        <w:tabs>
          <w:tab w:leader="none" w:pos="86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Mr. Mehta became a non-employee director in February 2023.</w:t>
      </w:r>
    </w:p>
    <w:p>
      <w:pPr>
        <w:ind w:left="860" w:hanging="403"/>
        <w:spacing w:after="0" w:line="232" w:lineRule="auto"/>
        <w:tabs>
          <w:tab w:leader="none" w:pos="86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This stock option was originally granted to Mr. Mehta in May 2018 in connection with his service as our President and Chief Executive Officer. The shares subject to this option award have an exercise price of $9.55 per share and are fully vested. Upon Mr. Mehta’s resignation from our board of directors, including as Chairperson, immediately prior to the effectiveness of the registration statement of which this prospectus forms a part, the period during which Mr. Mehta’s option will remain exercisable following such resignation has been extended to the option expiration date, or May 30, 2028.</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 Compensation Policy</w:t>
      </w:r>
    </w:p>
    <w:p>
      <w:pPr>
        <w:spacing w:after="0" w:line="210"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In February 2023, our board of directors adopted a non-employee director cash compensation policy with regard to the compensation of certain members of our board of directors. Pursuant to our non-employee director cash compensation policy, non-employee members of our board of directors will receive an annual retainer of $50,000. Each member of our audit committee will receive an annual retainer of $15,000, each member of our compensation committee will receive an annual retainer of $10,000, and each member of our nominating and</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244</w:t>
      </w:r>
    </w:p>
    <w:p>
      <w:pPr>
        <w:sectPr>
          <w:pgSz w:w="11900" w:h="16838" w:orient="portrait"/>
          <w:cols w:equalWidth="0" w:num="1">
            <w:col w:w="10760"/>
          </w:cols>
          <w:pgMar w:left="320" w:top="440" w:right="81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96" w:lineRule="auto"/>
        <w:rPr>
          <w:sz w:val="20"/>
          <w:szCs w:val="20"/>
          <w:color w:val="auto"/>
        </w:rPr>
      </w:pPr>
      <w:r>
        <w:rPr>
          <w:rFonts w:ascii="Arial" w:cs="Arial" w:eastAsia="Arial" w:hAnsi="Arial"/>
          <w:sz w:val="15"/>
          <w:szCs w:val="15"/>
          <w:color w:val="auto"/>
        </w:rPr>
        <w:t>governance committee will receive an annual retainer of $7,500. The chairperson of our audit committee will receive an additional annual retainer of $10,000, the chairperson of our compensation committee will receive an additional annual retainer of $10,000, and the chairperson of our nominating and governance committee will receive an additional annual retainer of $7,500. These annual retainers are to be paid in quarterly installments in arrears over the course of fiscal year 2023. In connection with this offering, we intend to adopt a new non- employee director compensation policy pursuant to which our non-employee directors will be eligible to receive compensation for service on our board of directors and the committees thereof.</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2023 Director Equity Compensation</w:t>
      </w:r>
    </w:p>
    <w:p>
      <w:pPr>
        <w:spacing w:after="0" w:line="108" w:lineRule="exact"/>
        <w:rPr>
          <w:sz w:val="20"/>
          <w:szCs w:val="20"/>
          <w:color w:val="auto"/>
        </w:rPr>
      </w:pPr>
    </w:p>
    <w:p>
      <w:pPr>
        <w:ind w:left="460" w:right="80" w:firstLine="413"/>
        <w:spacing w:after="0" w:line="293" w:lineRule="auto"/>
        <w:rPr>
          <w:sz w:val="20"/>
          <w:szCs w:val="20"/>
          <w:color w:val="auto"/>
        </w:rPr>
      </w:pPr>
      <w:r>
        <w:rPr>
          <w:rFonts w:ascii="Arial" w:cs="Arial" w:eastAsia="Arial" w:hAnsi="Arial"/>
          <w:sz w:val="15"/>
          <w:szCs w:val="15"/>
          <w:color w:val="auto"/>
        </w:rPr>
        <w:t>In February 2023, our board of directors granted to each of our non-employee directors refresh RSU awards representing the right to be issued 8,283 shares of our common stock. Each RSU award vests upon satisfaction of both a service-based vesting condition and a liquidity event-based vesting condition. The service-based vesting condition is satisfied over a period of one year, with 25% of the shares satisfying the service-based vesting condition in equal quarterly installments beginning on May 15, 2023, subject to the director’s continued service with us and subject to 100% vesting acceleration in the event a change of control occurs prior to February 15, 2024. The liquidity event-based vesting condition will be satisfied upon the earlier of (i) a change of control and (ii) the effective date of the registration statement of which this prospectus forms a part.</w:t>
      </w:r>
    </w:p>
    <w:p>
      <w:pPr>
        <w:spacing w:after="0" w:line="35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Limitations of Liability and Indemnification Matters</w:t>
      </w:r>
    </w:p>
    <w:p>
      <w:pPr>
        <w:spacing w:after="0" w:line="214" w:lineRule="exact"/>
        <w:rPr>
          <w:sz w:val="20"/>
          <w:szCs w:val="20"/>
          <w:color w:val="auto"/>
        </w:rPr>
      </w:pPr>
    </w:p>
    <w:p>
      <w:pPr>
        <w:ind w:left="460" w:right="260" w:firstLine="413"/>
        <w:spacing w:after="0" w:line="256" w:lineRule="auto"/>
        <w:rPr>
          <w:sz w:val="20"/>
          <w:szCs w:val="20"/>
          <w:color w:val="auto"/>
        </w:rPr>
      </w:pPr>
      <w:r>
        <w:rPr>
          <w:rFonts w:ascii="Arial" w:cs="Arial" w:eastAsia="Arial" w:hAnsi="Arial"/>
          <w:sz w:val="17"/>
          <w:szCs w:val="17"/>
          <w:color w:val="auto"/>
        </w:rPr>
        <w:t>Immediately prior to the closing of this offering, our amended and restated certificate of incorporation will contain provisions that limit the liability of our directors and officers for monetary damages to the fullest extent permitted by Delaware law. Delaware law allows a corporation to provide that its directors or officers will not be personally liable for monetary damages for any breach of fiduciary duties as directors, except liability for:</w:t>
      </w:r>
    </w:p>
    <w:p>
      <w:pPr>
        <w:spacing w:after="0" w:line="90" w:lineRule="exact"/>
        <w:rPr>
          <w:sz w:val="20"/>
          <w:szCs w:val="20"/>
          <w:color w:val="auto"/>
        </w:rPr>
      </w:pPr>
    </w:p>
    <w:p>
      <w:pPr>
        <w:ind w:left="1360" w:hanging="498"/>
        <w:spacing w:after="0"/>
        <w:tabs>
          <w:tab w:leader="none" w:pos="13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 director or officer for any breach of the director’s or officer’s duty of loyalty to the corporation or its stockholders;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 director or officer for any act or omission not in good faith or that involves intentional misconduct or a knowing violation of law;</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 director for unlawful payments of dividends or unlawful stock repurchases or redemptions;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 director or officer for any transaction from which the director or officer derived an improper personal benefit;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 officer in any action by or in the right of the corporation.</w:t>
      </w:r>
    </w:p>
    <w:p>
      <w:pPr>
        <w:spacing w:after="0" w:line="210" w:lineRule="exact"/>
        <w:rPr>
          <w:sz w:val="20"/>
          <w:szCs w:val="20"/>
          <w:color w:val="auto"/>
        </w:rPr>
      </w:pPr>
    </w:p>
    <w:p>
      <w:pPr>
        <w:ind w:left="460" w:right="580" w:firstLine="413"/>
        <w:spacing w:after="0" w:line="272" w:lineRule="auto"/>
        <w:rPr>
          <w:sz w:val="20"/>
          <w:szCs w:val="20"/>
          <w:color w:val="auto"/>
        </w:rPr>
      </w:pPr>
      <w:r>
        <w:rPr>
          <w:rFonts w:ascii="Arial" w:cs="Arial" w:eastAsia="Arial" w:hAnsi="Arial"/>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6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Our amended and restated certificate of incorporation that will be in effect immediately prior to the closing of this offering will authorize us to indemnify our directors, officers, employees, and other agents to the fullest extent permitted by Delaware law. Our amended and restated bylaws that will be in effect immediately prior to the closing of this offering will provide that we are required to indemnify our directors and executive officers to the fullest extent permitted by Delaware law and may indemnify our other officers, employees, and agents. Our amended and restated bylaws that will be in effect immediately prior to the closing of this offering will also provide that, on satisfaction of certain conditions, we will advance expenses incurred by a director or executive officer in advance of the final disposition of any action or proceeding, and permit us to secure insurance on behalf of any officer, director, employee, or other agent. We have entered and expect to continue to enter into agreements to indemnify our directors and executive officers. With certain exceptions, these agreements provide for indemnification for related expenses including attorneys’ fees, judgments, fines, and settlement amounts</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245</w:t>
      </w:r>
    </w:p>
    <w:p>
      <w:pPr>
        <w:sectPr>
          <w:pgSz w:w="11900" w:h="16838" w:orient="portrait"/>
          <w:cols w:equalWidth="0" w:num="1">
            <w:col w:w="10780"/>
          </w:cols>
          <w:pgMar w:left="320" w:top="440" w:right="79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54" w:lineRule="auto"/>
        <w:rPr>
          <w:sz w:val="20"/>
          <w:szCs w:val="20"/>
          <w:color w:val="auto"/>
        </w:rPr>
      </w:pPr>
      <w:r>
        <w:rPr>
          <w:rFonts w:ascii="Arial" w:cs="Arial" w:eastAsia="Arial" w:hAnsi="Arial"/>
          <w:sz w:val="17"/>
          <w:szCs w:val="17"/>
          <w:color w:val="auto"/>
        </w:rPr>
        <w:t>incurred by any of these individuals in connection with any action, proceeding, or investigation. We believe that this amended and restated certificate of incorporation and these amended and restated bylaw provisions and indemnification agreements are necessary to attract and retain qualified persons as directors and officers. We also maintain customary directors’ and officers’ liability insurance. In addition, Jeffrey Jordan and Daniel Sundheim are indemnified, subject to certain limitations, against liabilities incurred in their capacities as our directors pursuant to agreements with Andreessen Horowitz and D1 Capital Partners, respectively.</w:t>
      </w:r>
    </w:p>
    <w:p>
      <w:pPr>
        <w:spacing w:after="0" w:line="181"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that will each be in effect immediately prior to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5"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246</w:t>
      </w:r>
    </w:p>
    <w:p>
      <w:pPr>
        <w:sectPr>
          <w:pgSz w:w="11900" w:h="16838" w:orient="portrait"/>
          <w:cols w:equalWidth="0" w:num="1">
            <w:col w:w="10760"/>
          </w:cols>
          <w:pgMar w:left="320" w:top="440" w:right="81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EXECUTIVE COMPENSATION</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4"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and objectives, discusses our executive compensation program and policies, and analyzes how and why the compensation committee of our board of directors arrived at the specific fiscal year 2022 compensation decisions with respect to the following current and former executive officers during the fiscal year ended December 31, 2022, who are collectively referred to herein as our “named executive officers:”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4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4860" w:type="dxa"/>
            <w:vAlign w:val="bottom"/>
          </w:tcPr>
          <w:p>
            <w:pPr>
              <w:ind w:left="2120"/>
              <w:spacing w:after="0"/>
              <w:rPr>
                <w:sz w:val="20"/>
                <w:szCs w:val="20"/>
                <w:color w:val="auto"/>
              </w:rPr>
            </w:pPr>
            <w:r>
              <w:rPr>
                <w:rFonts w:ascii="Arial" w:cs="Arial" w:eastAsia="Arial" w:hAnsi="Arial"/>
                <w:sz w:val="13"/>
                <w:szCs w:val="13"/>
                <w:b w:val="1"/>
                <w:bCs w:val="1"/>
                <w:color w:val="auto"/>
              </w:rPr>
              <w:t>Position(s)</w:t>
            </w:r>
          </w:p>
        </w:tc>
      </w:tr>
      <w:tr>
        <w:trPr>
          <w:trHeight w:val="183"/>
        </w:trPr>
        <w:tc>
          <w:tcPr>
            <w:tcW w:w="20" w:type="dxa"/>
            <w:vAlign w:val="bottom"/>
          </w:tcPr>
          <w:p>
            <w:pPr>
              <w:spacing w:after="0"/>
              <w:rPr>
                <w:sz w:val="15"/>
                <w:szCs w:val="15"/>
                <w:color w:val="auto"/>
              </w:rPr>
            </w:pPr>
          </w:p>
        </w:tc>
        <w:tc>
          <w:tcPr>
            <w:tcW w:w="526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Fidji Simo</w:t>
            </w:r>
          </w:p>
        </w:tc>
        <w:tc>
          <w:tcPr>
            <w:tcW w:w="200" w:type="dxa"/>
            <w:vAlign w:val="bottom"/>
          </w:tcPr>
          <w:p>
            <w:pPr>
              <w:spacing w:after="0"/>
              <w:rPr>
                <w:sz w:val="15"/>
                <w:szCs w:val="15"/>
                <w:color w:val="auto"/>
              </w:rPr>
            </w:pPr>
          </w:p>
        </w:tc>
        <w:tc>
          <w:tcPr>
            <w:tcW w:w="486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Chief Executive Officer and President</w:t>
            </w:r>
          </w:p>
        </w:tc>
      </w:tr>
      <w:tr>
        <w:trPr>
          <w:trHeight w:val="203"/>
        </w:trPr>
        <w:tc>
          <w:tcPr>
            <w:tcW w:w="5480" w:type="dxa"/>
            <w:vAlign w:val="bottom"/>
            <w:gridSpan w:val="3"/>
          </w:tcPr>
          <w:p>
            <w:pPr>
              <w:spacing w:after="0"/>
              <w:rPr>
                <w:sz w:val="20"/>
                <w:szCs w:val="20"/>
                <w:color w:val="auto"/>
              </w:rPr>
            </w:pPr>
            <w:r>
              <w:rPr>
                <w:rFonts w:ascii="Arial" w:cs="Arial" w:eastAsia="Arial" w:hAnsi="Arial"/>
                <w:sz w:val="17"/>
                <w:szCs w:val="17"/>
                <w:color w:val="auto"/>
              </w:rPr>
              <w:t>Nick Giovanni</w:t>
            </w:r>
          </w:p>
        </w:tc>
        <w:tc>
          <w:tcPr>
            <w:tcW w:w="486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r>
        <w:trPr>
          <w:trHeight w:val="203"/>
        </w:trPr>
        <w:tc>
          <w:tcPr>
            <w:tcW w:w="5480" w:type="dxa"/>
            <w:vAlign w:val="bottom"/>
            <w:gridSpan w:val="3"/>
          </w:tcPr>
          <w:p>
            <w:pPr>
              <w:spacing w:after="0"/>
              <w:rPr>
                <w:sz w:val="20"/>
                <w:szCs w:val="20"/>
                <w:color w:val="auto"/>
              </w:rPr>
            </w:pPr>
            <w:r>
              <w:rPr>
                <w:rFonts w:ascii="Arial" w:cs="Arial" w:eastAsia="Arial" w:hAnsi="Arial"/>
                <w:sz w:val="17"/>
                <w:szCs w:val="17"/>
                <w:color w:val="auto"/>
              </w:rPr>
              <w:t>Asha Sharma</w:t>
            </w:r>
          </w:p>
        </w:tc>
        <w:tc>
          <w:tcPr>
            <w:tcW w:w="4860" w:type="dxa"/>
            <w:vAlign w:val="bottom"/>
          </w:tcPr>
          <w:p>
            <w:pPr>
              <w:spacing w:after="0"/>
              <w:rPr>
                <w:sz w:val="20"/>
                <w:szCs w:val="20"/>
                <w:color w:val="auto"/>
              </w:rPr>
            </w:pPr>
            <w:r>
              <w:rPr>
                <w:rFonts w:ascii="Arial" w:cs="Arial" w:eastAsia="Arial" w:hAnsi="Arial"/>
                <w:sz w:val="17"/>
                <w:szCs w:val="17"/>
                <w:color w:val="auto"/>
              </w:rPr>
              <w:t>Chief Operating Officer</w:t>
            </w:r>
          </w:p>
        </w:tc>
      </w:tr>
      <w:tr>
        <w:trPr>
          <w:trHeight w:val="203"/>
        </w:trPr>
        <w:tc>
          <w:tcPr>
            <w:tcW w:w="5480" w:type="dxa"/>
            <w:vAlign w:val="bottom"/>
            <w:gridSpan w:val="3"/>
          </w:tcPr>
          <w:p>
            <w:pPr>
              <w:spacing w:after="0"/>
              <w:rPr>
                <w:sz w:val="20"/>
                <w:szCs w:val="20"/>
                <w:color w:val="auto"/>
              </w:rPr>
            </w:pPr>
            <w:r>
              <w:rPr>
                <w:rFonts w:ascii="Arial" w:cs="Arial" w:eastAsia="Arial" w:hAnsi="Arial"/>
                <w:sz w:val="17"/>
                <w:szCs w:val="17"/>
                <w:color w:val="auto"/>
              </w:rPr>
              <w:t>Morgan Fong</w:t>
            </w:r>
          </w:p>
        </w:tc>
        <w:tc>
          <w:tcPr>
            <w:tcW w:w="4860" w:type="dxa"/>
            <w:vAlign w:val="bottom"/>
          </w:tcPr>
          <w:p>
            <w:pPr>
              <w:spacing w:after="0"/>
              <w:rPr>
                <w:sz w:val="20"/>
                <w:szCs w:val="20"/>
                <w:color w:val="auto"/>
              </w:rPr>
            </w:pPr>
            <w:r>
              <w:rPr>
                <w:rFonts w:ascii="Arial" w:cs="Arial" w:eastAsia="Arial" w:hAnsi="Arial"/>
                <w:sz w:val="17"/>
                <w:szCs w:val="17"/>
                <w:color w:val="auto"/>
              </w:rPr>
              <w:t>General Counsel and Secretary</w:t>
            </w:r>
          </w:p>
        </w:tc>
      </w:tr>
      <w:tr>
        <w:trPr>
          <w:trHeight w:val="334"/>
        </w:trPr>
        <w:tc>
          <w:tcPr>
            <w:tcW w:w="5480" w:type="dxa"/>
            <w:vAlign w:val="bottom"/>
            <w:gridSpan w:val="3"/>
          </w:tcPr>
          <w:p>
            <w:pPr>
              <w:spacing w:after="0"/>
              <w:rPr>
                <w:sz w:val="20"/>
                <w:szCs w:val="20"/>
                <w:color w:val="auto"/>
              </w:rPr>
            </w:pPr>
            <w:r>
              <w:rPr>
                <w:rFonts w:ascii="Arial" w:cs="Arial" w:eastAsia="Arial" w:hAnsi="Arial"/>
                <w:sz w:val="17"/>
                <w:szCs w:val="17"/>
                <w:color w:val="auto"/>
              </w:rPr>
              <w:t>Mark Schaaf</w:t>
            </w:r>
            <w:r>
              <w:rPr>
                <w:rFonts w:ascii="Arial" w:cs="Arial" w:eastAsia="Arial" w:hAnsi="Arial"/>
                <w:sz w:val="25"/>
                <w:szCs w:val="25"/>
                <w:color w:val="auto"/>
                <w:vertAlign w:val="superscript"/>
              </w:rPr>
              <w:t>(1)</w:t>
            </w:r>
          </w:p>
        </w:tc>
        <w:tc>
          <w:tcPr>
            <w:tcW w:w="4860" w:type="dxa"/>
            <w:vAlign w:val="bottom"/>
          </w:tcPr>
          <w:p>
            <w:pPr>
              <w:spacing w:after="0"/>
              <w:rPr>
                <w:sz w:val="20"/>
                <w:szCs w:val="20"/>
                <w:color w:val="auto"/>
              </w:rPr>
            </w:pPr>
            <w:r>
              <w:rPr>
                <w:rFonts w:ascii="Arial" w:cs="Arial" w:eastAsia="Arial" w:hAnsi="Arial"/>
                <w:sz w:val="17"/>
                <w:szCs w:val="17"/>
                <w:color w:val="auto"/>
              </w:rPr>
              <w:t>Former 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13335</wp:posOffset>
            </wp:positionV>
            <wp:extent cx="7239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3" w:lineRule="exact"/>
        <w:rPr>
          <w:sz w:val="20"/>
          <w:szCs w:val="20"/>
          <w:color w:val="auto"/>
        </w:rPr>
      </w:pPr>
    </w:p>
    <w:p>
      <w:pPr>
        <w:ind w:left="860" w:hanging="403"/>
        <w:spacing w:after="0"/>
        <w:tabs>
          <w:tab w:leader="none" w:pos="86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Mr. Schaaf ceased serving as our Chief Technology Officer, effective September 21, 2022.</w:t>
      </w:r>
    </w:p>
    <w:p>
      <w:pPr>
        <w:spacing w:after="0" w:line="39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Executive Summary</w:t>
      </w:r>
    </w:p>
    <w:p>
      <w:pPr>
        <w:spacing w:after="0" w:line="214"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Fiscal year 2022 was a significant year for our business, as we looked to capitalize on our growth and momentum. As the leading grocery technology company, we continued to innovate and execute our long-term vision to power the future of grocery through technology. We delivered more value for consumers, retailers, brands, and shoppers—all while generating strong growth and improved profitability, which will allow us to continue investing in new opportunities to further support our partners.</w:t>
      </w:r>
    </w:p>
    <w:p>
      <w:pPr>
        <w:spacing w:after="0" w:line="37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14"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Our compensation committee has oversight of our executive compensation programs and evaluates their competitiveness and function so that we maintain our ability to attract and retain superior employees in key positions and motivate strong performance against our strategic goals and ultimate objective of creating stockholder value.</w:t>
      </w:r>
    </w:p>
    <w:p>
      <w:pPr>
        <w:spacing w:after="0" w:line="175"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As our business and company continue to transform, our compensation programs continue to evolve and develop into those appropriate to our size and stage of business. We continue to carefully evaluate our compensation arrangements and develop programs that we feel are the most appropriate to drive results for our company and our stockholders. As we make changes to expand our business, we focus on ensuring that our pay program aligns our executives’ compensation with our stockholders’ interests and our company’s performance over the long term.</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Specifically, our executive compensation program is designed to:</w:t>
      </w:r>
    </w:p>
    <w:p>
      <w:pPr>
        <w:spacing w:after="0" w:line="121" w:lineRule="exact"/>
        <w:rPr>
          <w:sz w:val="20"/>
          <w:szCs w:val="20"/>
          <w:color w:val="auto"/>
        </w:rPr>
      </w:pPr>
    </w:p>
    <w:p>
      <w:pPr>
        <w:ind w:left="1360" w:hanging="498"/>
        <w:spacing w:after="0"/>
        <w:tabs>
          <w:tab w:leader="none" w:pos="13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attract, retain, and motivate top talent;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align our compensation structures with our strategic needs and market practices;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provide incentives that align our executives’ interests with those of our stockholders;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promote consistency and internal equity amongst our executive team.</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247</w:t>
      </w:r>
    </w:p>
    <w:p>
      <w:pPr>
        <w:sectPr>
          <w:pgSz w:w="11900" w:h="16838" w:orient="portrait"/>
          <w:cols w:equalWidth="0" w:num="1">
            <w:col w:w="10800"/>
          </w:cols>
          <w:pgMar w:left="320" w:top="440" w:right="77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ectPr>
          <w:pgSz w:w="11900" w:h="16838" w:orient="portrait"/>
          <w:cols w:equalWidth="0" w:num="1">
            <w:col w:w="10780"/>
          </w:cols>
          <w:pgMar w:left="320" w:top="440" w:right="799" w:bottom="1440" w:gutter="0" w:footer="0" w:header="0"/>
        </w:sectPr>
      </w:pP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Executive Compensation Policies and Practices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executive compensation program adheres to the following practices:</w:t>
      </w:r>
    </w:p>
    <w:p>
      <w:pPr>
        <w:spacing w:after="0" w:line="250" w:lineRule="exact"/>
        <w:rPr>
          <w:sz w:val="20"/>
          <w:szCs w:val="20"/>
          <w:color w:val="auto"/>
        </w:rPr>
      </w:pPr>
    </w:p>
    <w:p>
      <w:pPr>
        <w:jc w:val="center"/>
        <w:ind w:left="420"/>
        <w:spacing w:after="0"/>
        <w:rPr>
          <w:sz w:val="20"/>
          <w:szCs w:val="20"/>
          <w:color w:val="auto"/>
        </w:rPr>
      </w:pPr>
      <w:r>
        <w:rPr>
          <w:rFonts w:ascii="Arial" w:cs="Arial" w:eastAsia="Arial" w:hAnsi="Arial"/>
          <w:sz w:val="13"/>
          <w:szCs w:val="13"/>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14605</wp:posOffset>
            </wp:positionV>
            <wp:extent cx="3353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53435" cy="8255"/>
                    </a:xfrm>
                    <a:prstGeom prst="rect">
                      <a:avLst/>
                    </a:prstGeom>
                    <a:noFill/>
                  </pic:spPr>
                </pic:pic>
              </a:graphicData>
            </a:graphic>
          </wp:anchor>
        </w:drawing>
      </w:r>
    </w:p>
    <w:p>
      <w:pPr>
        <w:spacing w:after="0" w:line="5" w:lineRule="exact"/>
        <w:rPr>
          <w:sz w:val="20"/>
          <w:szCs w:val="20"/>
          <w:color w:val="auto"/>
        </w:rPr>
      </w:pPr>
    </w:p>
    <w:p>
      <w:pPr>
        <w:ind w:left="460" w:right="660" w:firstLine="335"/>
        <w:spacing w:after="0" w:line="254" w:lineRule="auto"/>
        <w:tabs>
          <w:tab w:leader="none" w:pos="979" w:val="left"/>
        </w:tabs>
        <w:numPr>
          <w:ilvl w:val="0"/>
          <w:numId w:val="247"/>
        </w:numPr>
        <w:rPr>
          <w:rFonts w:ascii="MS PGothic" w:cs="MS PGothic" w:eastAsia="MS PGothic" w:hAnsi="MS PGothic"/>
          <w:sz w:val="17"/>
          <w:szCs w:val="17"/>
          <w:color w:val="auto"/>
        </w:rPr>
      </w:pPr>
      <w:r>
        <w:rPr>
          <w:rFonts w:ascii="Arial" w:cs="Arial" w:eastAsia="Arial" w:hAnsi="Arial"/>
          <w:sz w:val="17"/>
          <w:szCs w:val="17"/>
          <w:color w:val="auto"/>
        </w:rPr>
        <w:t>Deliver a majority of compensation through long-term equity incentives</w:t>
      </w:r>
    </w:p>
    <w:p>
      <w:pPr>
        <w:spacing w:after="0" w:line="1" w:lineRule="exact"/>
        <w:rPr>
          <w:rFonts w:ascii="MS PGothic" w:cs="MS PGothic" w:eastAsia="MS PGothic" w:hAnsi="MS PGothic"/>
          <w:sz w:val="17"/>
          <w:szCs w:val="17"/>
          <w:color w:val="auto"/>
        </w:rPr>
      </w:pPr>
    </w:p>
    <w:p>
      <w:pPr>
        <w:ind w:left="460" w:right="160" w:firstLine="335"/>
        <w:spacing w:after="0" w:line="248" w:lineRule="auto"/>
        <w:tabs>
          <w:tab w:leader="none" w:pos="979" w:val="left"/>
        </w:tabs>
        <w:numPr>
          <w:ilvl w:val="0"/>
          <w:numId w:val="247"/>
        </w:numPr>
        <w:rPr>
          <w:rFonts w:ascii="MS PGothic" w:cs="MS PGothic" w:eastAsia="MS PGothic" w:hAnsi="MS PGothic"/>
          <w:sz w:val="17"/>
          <w:szCs w:val="17"/>
          <w:color w:val="auto"/>
        </w:rPr>
      </w:pPr>
      <w:r>
        <w:rPr>
          <w:rFonts w:ascii="Arial" w:cs="Arial" w:eastAsia="Arial" w:hAnsi="Arial"/>
          <w:sz w:val="17"/>
          <w:szCs w:val="17"/>
          <w:color w:val="auto"/>
        </w:rPr>
        <w:t>Determine incentive opportunities based on corporate and individual performance</w:t>
      </w:r>
    </w:p>
    <w:p>
      <w:pPr>
        <w:spacing w:after="0" w:line="1" w:lineRule="exact"/>
        <w:rPr>
          <w:rFonts w:ascii="MS PGothic" w:cs="MS PGothic" w:eastAsia="MS PGothic" w:hAnsi="MS PGothic"/>
          <w:sz w:val="17"/>
          <w:szCs w:val="17"/>
          <w:color w:val="auto"/>
        </w:rPr>
      </w:pPr>
    </w:p>
    <w:p>
      <w:pPr>
        <w:ind w:left="980" w:hanging="185"/>
        <w:spacing w:after="0"/>
        <w:tabs>
          <w:tab w:leader="none" w:pos="980" w:val="left"/>
        </w:tabs>
        <w:numPr>
          <w:ilvl w:val="0"/>
          <w:numId w:val="247"/>
        </w:numPr>
        <w:rPr>
          <w:rFonts w:ascii="MS PGothic" w:cs="MS PGothic" w:eastAsia="MS PGothic" w:hAnsi="MS PGothic"/>
          <w:sz w:val="17"/>
          <w:szCs w:val="17"/>
          <w:color w:val="auto"/>
        </w:rPr>
      </w:pPr>
      <w:r>
        <w:rPr>
          <w:rFonts w:ascii="Arial" w:cs="Arial" w:eastAsia="Arial" w:hAnsi="Arial"/>
          <w:sz w:val="17"/>
          <w:szCs w:val="17"/>
          <w:color w:val="auto"/>
        </w:rPr>
        <w:t>Assess risks of our compensation program</w:t>
      </w:r>
    </w:p>
    <w:p>
      <w:pPr>
        <w:spacing w:after="0" w:line="9" w:lineRule="exact"/>
        <w:rPr>
          <w:rFonts w:ascii="MS PGothic" w:cs="MS PGothic" w:eastAsia="MS PGothic" w:hAnsi="MS PGothic"/>
          <w:sz w:val="17"/>
          <w:szCs w:val="17"/>
          <w:color w:val="auto"/>
        </w:rPr>
      </w:pPr>
    </w:p>
    <w:p>
      <w:pPr>
        <w:ind w:left="980" w:hanging="185"/>
        <w:spacing w:after="0"/>
        <w:tabs>
          <w:tab w:leader="none" w:pos="980" w:val="left"/>
        </w:tabs>
        <w:numPr>
          <w:ilvl w:val="0"/>
          <w:numId w:val="247"/>
        </w:numPr>
        <w:rPr>
          <w:rFonts w:ascii="MS PGothic" w:cs="MS PGothic" w:eastAsia="MS PGothic" w:hAnsi="MS PGothic"/>
          <w:sz w:val="17"/>
          <w:szCs w:val="17"/>
          <w:color w:val="auto"/>
        </w:rPr>
      </w:pPr>
      <w:r>
        <w:rPr>
          <w:rFonts w:ascii="Arial" w:cs="Arial" w:eastAsia="Arial" w:hAnsi="Arial"/>
          <w:sz w:val="17"/>
          <w:szCs w:val="17"/>
          <w:color w:val="auto"/>
        </w:rPr>
        <w:t>Retain an independent compensation advisor</w:t>
      </w:r>
    </w:p>
    <w:p>
      <w:pPr>
        <w:spacing w:after="0" w:line="7" w:lineRule="exact"/>
        <w:rPr>
          <w:rFonts w:ascii="MS PGothic" w:cs="MS PGothic" w:eastAsia="MS PGothic" w:hAnsi="MS PGothic"/>
          <w:sz w:val="17"/>
          <w:szCs w:val="17"/>
          <w:color w:val="auto"/>
        </w:rPr>
      </w:pPr>
    </w:p>
    <w:p>
      <w:pPr>
        <w:ind w:left="980" w:hanging="185"/>
        <w:spacing w:after="0"/>
        <w:tabs>
          <w:tab w:leader="none" w:pos="980" w:val="left"/>
        </w:tabs>
        <w:numPr>
          <w:ilvl w:val="0"/>
          <w:numId w:val="247"/>
        </w:numPr>
        <w:rPr>
          <w:rFonts w:ascii="MS PGothic" w:cs="MS PGothic" w:eastAsia="MS PGothic" w:hAnsi="MS PGothic"/>
          <w:sz w:val="17"/>
          <w:szCs w:val="17"/>
          <w:color w:val="auto"/>
        </w:rPr>
      </w:pPr>
      <w:r>
        <w:rPr>
          <w:rFonts w:ascii="Arial" w:cs="Arial" w:eastAsia="Arial" w:hAnsi="Arial"/>
          <w:sz w:val="17"/>
          <w:szCs w:val="17"/>
          <w:color w:val="auto"/>
        </w:rPr>
        <w:t>Broadly use double-trigger change in control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307975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 w:lineRule="exact"/>
        <w:rPr>
          <w:sz w:val="20"/>
          <w:szCs w:val="20"/>
          <w:color w:val="auto"/>
        </w:rPr>
      </w:pPr>
    </w:p>
    <w:p>
      <w:pPr>
        <w:ind w:left="-20" w:firstLine="338"/>
        <w:spacing w:after="0" w:line="254" w:lineRule="auto"/>
        <w:tabs>
          <w:tab w:leader="none" w:pos="499" w:val="left"/>
        </w:tabs>
        <w:numPr>
          <w:ilvl w:val="0"/>
          <w:numId w:val="248"/>
        </w:numPr>
        <w:rPr>
          <w:rFonts w:ascii="MS PGothic" w:cs="MS PGothic" w:eastAsia="MS PGothic" w:hAnsi="MS PGothic"/>
          <w:sz w:val="17"/>
          <w:szCs w:val="17"/>
          <w:color w:val="auto"/>
        </w:rPr>
      </w:pPr>
      <w:r>
        <w:rPr>
          <w:rFonts w:ascii="Arial" w:cs="Arial" w:eastAsia="Arial" w:hAnsi="Arial"/>
          <w:sz w:val="17"/>
          <w:szCs w:val="17"/>
          <w:color w:val="auto"/>
        </w:rPr>
        <w:t>No tax reimbursements or tax gross-ups on severance or change in control payments</w:t>
      </w:r>
    </w:p>
    <w:p>
      <w:pPr>
        <w:spacing w:after="0" w:line="1" w:lineRule="exact"/>
        <w:rPr>
          <w:rFonts w:ascii="MS PGothic" w:cs="MS PGothic" w:eastAsia="MS PGothic" w:hAnsi="MS PGothic"/>
          <w:sz w:val="17"/>
          <w:szCs w:val="17"/>
          <w:color w:val="auto"/>
        </w:rPr>
      </w:pPr>
    </w:p>
    <w:p>
      <w:pPr>
        <w:ind w:left="-20" w:right="200" w:firstLine="338"/>
        <w:spacing w:after="0" w:line="248" w:lineRule="auto"/>
        <w:tabs>
          <w:tab w:leader="none" w:pos="499" w:val="left"/>
        </w:tabs>
        <w:numPr>
          <w:ilvl w:val="0"/>
          <w:numId w:val="248"/>
        </w:numPr>
        <w:rPr>
          <w:rFonts w:ascii="MS PGothic" w:cs="MS PGothic" w:eastAsia="MS PGothic" w:hAnsi="MS PGothic"/>
          <w:sz w:val="17"/>
          <w:szCs w:val="17"/>
          <w:color w:val="auto"/>
        </w:rPr>
      </w:pPr>
      <w:r>
        <w:rPr>
          <w:rFonts w:ascii="Arial" w:cs="Arial" w:eastAsia="Arial" w:hAnsi="Arial"/>
          <w:sz w:val="17"/>
          <w:szCs w:val="17"/>
          <w:color w:val="auto"/>
        </w:rPr>
        <w:t>No special executive welfare or health benefits, or retirement plans not available to our employees generally</w:t>
      </w:r>
    </w:p>
    <w:p>
      <w:pPr>
        <w:spacing w:after="0" w:line="1" w:lineRule="exact"/>
        <w:rPr>
          <w:rFonts w:ascii="MS PGothic" w:cs="MS PGothic" w:eastAsia="MS PGothic" w:hAnsi="MS PGothic"/>
          <w:sz w:val="17"/>
          <w:szCs w:val="17"/>
          <w:color w:val="auto"/>
        </w:rPr>
      </w:pPr>
    </w:p>
    <w:p>
      <w:pPr>
        <w:ind w:left="500" w:hanging="182"/>
        <w:spacing w:after="0"/>
        <w:tabs>
          <w:tab w:leader="none" w:pos="500" w:val="left"/>
        </w:tabs>
        <w:numPr>
          <w:ilvl w:val="0"/>
          <w:numId w:val="248"/>
        </w:numPr>
        <w:rPr>
          <w:rFonts w:ascii="MS PGothic" w:cs="MS PGothic" w:eastAsia="MS PGothic" w:hAnsi="MS PGothic"/>
          <w:sz w:val="17"/>
          <w:szCs w:val="17"/>
          <w:color w:val="auto"/>
        </w:rPr>
      </w:pPr>
      <w:r>
        <w:rPr>
          <w:rFonts w:ascii="Arial" w:cs="Arial" w:eastAsia="Arial" w:hAnsi="Arial"/>
          <w:sz w:val="17"/>
          <w:szCs w:val="17"/>
          <w:color w:val="auto"/>
        </w:rPr>
        <w:t>No guaranteed salary increases or annual bonuses</w:t>
      </w:r>
    </w:p>
    <w:p>
      <w:pPr>
        <w:spacing w:after="0" w:line="9" w:lineRule="exact"/>
        <w:rPr>
          <w:rFonts w:ascii="MS PGothic" w:cs="MS PGothic" w:eastAsia="MS PGothic" w:hAnsi="MS PGothic"/>
          <w:sz w:val="17"/>
          <w:szCs w:val="17"/>
          <w:color w:val="auto"/>
        </w:rPr>
      </w:pPr>
    </w:p>
    <w:p>
      <w:pPr>
        <w:ind w:left="500" w:hanging="182"/>
        <w:spacing w:after="0"/>
        <w:tabs>
          <w:tab w:leader="none" w:pos="500" w:val="left"/>
        </w:tabs>
        <w:numPr>
          <w:ilvl w:val="0"/>
          <w:numId w:val="248"/>
        </w:numPr>
        <w:rPr>
          <w:rFonts w:ascii="MS PGothic" w:cs="MS PGothic" w:eastAsia="MS PGothic" w:hAnsi="MS PGothic"/>
          <w:sz w:val="17"/>
          <w:szCs w:val="17"/>
          <w:color w:val="auto"/>
        </w:rPr>
      </w:pPr>
      <w:r>
        <w:rPr>
          <w:rFonts w:ascii="Arial" w:cs="Arial" w:eastAsia="Arial" w:hAnsi="Arial"/>
          <w:sz w:val="17"/>
          <w:szCs w:val="17"/>
          <w:color w:val="auto"/>
        </w:rPr>
        <w:t>No hedging or pledging of our stock</w:t>
      </w:r>
    </w:p>
    <w:p>
      <w:pPr>
        <w:spacing w:after="0" w:line="402" w:lineRule="exact"/>
        <w:rPr>
          <w:sz w:val="20"/>
          <w:szCs w:val="20"/>
          <w:color w:val="auto"/>
        </w:rPr>
      </w:pPr>
    </w:p>
    <w:p>
      <w:pPr>
        <w:sectPr>
          <w:pgSz w:w="11900" w:h="16838" w:orient="portrait"/>
          <w:cols w:equalWidth="0" w:num="2">
            <w:col w:w="5780" w:space="180"/>
            <w:col w:w="4820"/>
          </w:cols>
          <w:pgMar w:left="320" w:top="440" w:right="799" w:bottom="1440" w:gutter="0" w:footer="0" w:header="0"/>
          <w:type w:val="continuous"/>
        </w:sectPr>
      </w:pPr>
    </w:p>
    <w:p>
      <w:pPr>
        <w:spacing w:after="0" w:line="20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How We Determine Executive Compensation</w:t>
      </w:r>
    </w:p>
    <w:p>
      <w:pPr>
        <w:spacing w:after="0" w:line="214" w:lineRule="exact"/>
        <w:rPr>
          <w:sz w:val="20"/>
          <w:szCs w:val="20"/>
          <w:color w:val="auto"/>
        </w:rPr>
      </w:pPr>
    </w:p>
    <w:p>
      <w:pPr>
        <w:ind w:left="460" w:right="280" w:firstLine="413"/>
        <w:spacing w:after="0" w:line="277" w:lineRule="auto"/>
        <w:rPr>
          <w:sz w:val="20"/>
          <w:szCs w:val="20"/>
          <w:color w:val="auto"/>
        </w:rPr>
      </w:pPr>
      <w:r>
        <w:rPr>
          <w:rFonts w:ascii="Arial" w:cs="Arial" w:eastAsia="Arial" w:hAnsi="Arial"/>
          <w:sz w:val="16"/>
          <w:szCs w:val="16"/>
          <w:color w:val="auto"/>
        </w:rPr>
        <w:t>Our compensation committee is responsible for reviewing and approving the compensation of our Chief Executive Officer and other executive officers, including base salaries, short-term and long-term incentive compensation, the size and structure of equity awards, and any executive perquisites. Our compensation committee makes decisions on a case-by-case basis and considers market insights, competitive dynamics, prior experience, and future role with Instacart in structuring a total compensation package for each named executive officer.</w:t>
      </w:r>
    </w:p>
    <w:p>
      <w:pPr>
        <w:spacing w:after="0" w:line="164"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Our compensation committee generally determines the principal components of compensation for our executive officers on an annual basis; however, decisions may be made at other times for new hires, promotions, or other special circumstances as our compensation committee determines appropriate.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Role of Management</w:t>
      </w:r>
    </w:p>
    <w:p>
      <w:pPr>
        <w:spacing w:after="0" w:line="108" w:lineRule="exact"/>
        <w:rPr>
          <w:sz w:val="20"/>
          <w:szCs w:val="20"/>
          <w:color w:val="auto"/>
        </w:rPr>
      </w:pPr>
    </w:p>
    <w:p>
      <w:pPr>
        <w:ind w:left="460" w:right="60" w:firstLine="413"/>
        <w:spacing w:after="0" w:line="291" w:lineRule="auto"/>
        <w:rPr>
          <w:sz w:val="20"/>
          <w:szCs w:val="20"/>
          <w:color w:val="auto"/>
        </w:rPr>
      </w:pPr>
      <w:r>
        <w:rPr>
          <w:rFonts w:ascii="Arial" w:cs="Arial" w:eastAsia="Arial" w:hAnsi="Arial"/>
          <w:sz w:val="15"/>
          <w:szCs w:val="15"/>
          <w:color w:val="auto"/>
        </w:rPr>
        <w:t>Our compensation committee has worked with and received information and analyses from management, including within our legal, finance, and human resources departments, and our Chief Executive Officer, and considered such information and analyses in determining the structure and amount of compensation to be paid to our executive officers, including our named executive officers. Our Chief Executive Officer evaluates and provides to our compensation committee executive officer performance assessments and management’s recommendations and proposals regarding executive officer compensation programs and decisions affecting base salaries, short-term incentive compensation, long-term incentive compensation, and other compensation-related matters outside of the presence of any other named executive officers. However, our compensation committee retains the final authority to make all compensation decisions for our named executive officers, including our Chief Executive Officer.</w:t>
      </w:r>
    </w:p>
    <w:p>
      <w:pPr>
        <w:spacing w:after="0" w:line="157"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From time to time, various other members of management and other employees, as well as outside advisors or consultants, may be invited to make presentations, provide financial or other background information or advice, or otherwise participate in our board of directors and compensation committee meetings. Members of management, including our Chief Executive Officer, may attend portions of our board of directors or compensation committee meetings; however, our Chief Executive Officer may not be present during decisions regarding her compensation.</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Role of Compensation Consultant</w:t>
      </w:r>
    </w:p>
    <w:p>
      <w:pPr>
        <w:spacing w:after="0" w:line="108"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Our compensation committee has the authority to engage its own advisors to assist in carrying out its responsibilities. Our compensation committee engaged Semler Brossy Consulting Group, or Semler Brossy, to provide guidance regarding the amount and types of compensation that we pay our executive officers, how our</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248</w:t>
      </w:r>
    </w:p>
    <w:p>
      <w:pPr>
        <w:sectPr>
          <w:pgSz w:w="11900" w:h="16838" w:orient="portrait"/>
          <w:cols w:equalWidth="0" w:num="1">
            <w:col w:w="10780"/>
          </w:cols>
          <w:pgMar w:left="320" w:top="440" w:right="799"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80"/>
        <w:spacing w:after="0" w:line="301" w:lineRule="auto"/>
        <w:rPr>
          <w:sz w:val="20"/>
          <w:szCs w:val="20"/>
          <w:color w:val="auto"/>
        </w:rPr>
      </w:pPr>
      <w:r>
        <w:rPr>
          <w:rFonts w:ascii="Arial" w:cs="Arial" w:eastAsia="Arial" w:hAnsi="Arial"/>
          <w:sz w:val="15"/>
          <w:szCs w:val="15"/>
          <w:color w:val="auto"/>
        </w:rPr>
        <w:t>compensation practices compare to the compensation practices of other companies, including with respect to a peer group of companies developed in consultation with Semler Brossy, and other compensation-related matters. Semler Brossy reports directly to our compensation committee, although Semler Brossy may meet with members of management for the purposes of gathering information on proposals that management may make to our compensation committee. Semler Brossy does not provide any services to us other than the services provided to our compensation committee.</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Competitive Market Compensation Data</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When making compensation decisions, our compensation committee believes that it is important to be informed as to the current practices of comparable companies with which we compete for top talent. To this end, our compensation committee worked with Semler Brossy to compile a list of our peer companies to be considered, among other factors, in connection with assessing compensation practices and pay levels. Our compensation committee believes that the peer and market data provided by Semler Brossy, along with other factors, serve as an important reference point when setting compensation for our named executive officers because competition for executive management is intense in our industry and the retention of our talented leadership team is critical to our success.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Peer Group</w:t>
      </w:r>
    </w:p>
    <w:p>
      <w:pPr>
        <w:spacing w:after="0" w:line="108" w:lineRule="exact"/>
        <w:rPr>
          <w:sz w:val="20"/>
          <w:szCs w:val="20"/>
          <w:color w:val="auto"/>
        </w:rPr>
      </w:pPr>
    </w:p>
    <w:p>
      <w:pPr>
        <w:ind w:left="460" w:right="280" w:firstLine="413"/>
        <w:spacing w:after="0" w:line="303" w:lineRule="auto"/>
        <w:rPr>
          <w:sz w:val="20"/>
          <w:szCs w:val="20"/>
          <w:color w:val="auto"/>
        </w:rPr>
      </w:pPr>
      <w:r>
        <w:rPr>
          <w:rFonts w:ascii="Arial" w:cs="Arial" w:eastAsia="Arial" w:hAnsi="Arial"/>
          <w:sz w:val="16"/>
          <w:szCs w:val="16"/>
          <w:color w:val="auto"/>
        </w:rPr>
        <w:t>For fiscal year 2022, our compensation committee, upon recommendation from Semler Brossy, approved a group of companies that would be appropriate peers to be considered, among other factors, when making compensation decisions, based on the following criteria:</w:t>
      </w:r>
    </w:p>
    <w:p>
      <w:pPr>
        <w:spacing w:after="0" w:line="55" w:lineRule="exact"/>
        <w:rPr>
          <w:sz w:val="20"/>
          <w:szCs w:val="20"/>
          <w:color w:val="auto"/>
        </w:rPr>
      </w:pPr>
    </w:p>
    <w:p>
      <w:pPr>
        <w:ind w:left="1360" w:right="480" w:hanging="498"/>
        <w:spacing w:after="0" w:line="272" w:lineRule="auto"/>
        <w:tabs>
          <w:tab w:leader="none" w:pos="13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Industry (Internet &amp; Direct Marketing Retail, IT Services, Interactive Media &amp; Services, Media Software, Entertainment, and other technology companies);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Scale (based on revenue and market capitalization);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Talent profile (companies with which we compete for executive talent); and</w:t>
      </w:r>
    </w:p>
    <w:p>
      <w:pPr>
        <w:spacing w:after="0" w:line="121" w:lineRule="exact"/>
        <w:rPr>
          <w:rFonts w:ascii="Arial" w:cs="Arial" w:eastAsia="Arial" w:hAnsi="Arial"/>
          <w:sz w:val="17"/>
          <w:szCs w:val="17"/>
          <w:color w:val="auto"/>
        </w:rPr>
      </w:pPr>
    </w:p>
    <w:p>
      <w:pPr>
        <w:ind w:left="1360" w:right="700" w:hanging="498"/>
        <w:spacing w:after="0" w:line="272" w:lineRule="auto"/>
        <w:tabs>
          <w:tab w:leader="none" w:pos="13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Business characteristics (companies with a digital marketplace or operation-based component, strong consumer-facing brand, or technology-oriented industry leaders driving disruption in their core business segment).</w:t>
      </w:r>
    </w:p>
    <w:p>
      <w:pPr>
        <w:spacing w:after="0" w:line="165" w:lineRule="exact"/>
        <w:rPr>
          <w:sz w:val="20"/>
          <w:szCs w:val="20"/>
          <w:color w:val="auto"/>
        </w:rPr>
      </w:pPr>
    </w:p>
    <w:p>
      <w:pPr>
        <w:ind w:left="460" w:right="800" w:firstLine="413"/>
        <w:spacing w:after="0" w:line="303" w:lineRule="auto"/>
        <w:rPr>
          <w:sz w:val="20"/>
          <w:szCs w:val="20"/>
          <w:color w:val="auto"/>
        </w:rPr>
      </w:pPr>
      <w:r>
        <w:rPr>
          <w:rFonts w:ascii="Arial" w:cs="Arial" w:eastAsia="Arial" w:hAnsi="Arial"/>
          <w:sz w:val="16"/>
          <w:szCs w:val="16"/>
          <w:color w:val="auto"/>
        </w:rPr>
        <w:t>Using the above criteria, the following 22 companies were identified by our compensation committee in February 2022 as appropriate comparators for our compensation peer group for the purpose of informing executive pay decisions for fiscal year 2022:</w:t>
      </w:r>
    </w:p>
    <w:p>
      <w:pPr>
        <w:spacing w:after="0" w:line="169"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95"/>
              </w:rPr>
              <w:t>Airbnb, Inc.</w:t>
            </w:r>
          </w:p>
        </w:tc>
        <w:tc>
          <w:tcPr>
            <w:tcW w:w="3420" w:type="dxa"/>
            <w:vAlign w:val="bottom"/>
          </w:tcPr>
          <w:p>
            <w:pPr>
              <w:jc w:val="center"/>
              <w:ind w:left="316"/>
              <w:spacing w:after="0"/>
              <w:rPr>
                <w:sz w:val="20"/>
                <w:szCs w:val="20"/>
                <w:color w:val="auto"/>
              </w:rPr>
            </w:pPr>
            <w:r>
              <w:rPr>
                <w:rFonts w:ascii="Arial" w:cs="Arial" w:eastAsia="Arial" w:hAnsi="Arial"/>
                <w:sz w:val="17"/>
                <w:szCs w:val="17"/>
                <w:color w:val="auto"/>
                <w:w w:val="96"/>
              </w:rPr>
              <w:t>Lyft, Inc.</w:t>
            </w:r>
          </w:p>
        </w:tc>
        <w:tc>
          <w:tcPr>
            <w:tcW w:w="3020" w:type="dxa"/>
            <w:vAlign w:val="bottom"/>
          </w:tcPr>
          <w:p>
            <w:pPr>
              <w:jc w:val="center"/>
              <w:ind w:left="576"/>
              <w:spacing w:after="0"/>
              <w:rPr>
                <w:sz w:val="20"/>
                <w:szCs w:val="20"/>
                <w:color w:val="auto"/>
              </w:rPr>
            </w:pPr>
            <w:r>
              <w:rPr>
                <w:rFonts w:ascii="Arial" w:cs="Arial" w:eastAsia="Arial" w:hAnsi="Arial"/>
                <w:sz w:val="17"/>
                <w:szCs w:val="17"/>
                <w:color w:val="auto"/>
                <w:w w:val="89"/>
              </w:rPr>
              <w:t>Snap Inc.</w:t>
            </w:r>
          </w:p>
        </w:tc>
      </w:t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89"/>
              </w:rPr>
              <w:t>Coinbase Global, Inc.</w:t>
            </w:r>
          </w:p>
        </w:tc>
        <w:tc>
          <w:tcPr>
            <w:tcW w:w="3420" w:type="dxa"/>
            <w:vAlign w:val="bottom"/>
          </w:tcPr>
          <w:p>
            <w:pPr>
              <w:jc w:val="center"/>
              <w:ind w:left="316"/>
              <w:spacing w:after="0"/>
              <w:rPr>
                <w:sz w:val="20"/>
                <w:szCs w:val="20"/>
                <w:color w:val="auto"/>
              </w:rPr>
            </w:pPr>
            <w:r>
              <w:rPr>
                <w:rFonts w:ascii="Arial" w:cs="Arial" w:eastAsia="Arial" w:hAnsi="Arial"/>
                <w:sz w:val="17"/>
                <w:szCs w:val="17"/>
                <w:color w:val="auto"/>
                <w:w w:val="93"/>
              </w:rPr>
              <w:t>Match Group, Inc.</w:t>
            </w: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2"/>
              </w:rPr>
              <w:t>Snowflake Inc.</w:t>
            </w:r>
          </w:p>
        </w:tc>
      </w:t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88"/>
              </w:rPr>
              <w:t>Datadog, Inc.</w:t>
            </w:r>
          </w:p>
        </w:tc>
        <w:tc>
          <w:tcPr>
            <w:tcW w:w="3420" w:type="dxa"/>
            <w:vAlign w:val="bottom"/>
          </w:tcPr>
          <w:p>
            <w:pPr>
              <w:jc w:val="center"/>
              <w:ind w:left="296"/>
              <w:spacing w:after="0"/>
              <w:rPr>
                <w:sz w:val="20"/>
                <w:szCs w:val="20"/>
                <w:color w:val="auto"/>
              </w:rPr>
            </w:pPr>
            <w:r>
              <w:rPr>
                <w:rFonts w:ascii="Arial" w:cs="Arial" w:eastAsia="Arial" w:hAnsi="Arial"/>
                <w:sz w:val="17"/>
                <w:szCs w:val="17"/>
                <w:color w:val="auto"/>
                <w:w w:val="89"/>
              </w:rPr>
              <w:t>Palantir Technologies Inc.</w:t>
            </w: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2"/>
              </w:rPr>
              <w:t>Splunk Inc.</w:t>
            </w:r>
          </w:p>
        </w:tc>
      </w:t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89"/>
              </w:rPr>
              <w:t>DoorDash, Inc.</w:t>
            </w:r>
          </w:p>
        </w:tc>
        <w:tc>
          <w:tcPr>
            <w:tcW w:w="3420" w:type="dxa"/>
            <w:vAlign w:val="bottom"/>
          </w:tcPr>
          <w:p>
            <w:pPr>
              <w:jc w:val="center"/>
              <w:ind w:left="296"/>
              <w:spacing w:after="0"/>
              <w:rPr>
                <w:sz w:val="20"/>
                <w:szCs w:val="20"/>
                <w:color w:val="auto"/>
              </w:rPr>
            </w:pPr>
            <w:r>
              <w:rPr>
                <w:rFonts w:ascii="Arial" w:cs="Arial" w:eastAsia="Arial" w:hAnsi="Arial"/>
                <w:sz w:val="17"/>
                <w:szCs w:val="17"/>
                <w:color w:val="auto"/>
                <w:w w:val="93"/>
              </w:rPr>
              <w:t>Palo Alto Networks, Inc.</w:t>
            </w: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3"/>
              </w:rPr>
              <w:t>Twitter, Inc.</w:t>
            </w:r>
          </w:p>
        </w:tc>
      </w:t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95"/>
              </w:rPr>
              <w:t>DropBox, Inc.</w:t>
            </w:r>
          </w:p>
        </w:tc>
        <w:tc>
          <w:tcPr>
            <w:tcW w:w="3420" w:type="dxa"/>
            <w:vAlign w:val="bottom"/>
          </w:tcPr>
          <w:p>
            <w:pPr>
              <w:jc w:val="center"/>
              <w:ind w:left="316"/>
              <w:spacing w:after="0"/>
              <w:rPr>
                <w:sz w:val="20"/>
                <w:szCs w:val="20"/>
                <w:color w:val="auto"/>
              </w:rPr>
            </w:pPr>
            <w:r>
              <w:rPr>
                <w:rFonts w:ascii="Arial" w:cs="Arial" w:eastAsia="Arial" w:hAnsi="Arial"/>
                <w:sz w:val="17"/>
                <w:szCs w:val="17"/>
                <w:color w:val="auto"/>
                <w:w w:val="91"/>
              </w:rPr>
              <w:t>Peloton Interactive, Inc.</w:t>
            </w: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0"/>
              </w:rPr>
              <w:t>Uber Technologies, Inc.</w:t>
            </w:r>
          </w:p>
        </w:tc>
      </w:t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88"/>
              </w:rPr>
              <w:t>Etsy, Inc.</w:t>
            </w:r>
          </w:p>
        </w:tc>
        <w:tc>
          <w:tcPr>
            <w:tcW w:w="3420" w:type="dxa"/>
            <w:vAlign w:val="bottom"/>
          </w:tcPr>
          <w:p>
            <w:pPr>
              <w:jc w:val="center"/>
              <w:ind w:left="316"/>
              <w:spacing w:after="0"/>
              <w:rPr>
                <w:sz w:val="20"/>
                <w:szCs w:val="20"/>
                <w:color w:val="auto"/>
              </w:rPr>
            </w:pPr>
            <w:r>
              <w:rPr>
                <w:rFonts w:ascii="Arial" w:cs="Arial" w:eastAsia="Arial" w:hAnsi="Arial"/>
                <w:sz w:val="17"/>
                <w:szCs w:val="17"/>
                <w:color w:val="auto"/>
                <w:w w:val="90"/>
              </w:rPr>
              <w:t>Pinterest, Inc.</w:t>
            </w: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0"/>
              </w:rPr>
              <w:t>Workday, Inc.</w:t>
            </w:r>
          </w:p>
        </w:tc>
      </w:tr>
      <w:tr>
        <w:trPr>
          <w:trHeight w:val="203"/>
        </w:trPr>
        <w:tc>
          <w:tcPr>
            <w:tcW w:w="2500" w:type="dxa"/>
            <w:vAlign w:val="bottom"/>
          </w:tcPr>
          <w:p>
            <w:pPr>
              <w:jc w:val="center"/>
              <w:ind w:right="956"/>
              <w:spacing w:after="0"/>
              <w:rPr>
                <w:sz w:val="20"/>
                <w:szCs w:val="20"/>
                <w:color w:val="auto"/>
              </w:rPr>
            </w:pPr>
            <w:r>
              <w:rPr>
                <w:rFonts w:ascii="Arial" w:cs="Arial" w:eastAsia="Arial" w:hAnsi="Arial"/>
                <w:sz w:val="17"/>
                <w:szCs w:val="17"/>
                <w:color w:val="auto"/>
                <w:w w:val="90"/>
              </w:rPr>
              <w:t>GoDaddy Inc.</w:t>
            </w:r>
          </w:p>
        </w:tc>
        <w:tc>
          <w:tcPr>
            <w:tcW w:w="3420" w:type="dxa"/>
            <w:vAlign w:val="bottom"/>
          </w:tcPr>
          <w:p>
            <w:pPr>
              <w:jc w:val="center"/>
              <w:ind w:left="316"/>
              <w:spacing w:after="0"/>
              <w:rPr>
                <w:sz w:val="20"/>
                <w:szCs w:val="20"/>
                <w:color w:val="auto"/>
              </w:rPr>
            </w:pPr>
            <w:r>
              <w:rPr>
                <w:rFonts w:ascii="Arial" w:cs="Arial" w:eastAsia="Arial" w:hAnsi="Arial"/>
                <w:sz w:val="17"/>
                <w:szCs w:val="17"/>
                <w:color w:val="auto"/>
                <w:w w:val="92"/>
              </w:rPr>
              <w:t>Robinhood Markets, Inc.</w:t>
            </w: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5"/>
              </w:rPr>
              <w:t>Zillow Group, Inc.</w:t>
            </w:r>
          </w:p>
        </w:tc>
      </w:tr>
      <w:tr>
        <w:trPr>
          <w:trHeight w:val="214"/>
        </w:trPr>
        <w:tc>
          <w:tcPr>
            <w:tcW w:w="25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020" w:type="dxa"/>
            <w:vAlign w:val="bottom"/>
          </w:tcPr>
          <w:p>
            <w:pPr>
              <w:jc w:val="center"/>
              <w:ind w:left="556"/>
              <w:spacing w:after="0"/>
              <w:rPr>
                <w:sz w:val="20"/>
                <w:szCs w:val="20"/>
                <w:color w:val="auto"/>
              </w:rPr>
            </w:pPr>
            <w:r>
              <w:rPr>
                <w:rFonts w:ascii="Arial" w:cs="Arial" w:eastAsia="Arial" w:hAnsi="Arial"/>
                <w:sz w:val="17"/>
                <w:szCs w:val="17"/>
                <w:color w:val="auto"/>
                <w:w w:val="91"/>
              </w:rPr>
              <w:t>Zoom Video Communications, Inc.</w:t>
            </w:r>
          </w:p>
        </w:tc>
      </w:tr>
      <w:tr>
        <w:trPr>
          <w:trHeight w:val="342"/>
        </w:trPr>
        <w:tc>
          <w:tcPr>
            <w:tcW w:w="2500" w:type="dxa"/>
            <w:vAlign w:val="bottom"/>
          </w:tcPr>
          <w:p>
            <w:pPr>
              <w:spacing w:after="0"/>
              <w:rPr>
                <w:sz w:val="24"/>
                <w:szCs w:val="24"/>
                <w:color w:val="auto"/>
              </w:rPr>
            </w:pPr>
          </w:p>
        </w:tc>
        <w:tc>
          <w:tcPr>
            <w:tcW w:w="3420" w:type="dxa"/>
            <w:vAlign w:val="bottom"/>
          </w:tcPr>
          <w:p>
            <w:pPr>
              <w:jc w:val="right"/>
              <w:ind w:right="1616"/>
              <w:spacing w:after="0"/>
              <w:rPr>
                <w:sz w:val="20"/>
                <w:szCs w:val="20"/>
                <w:color w:val="auto"/>
              </w:rPr>
            </w:pPr>
            <w:r>
              <w:rPr>
                <w:rFonts w:ascii="Arial" w:cs="Arial" w:eastAsia="Arial" w:hAnsi="Arial"/>
                <w:sz w:val="17"/>
                <w:szCs w:val="17"/>
                <w:color w:val="auto"/>
              </w:rPr>
              <w:t>249</w:t>
            </w:r>
          </w:p>
        </w:tc>
        <w:tc>
          <w:tcPr>
            <w:tcW w:w="3020" w:type="dxa"/>
            <w:vAlign w:val="bottom"/>
          </w:tcPr>
          <w:p>
            <w:pPr>
              <w:spacing w:after="0"/>
              <w:rPr>
                <w:sz w:val="24"/>
                <w:szCs w:val="24"/>
                <w:color w:val="auto"/>
              </w:rPr>
            </w:pPr>
          </w:p>
        </w:tc>
      </w:tr>
    </w:tbl>
    <w:p>
      <w:pPr>
        <w:sectPr>
          <w:pgSz w:w="11900" w:h="16838" w:orient="portrait"/>
          <w:cols w:equalWidth="0" w:num="1">
            <w:col w:w="10720"/>
          </w:cols>
          <w:pgMar w:left="320" w:top="440" w:right="85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In December 2022, we reviewed our compensation peer group to consider whether any adjustments were appropriate. Following this review, our compensation committee removed four companies (Coinbase Global, Inc., Palantir Technologies Inc., Palo Alto Networks, Inc., and Workday, Inc.) to be more reflective of our screening criteria noted above. The resulting compensation peer group for the purpose of informing executive pay decisions for fiscal year 2023 comprises the following 18 companies:</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215"/>
        </w:trPr>
        <w:tc>
          <w:tcPr>
            <w:tcW w:w="2180" w:type="dxa"/>
            <w:vAlign w:val="bottom"/>
          </w:tcPr>
          <w:p>
            <w:pPr>
              <w:jc w:val="center"/>
              <w:ind w:right="1076"/>
              <w:spacing w:after="0"/>
              <w:rPr>
                <w:sz w:val="20"/>
                <w:szCs w:val="20"/>
                <w:color w:val="auto"/>
              </w:rPr>
            </w:pPr>
            <w:r>
              <w:rPr>
                <w:rFonts w:ascii="Arial" w:cs="Arial" w:eastAsia="Arial" w:hAnsi="Arial"/>
                <w:sz w:val="17"/>
                <w:szCs w:val="17"/>
                <w:color w:val="auto"/>
                <w:w w:val="95"/>
              </w:rPr>
              <w:t>Airbnb, Inc.</w:t>
            </w:r>
          </w:p>
        </w:tc>
        <w:tc>
          <w:tcPr>
            <w:tcW w:w="3500" w:type="dxa"/>
            <w:vAlign w:val="bottom"/>
          </w:tcPr>
          <w:p>
            <w:pPr>
              <w:jc w:val="center"/>
              <w:ind w:left="436"/>
              <w:spacing w:after="0"/>
              <w:rPr>
                <w:sz w:val="20"/>
                <w:szCs w:val="20"/>
                <w:color w:val="auto"/>
              </w:rPr>
            </w:pPr>
            <w:r>
              <w:rPr>
                <w:rFonts w:ascii="Arial" w:cs="Arial" w:eastAsia="Arial" w:hAnsi="Arial"/>
                <w:sz w:val="17"/>
                <w:szCs w:val="17"/>
                <w:color w:val="auto"/>
                <w:w w:val="96"/>
              </w:rPr>
              <w:t>Lyft, Inc.</w:t>
            </w:r>
          </w:p>
        </w:tc>
        <w:tc>
          <w:tcPr>
            <w:tcW w:w="3040" w:type="dxa"/>
            <w:vAlign w:val="bottom"/>
          </w:tcPr>
          <w:p>
            <w:pPr>
              <w:jc w:val="center"/>
              <w:ind w:left="576"/>
              <w:spacing w:after="0"/>
              <w:rPr>
                <w:sz w:val="20"/>
                <w:szCs w:val="20"/>
                <w:color w:val="auto"/>
              </w:rPr>
            </w:pPr>
            <w:r>
              <w:rPr>
                <w:rFonts w:ascii="Arial" w:cs="Arial" w:eastAsia="Arial" w:hAnsi="Arial"/>
                <w:sz w:val="17"/>
                <w:szCs w:val="17"/>
                <w:color w:val="auto"/>
                <w:w w:val="92"/>
              </w:rPr>
              <w:t>Snowflake Inc.</w:t>
            </w:r>
          </w:p>
        </w:tc>
      </w:tr>
      <w:tr>
        <w:trPr>
          <w:trHeight w:val="215"/>
        </w:trPr>
        <w:tc>
          <w:tcPr>
            <w:tcW w:w="2180" w:type="dxa"/>
            <w:vAlign w:val="bottom"/>
          </w:tcPr>
          <w:p>
            <w:pPr>
              <w:jc w:val="center"/>
              <w:ind w:right="1076"/>
              <w:spacing w:after="0"/>
              <w:rPr>
                <w:sz w:val="20"/>
                <w:szCs w:val="20"/>
                <w:color w:val="auto"/>
              </w:rPr>
            </w:pPr>
            <w:r>
              <w:rPr>
                <w:rFonts w:ascii="Arial" w:cs="Arial" w:eastAsia="Arial" w:hAnsi="Arial"/>
                <w:sz w:val="17"/>
                <w:szCs w:val="17"/>
                <w:color w:val="auto"/>
                <w:w w:val="88"/>
              </w:rPr>
              <w:t>Datadog, Inc.</w:t>
            </w:r>
          </w:p>
        </w:tc>
        <w:tc>
          <w:tcPr>
            <w:tcW w:w="3500" w:type="dxa"/>
            <w:vAlign w:val="bottom"/>
          </w:tcPr>
          <w:p>
            <w:pPr>
              <w:jc w:val="center"/>
              <w:ind w:left="436"/>
              <w:spacing w:after="0"/>
              <w:rPr>
                <w:sz w:val="20"/>
                <w:szCs w:val="20"/>
                <w:color w:val="auto"/>
              </w:rPr>
            </w:pPr>
            <w:r>
              <w:rPr>
                <w:rFonts w:ascii="Arial" w:cs="Arial" w:eastAsia="Arial" w:hAnsi="Arial"/>
                <w:sz w:val="17"/>
                <w:szCs w:val="17"/>
                <w:color w:val="auto"/>
                <w:w w:val="93"/>
              </w:rPr>
              <w:t>Match Group, Inc.</w:t>
            </w:r>
          </w:p>
        </w:tc>
        <w:tc>
          <w:tcPr>
            <w:tcW w:w="3040" w:type="dxa"/>
            <w:vAlign w:val="bottom"/>
          </w:tcPr>
          <w:p>
            <w:pPr>
              <w:jc w:val="center"/>
              <w:ind w:left="576"/>
              <w:spacing w:after="0"/>
              <w:rPr>
                <w:sz w:val="20"/>
                <w:szCs w:val="20"/>
                <w:color w:val="auto"/>
              </w:rPr>
            </w:pPr>
            <w:r>
              <w:rPr>
                <w:rFonts w:ascii="Arial" w:cs="Arial" w:eastAsia="Arial" w:hAnsi="Arial"/>
                <w:sz w:val="17"/>
                <w:szCs w:val="17"/>
                <w:color w:val="auto"/>
                <w:w w:val="92"/>
              </w:rPr>
              <w:t>Splunk Inc.</w:t>
            </w:r>
          </w:p>
        </w:tc>
      </w:tr>
      <w:tr>
        <w:trPr>
          <w:trHeight w:val="203"/>
        </w:trPr>
        <w:tc>
          <w:tcPr>
            <w:tcW w:w="2180" w:type="dxa"/>
            <w:vAlign w:val="bottom"/>
          </w:tcPr>
          <w:p>
            <w:pPr>
              <w:jc w:val="center"/>
              <w:ind w:right="1076"/>
              <w:spacing w:after="0"/>
              <w:rPr>
                <w:sz w:val="20"/>
                <w:szCs w:val="20"/>
                <w:color w:val="auto"/>
              </w:rPr>
            </w:pPr>
            <w:r>
              <w:rPr>
                <w:rFonts w:ascii="Arial" w:cs="Arial" w:eastAsia="Arial" w:hAnsi="Arial"/>
                <w:sz w:val="17"/>
                <w:szCs w:val="17"/>
                <w:color w:val="auto"/>
                <w:w w:val="89"/>
              </w:rPr>
              <w:t>DoorDash, Inc.</w:t>
            </w:r>
          </w:p>
        </w:tc>
        <w:tc>
          <w:tcPr>
            <w:tcW w:w="3500" w:type="dxa"/>
            <w:vAlign w:val="bottom"/>
          </w:tcPr>
          <w:p>
            <w:pPr>
              <w:jc w:val="center"/>
              <w:ind w:left="436"/>
              <w:spacing w:after="0"/>
              <w:rPr>
                <w:sz w:val="20"/>
                <w:szCs w:val="20"/>
                <w:color w:val="auto"/>
              </w:rPr>
            </w:pPr>
            <w:r>
              <w:rPr>
                <w:rFonts w:ascii="Arial" w:cs="Arial" w:eastAsia="Arial" w:hAnsi="Arial"/>
                <w:sz w:val="17"/>
                <w:szCs w:val="17"/>
                <w:color w:val="auto"/>
                <w:w w:val="91"/>
              </w:rPr>
              <w:t>Peloton Interactive, Inc.</w:t>
            </w:r>
          </w:p>
        </w:tc>
        <w:tc>
          <w:tcPr>
            <w:tcW w:w="3040" w:type="dxa"/>
            <w:vAlign w:val="bottom"/>
          </w:tcPr>
          <w:p>
            <w:pPr>
              <w:jc w:val="center"/>
              <w:ind w:left="576"/>
              <w:spacing w:after="0"/>
              <w:rPr>
                <w:sz w:val="20"/>
                <w:szCs w:val="20"/>
                <w:color w:val="auto"/>
              </w:rPr>
            </w:pPr>
            <w:r>
              <w:rPr>
                <w:rFonts w:ascii="Arial" w:cs="Arial" w:eastAsia="Arial" w:hAnsi="Arial"/>
                <w:sz w:val="17"/>
                <w:szCs w:val="17"/>
                <w:color w:val="auto"/>
                <w:w w:val="93"/>
              </w:rPr>
              <w:t>Twitter, Inc.</w:t>
            </w:r>
          </w:p>
        </w:tc>
      </w:tr>
      <w:tr>
        <w:trPr>
          <w:trHeight w:val="203"/>
        </w:trPr>
        <w:tc>
          <w:tcPr>
            <w:tcW w:w="2180" w:type="dxa"/>
            <w:vAlign w:val="bottom"/>
          </w:tcPr>
          <w:p>
            <w:pPr>
              <w:jc w:val="center"/>
              <w:ind w:right="1076"/>
              <w:spacing w:after="0"/>
              <w:rPr>
                <w:sz w:val="20"/>
                <w:szCs w:val="20"/>
                <w:color w:val="auto"/>
              </w:rPr>
            </w:pPr>
            <w:r>
              <w:rPr>
                <w:rFonts w:ascii="Arial" w:cs="Arial" w:eastAsia="Arial" w:hAnsi="Arial"/>
                <w:sz w:val="17"/>
                <w:szCs w:val="17"/>
                <w:color w:val="auto"/>
                <w:w w:val="95"/>
              </w:rPr>
              <w:t>DropBox, Inc.</w:t>
            </w:r>
          </w:p>
        </w:tc>
        <w:tc>
          <w:tcPr>
            <w:tcW w:w="3500" w:type="dxa"/>
            <w:vAlign w:val="bottom"/>
          </w:tcPr>
          <w:p>
            <w:pPr>
              <w:jc w:val="center"/>
              <w:ind w:left="436"/>
              <w:spacing w:after="0"/>
              <w:rPr>
                <w:sz w:val="20"/>
                <w:szCs w:val="20"/>
                <w:color w:val="auto"/>
              </w:rPr>
            </w:pPr>
            <w:r>
              <w:rPr>
                <w:rFonts w:ascii="Arial" w:cs="Arial" w:eastAsia="Arial" w:hAnsi="Arial"/>
                <w:sz w:val="17"/>
                <w:szCs w:val="17"/>
                <w:color w:val="auto"/>
                <w:w w:val="90"/>
              </w:rPr>
              <w:t>Pinterest, Inc.</w:t>
            </w:r>
          </w:p>
        </w:tc>
        <w:tc>
          <w:tcPr>
            <w:tcW w:w="3040" w:type="dxa"/>
            <w:vAlign w:val="bottom"/>
          </w:tcPr>
          <w:p>
            <w:pPr>
              <w:jc w:val="center"/>
              <w:ind w:left="576"/>
              <w:spacing w:after="0"/>
              <w:rPr>
                <w:sz w:val="20"/>
                <w:szCs w:val="20"/>
                <w:color w:val="auto"/>
              </w:rPr>
            </w:pPr>
            <w:r>
              <w:rPr>
                <w:rFonts w:ascii="Arial" w:cs="Arial" w:eastAsia="Arial" w:hAnsi="Arial"/>
                <w:sz w:val="17"/>
                <w:szCs w:val="17"/>
                <w:color w:val="auto"/>
                <w:w w:val="90"/>
              </w:rPr>
              <w:t>Uber Technologies, Inc.</w:t>
            </w:r>
          </w:p>
        </w:tc>
      </w:tr>
      <w:tr>
        <w:trPr>
          <w:trHeight w:val="203"/>
        </w:trPr>
        <w:tc>
          <w:tcPr>
            <w:tcW w:w="2180" w:type="dxa"/>
            <w:vAlign w:val="bottom"/>
          </w:tcPr>
          <w:p>
            <w:pPr>
              <w:jc w:val="center"/>
              <w:ind w:right="1076"/>
              <w:spacing w:after="0"/>
              <w:rPr>
                <w:sz w:val="20"/>
                <w:szCs w:val="20"/>
                <w:color w:val="auto"/>
              </w:rPr>
            </w:pPr>
            <w:r>
              <w:rPr>
                <w:rFonts w:ascii="Arial" w:cs="Arial" w:eastAsia="Arial" w:hAnsi="Arial"/>
                <w:sz w:val="17"/>
                <w:szCs w:val="17"/>
                <w:color w:val="auto"/>
                <w:w w:val="88"/>
              </w:rPr>
              <w:t>Etsy, Inc.</w:t>
            </w:r>
          </w:p>
        </w:tc>
        <w:tc>
          <w:tcPr>
            <w:tcW w:w="3500" w:type="dxa"/>
            <w:vAlign w:val="bottom"/>
          </w:tcPr>
          <w:p>
            <w:pPr>
              <w:jc w:val="center"/>
              <w:ind w:left="436"/>
              <w:spacing w:after="0"/>
              <w:rPr>
                <w:sz w:val="20"/>
                <w:szCs w:val="20"/>
                <w:color w:val="auto"/>
              </w:rPr>
            </w:pPr>
            <w:r>
              <w:rPr>
                <w:rFonts w:ascii="Arial" w:cs="Arial" w:eastAsia="Arial" w:hAnsi="Arial"/>
                <w:sz w:val="17"/>
                <w:szCs w:val="17"/>
                <w:color w:val="auto"/>
                <w:w w:val="92"/>
              </w:rPr>
              <w:t>Robinhood Markets, Inc.</w:t>
            </w:r>
          </w:p>
        </w:tc>
        <w:tc>
          <w:tcPr>
            <w:tcW w:w="3040" w:type="dxa"/>
            <w:vAlign w:val="bottom"/>
          </w:tcPr>
          <w:p>
            <w:pPr>
              <w:jc w:val="center"/>
              <w:ind w:left="576"/>
              <w:spacing w:after="0"/>
              <w:rPr>
                <w:sz w:val="20"/>
                <w:szCs w:val="20"/>
                <w:color w:val="auto"/>
              </w:rPr>
            </w:pPr>
            <w:r>
              <w:rPr>
                <w:rFonts w:ascii="Arial" w:cs="Arial" w:eastAsia="Arial" w:hAnsi="Arial"/>
                <w:sz w:val="17"/>
                <w:szCs w:val="17"/>
                <w:color w:val="auto"/>
                <w:w w:val="95"/>
              </w:rPr>
              <w:t>Zillow Group, Inc.</w:t>
            </w:r>
          </w:p>
        </w:tc>
      </w:tr>
      <w:tr>
        <w:trPr>
          <w:trHeight w:val="214"/>
        </w:trPr>
        <w:tc>
          <w:tcPr>
            <w:tcW w:w="2180" w:type="dxa"/>
            <w:vAlign w:val="bottom"/>
          </w:tcPr>
          <w:p>
            <w:pPr>
              <w:jc w:val="center"/>
              <w:ind w:right="1076"/>
              <w:spacing w:after="0"/>
              <w:rPr>
                <w:sz w:val="20"/>
                <w:szCs w:val="20"/>
                <w:color w:val="auto"/>
              </w:rPr>
            </w:pPr>
            <w:r>
              <w:rPr>
                <w:rFonts w:ascii="Arial" w:cs="Arial" w:eastAsia="Arial" w:hAnsi="Arial"/>
                <w:sz w:val="17"/>
                <w:szCs w:val="17"/>
                <w:color w:val="auto"/>
                <w:w w:val="90"/>
              </w:rPr>
              <w:t>GoDaddy Inc.</w:t>
            </w:r>
          </w:p>
        </w:tc>
        <w:tc>
          <w:tcPr>
            <w:tcW w:w="3500" w:type="dxa"/>
            <w:vAlign w:val="bottom"/>
          </w:tcPr>
          <w:p>
            <w:pPr>
              <w:jc w:val="center"/>
              <w:ind w:left="416"/>
              <w:spacing w:after="0"/>
              <w:rPr>
                <w:sz w:val="20"/>
                <w:szCs w:val="20"/>
                <w:color w:val="auto"/>
              </w:rPr>
            </w:pPr>
            <w:r>
              <w:rPr>
                <w:rFonts w:ascii="Arial" w:cs="Arial" w:eastAsia="Arial" w:hAnsi="Arial"/>
                <w:sz w:val="17"/>
                <w:szCs w:val="17"/>
                <w:color w:val="auto"/>
                <w:w w:val="89"/>
              </w:rPr>
              <w:t>Snap Inc.</w:t>
            </w:r>
          </w:p>
        </w:tc>
        <w:tc>
          <w:tcPr>
            <w:tcW w:w="3040" w:type="dxa"/>
            <w:vAlign w:val="bottom"/>
          </w:tcPr>
          <w:p>
            <w:pPr>
              <w:jc w:val="center"/>
              <w:ind w:left="576"/>
              <w:spacing w:after="0"/>
              <w:rPr>
                <w:sz w:val="20"/>
                <w:szCs w:val="20"/>
                <w:color w:val="auto"/>
              </w:rPr>
            </w:pPr>
            <w:r>
              <w:rPr>
                <w:rFonts w:ascii="Arial" w:cs="Arial" w:eastAsia="Arial" w:hAnsi="Arial"/>
                <w:sz w:val="17"/>
                <w:szCs w:val="17"/>
                <w:color w:val="auto"/>
                <w:w w:val="91"/>
              </w:rPr>
              <w:t>Zoom Video Communications, Inc.</w:t>
            </w:r>
          </w:p>
        </w:tc>
      </w:tr>
    </w:tbl>
    <w:p>
      <w:pPr>
        <w:spacing w:after="0" w:line="38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Factors Used in Determining Executive Compensation</w:t>
      </w:r>
    </w:p>
    <w:p>
      <w:pPr>
        <w:spacing w:after="0" w:line="214"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Our compensation committee sets the compensation of our executive officers at levels it determines to be competitive and appropriate for each executive officer, using the professional experience and judgment of our compensation committee members. Although market data is used as a reference point to inform initial guidelines, our compensation committee believes executive pay decisions require consideration of a multitude of relevant factors which may vary from year to year, and accordingly, pay decisions are not made by use of a rigid formulaic approach or benchmark. In making executive compensation decisions, our compensation committee generally takes into consideration the following factors:</w:t>
      </w:r>
    </w:p>
    <w:p>
      <w:pPr>
        <w:sectPr>
          <w:pgSz w:w="11900" w:h="16838" w:orient="portrait"/>
          <w:cols w:equalWidth="0" w:num="1">
            <w:col w:w="10780"/>
          </w:cols>
          <w:pgMar w:left="320" w:top="440" w:right="799" w:bottom="1440" w:gutter="0" w:footer="0" w:header="0"/>
        </w:sectPr>
      </w:pPr>
    </w:p>
    <w:p>
      <w:pPr>
        <w:spacing w:after="0" w:line="191" w:lineRule="exact"/>
        <w:rPr>
          <w:sz w:val="20"/>
          <w:szCs w:val="20"/>
          <w:color w:val="auto"/>
        </w:rPr>
      </w:pPr>
    </w:p>
    <w:p>
      <w:pPr>
        <w:ind w:left="460"/>
        <w:spacing w:after="0"/>
        <w:rPr>
          <w:sz w:val="20"/>
          <w:szCs w:val="20"/>
          <w:color w:val="auto"/>
        </w:rPr>
      </w:pPr>
      <w:r>
        <w:rPr>
          <w:sz w:val="1"/>
          <w:szCs w:val="1"/>
          <w:color w:val="auto"/>
        </w:rPr>
        <w:drawing>
          <wp:inline distT="0" distB="0" distL="0" distR="0">
            <wp:extent cx="88265" cy="56515"/>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  Company performance and existing business needs</w:t>
      </w:r>
    </w:p>
    <w:p>
      <w:pPr>
        <w:spacing w:after="0" w:line="19" w:lineRule="exact"/>
        <w:rPr>
          <w:sz w:val="20"/>
          <w:szCs w:val="20"/>
          <w:color w:val="auto"/>
        </w:rPr>
      </w:pPr>
    </w:p>
    <w:p>
      <w:pPr>
        <w:ind w:left="800" w:right="80" w:hanging="337"/>
        <w:spacing w:after="0"/>
        <w:rPr>
          <w:sz w:val="20"/>
          <w:szCs w:val="20"/>
          <w:color w:val="auto"/>
        </w:rPr>
      </w:pPr>
      <w:r>
        <w:rPr>
          <w:sz w:val="1"/>
          <w:szCs w:val="1"/>
          <w:color w:val="auto"/>
        </w:rPr>
        <w:drawing>
          <wp:inline distT="0" distB="0" distL="0" distR="0">
            <wp:extent cx="88265" cy="56515"/>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  Each executive officer’s individual performance, scope of job function and criticality of the skill set</w:t>
      </w:r>
    </w:p>
    <w:p>
      <w:pPr>
        <w:ind w:left="800" w:right="380" w:hanging="337"/>
        <w:spacing w:after="0"/>
        <w:rPr>
          <w:sz w:val="20"/>
          <w:szCs w:val="20"/>
          <w:color w:val="auto"/>
        </w:rPr>
      </w:pPr>
      <w:r>
        <w:rPr>
          <w:sz w:val="1"/>
          <w:szCs w:val="1"/>
          <w:color w:val="auto"/>
        </w:rPr>
        <w:drawing>
          <wp:inline distT="0" distB="0" distL="0" distR="0">
            <wp:extent cx="88265" cy="5651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  The need to attract new talent and retain existing talent in a highly competitive industry</w:t>
      </w:r>
    </w:p>
    <w:p>
      <w:pPr>
        <w:ind w:left="460"/>
        <w:spacing w:after="0" w:line="257" w:lineRule="auto"/>
        <w:rPr>
          <w:sz w:val="20"/>
          <w:szCs w:val="20"/>
          <w:color w:val="auto"/>
        </w:rPr>
      </w:pPr>
      <w:r>
        <w:rPr>
          <w:sz w:val="1"/>
          <w:szCs w:val="1"/>
          <w:color w:val="auto"/>
        </w:rPr>
        <w:drawing>
          <wp:inline distT="0" distB="0" distL="0" distR="0">
            <wp:extent cx="88265" cy="5651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  Our Chief Executive Officer’s recommendations (other than for herself) </w:t>
      </w:r>
      <w:r>
        <w:rPr>
          <w:sz w:val="1"/>
          <w:szCs w:val="1"/>
          <w:color w:val="auto"/>
        </w:rPr>
        <w:drawing>
          <wp:inline distT="0" distB="0" distL="0" distR="0">
            <wp:extent cx="88265" cy="5651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  Internal pay equity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sz w:val="1"/>
          <w:szCs w:val="1"/>
          <w:color w:val="auto"/>
        </w:rPr>
        <w:drawing>
          <wp:inline distT="0" distB="0" distL="0" distR="0">
            <wp:extent cx="88265" cy="56515"/>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  Instacart’s culture and values</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88265" cy="56515"/>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  Our compensation committee’s judgment</w:t>
      </w:r>
    </w:p>
    <w:p>
      <w:pPr>
        <w:spacing w:after="0" w:line="198" w:lineRule="exact"/>
        <w:rPr>
          <w:sz w:val="20"/>
          <w:szCs w:val="20"/>
          <w:color w:val="auto"/>
        </w:rPr>
      </w:pPr>
    </w:p>
    <w:p>
      <w:pPr>
        <w:ind w:left="340" w:right="60" w:hanging="337"/>
        <w:spacing w:after="0"/>
        <w:rPr>
          <w:sz w:val="20"/>
          <w:szCs w:val="20"/>
          <w:color w:val="auto"/>
        </w:rPr>
      </w:pPr>
      <w:r>
        <w:rPr>
          <w:sz w:val="1"/>
          <w:szCs w:val="1"/>
          <w:color w:val="auto"/>
        </w:rPr>
        <w:drawing>
          <wp:inline distT="0" distB="0" distL="0" distR="0">
            <wp:extent cx="88265" cy="56515"/>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  Each executive officer’s current equity ownership and total direct compensation</w:t>
      </w:r>
    </w:p>
    <w:p>
      <w:pPr>
        <w:ind w:right="80"/>
        <w:spacing w:after="0" w:line="257" w:lineRule="auto"/>
        <w:rPr>
          <w:sz w:val="20"/>
          <w:szCs w:val="20"/>
          <w:color w:val="auto"/>
        </w:rPr>
      </w:pPr>
      <w:r>
        <w:rPr>
          <w:sz w:val="1"/>
          <w:szCs w:val="1"/>
          <w:color w:val="auto"/>
        </w:rPr>
        <w:drawing>
          <wp:inline distT="0" distB="0" distL="0" distR="0">
            <wp:extent cx="88265" cy="56515"/>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  Aggregate compensation cost and impact on stockholder dilution </w:t>
      </w:r>
      <w:r>
        <w:rPr>
          <w:sz w:val="1"/>
          <w:szCs w:val="1"/>
          <w:color w:val="auto"/>
        </w:rPr>
        <w:drawing>
          <wp:inline distT="0" distB="0" distL="0" distR="0">
            <wp:extent cx="88265" cy="56515"/>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265" cy="56515"/>
                    </a:xfrm>
                    <a:prstGeom prst="rect">
                      <a:avLst/>
                    </a:prstGeom>
                    <a:noFill/>
                    <a:ln>
                      <a:noFill/>
                    </a:ln>
                  </pic:spPr>
                </pic:pic>
              </a:graphicData>
            </a:graphic>
          </wp:inline>
        </w:drawing>
      </w:r>
      <w:r>
        <w:rPr>
          <w:rFonts w:ascii="Arial" w:cs="Arial" w:eastAsia="Arial" w:hAnsi="Arial"/>
          <w:sz w:val="17"/>
          <w:szCs w:val="17"/>
          <w:color w:val="auto"/>
        </w:rPr>
        <w:t xml:space="preserve">   Positioning relative to peers in market</w:t>
      </w:r>
    </w:p>
    <w:p>
      <w:pPr>
        <w:spacing w:after="0" w:line="200" w:lineRule="exact"/>
        <w:rPr>
          <w:sz w:val="20"/>
          <w:szCs w:val="20"/>
          <w:color w:val="auto"/>
        </w:rPr>
      </w:pPr>
    </w:p>
    <w:p>
      <w:pPr>
        <w:sectPr>
          <w:pgSz w:w="11900" w:h="16838" w:orient="portrait"/>
          <w:cols w:equalWidth="0" w:num="2">
            <w:col w:w="5680" w:space="260"/>
            <w:col w:w="4840"/>
          </w:cols>
          <w:pgMar w:left="320" w:top="440" w:right="799" w:bottom="1440" w:gutter="0" w:footer="0" w:header="0"/>
          <w:type w:val="continuous"/>
        </w:sectPr>
      </w:pPr>
    </w:p>
    <w:p>
      <w:pPr>
        <w:spacing w:after="0" w:line="176"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Key Components and Design of the Executive Compensation Program</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Total Direct Compensation</w:t>
      </w:r>
    </w:p>
    <w:p>
      <w:pPr>
        <w:spacing w:after="0" w:line="108" w:lineRule="exact"/>
        <w:rPr>
          <w:sz w:val="20"/>
          <w:szCs w:val="20"/>
          <w:color w:val="auto"/>
        </w:rPr>
      </w:pPr>
    </w:p>
    <w:p>
      <w:pPr>
        <w:jc w:val="both"/>
        <w:ind w:left="460" w:right="60" w:firstLine="413"/>
        <w:spacing w:after="0" w:line="260" w:lineRule="auto"/>
        <w:rPr>
          <w:sz w:val="20"/>
          <w:szCs w:val="20"/>
          <w:color w:val="auto"/>
        </w:rPr>
      </w:pPr>
      <w:r>
        <w:rPr>
          <w:rFonts w:ascii="Arial" w:cs="Arial" w:eastAsia="Arial" w:hAnsi="Arial"/>
          <w:sz w:val="17"/>
          <w:szCs w:val="17"/>
          <w:color w:val="auto"/>
        </w:rPr>
        <w:t>Our executive compensation program focuses on total direct compensation, which consists of base salary, short-term incentive compensation, and target long-term incentive awards. Our compensation committee takes a holistic approach to compensation and seeks to ensure that the aggregate level of pay, across all pay elements, is meeting our desired objectives for each executive officer.</w:t>
      </w:r>
    </w:p>
    <w:p>
      <w:pPr>
        <w:spacing w:after="0" w:line="175"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In evaluating our executive compensation policies and programs, we consider both the performance and skills of each of our executives, as well as the compensation paid to executives in similar companies with similar responsibilities. 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achieve corporate objectives and maximize stockholder value.</w:t>
      </w:r>
    </w:p>
    <w:p>
      <w:pPr>
        <w:spacing w:after="0" w:line="181"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Our compensation committee uses its judgment to establish a total compensation program for each named executive officer that is a mix of base salary, short-term incentive compensation, and long-term incentive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250</w:t>
      </w:r>
    </w:p>
    <w:p>
      <w:pPr>
        <w:sectPr>
          <w:pgSz w:w="11900" w:h="16838" w:orient="portrait"/>
          <w:cols w:equalWidth="0" w:num="1">
            <w:col w:w="10780"/>
          </w:cols>
          <w:pgMar w:left="320" w:top="440" w:right="799"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56" w:lineRule="auto"/>
        <w:rPr>
          <w:sz w:val="20"/>
          <w:szCs w:val="20"/>
          <w:color w:val="auto"/>
        </w:rPr>
      </w:pPr>
      <w:r>
        <w:rPr>
          <w:rFonts w:ascii="Arial" w:cs="Arial" w:eastAsia="Arial" w:hAnsi="Arial"/>
          <w:sz w:val="17"/>
          <w:szCs w:val="17"/>
          <w:color w:val="auto"/>
        </w:rPr>
        <w:t>compensation, which it believes appropriate to achieve the goals of our executive compensation program and our corporate objectives. However, our compensation committee typically structures a significant portion of our executive officers’ compensation package to be comprised of long-term equity awards to align the executive officers’ incentives with the interests of our stockholders and focus our executives on achieving key corporate goals that drive our business.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Elements of Executive Compensation</w:t>
      </w:r>
    </w:p>
    <w:p>
      <w:pPr>
        <w:spacing w:after="0" w:line="108" w:lineRule="exact"/>
        <w:rPr>
          <w:sz w:val="20"/>
          <w:szCs w:val="20"/>
          <w:color w:val="auto"/>
        </w:rPr>
      </w:pPr>
    </w:p>
    <w:p>
      <w:pPr>
        <w:ind w:left="460" w:right="200" w:firstLine="413"/>
        <w:spacing w:after="0" w:line="274" w:lineRule="auto"/>
        <w:rPr>
          <w:sz w:val="20"/>
          <w:szCs w:val="20"/>
          <w:color w:val="auto"/>
        </w:rPr>
      </w:pPr>
      <w:r>
        <w:rPr>
          <w:rFonts w:ascii="Arial" w:cs="Arial" w:eastAsia="Arial" w:hAnsi="Arial"/>
          <w:sz w:val="16"/>
          <w:szCs w:val="16"/>
          <w:color w:val="auto"/>
        </w:rPr>
        <w:t>Executive compensation generally consists of, and is intended to strike a balance among, the following three principal components: base salary, short-term incentive compensation, and long-term incentive compensation. We also provide our executive officers with sign-on bonuses on a case-by-case basis, severance and change-in-control related payments and benefits, as well as benefits available to all our employees, including retirement benefits under our 401(k) plan and participation in various employee health and welfare benefit plans. The following chart summarizes the three principal elements of our executive compensation program, their objectives, and key features.</w:t>
      </w:r>
    </w:p>
    <w:p>
      <w:pPr>
        <w:sectPr>
          <w:pgSz w:w="11900" w:h="16838" w:orient="portrait"/>
          <w:cols w:equalWidth="0" w:num="1">
            <w:col w:w="10760"/>
          </w:cols>
          <w:pgMar w:left="320" w:top="440" w:right="819" w:bottom="1440" w:gutter="0" w:footer="0" w:header="0"/>
        </w:sectPr>
      </w:pP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20" w:type="dxa"/>
            <w:vAlign w:val="bottom"/>
            <w:gridSpan w:val="2"/>
          </w:tcPr>
          <w:p>
            <w:pPr>
              <w:ind w:left="1540"/>
              <w:spacing w:after="0"/>
              <w:rPr>
                <w:sz w:val="20"/>
                <w:szCs w:val="20"/>
                <w:color w:val="auto"/>
              </w:rPr>
            </w:pPr>
            <w:r>
              <w:rPr>
                <w:rFonts w:ascii="Arial" w:cs="Arial" w:eastAsia="Arial" w:hAnsi="Arial"/>
                <w:sz w:val="13"/>
                <w:szCs w:val="13"/>
                <w:b w:val="1"/>
                <w:bCs w:val="1"/>
                <w:color w:val="auto"/>
              </w:rPr>
              <w:t>Element</w:t>
            </w:r>
          </w:p>
        </w:tc>
        <w:tc>
          <w:tcPr>
            <w:tcW w:w="3300" w:type="dxa"/>
            <w:vAlign w:val="bottom"/>
          </w:tcPr>
          <w:p>
            <w:pPr>
              <w:ind w:left="1340"/>
              <w:spacing w:after="0"/>
              <w:rPr>
                <w:sz w:val="20"/>
                <w:szCs w:val="20"/>
                <w:color w:val="auto"/>
              </w:rPr>
            </w:pPr>
            <w:r>
              <w:rPr>
                <w:rFonts w:ascii="Arial" w:cs="Arial" w:eastAsia="Arial" w:hAnsi="Arial"/>
                <w:sz w:val="13"/>
                <w:szCs w:val="13"/>
                <w:b w:val="1"/>
                <w:bCs w:val="1"/>
                <w:color w:val="auto"/>
              </w:rPr>
              <w:t>Objectives</w:t>
            </w:r>
          </w:p>
        </w:tc>
      </w:tr>
      <w:tr>
        <w:trPr>
          <w:trHeight w:val="183"/>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Base Salary</w:t>
            </w:r>
          </w:p>
        </w:tc>
        <w:tc>
          <w:tcPr>
            <w:tcW w:w="220" w:type="dxa"/>
            <w:vAlign w:val="bottom"/>
          </w:tcPr>
          <w:p>
            <w:pPr>
              <w:spacing w:after="0"/>
              <w:rPr>
                <w:sz w:val="15"/>
                <w:szCs w:val="15"/>
                <w:color w:val="auto"/>
              </w:rPr>
            </w:pPr>
          </w:p>
        </w:tc>
        <w:tc>
          <w:tcPr>
            <w:tcW w:w="330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w w:val="92"/>
              </w:rPr>
              <w:t>Provides financial stability and security through</w:t>
            </w: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a fixed amount of cash for performing job</w:t>
            </w: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responsibilities.</w:t>
            </w:r>
          </w:p>
        </w:tc>
      </w:tr>
      <w:tr>
        <w:trPr>
          <w:trHeight w:val="393"/>
        </w:trPr>
        <w:tc>
          <w:tcPr>
            <w:tcW w:w="3840" w:type="dxa"/>
            <w:vAlign w:val="bottom"/>
            <w:gridSpan w:val="3"/>
          </w:tcPr>
          <w:p>
            <w:pPr>
              <w:spacing w:after="0"/>
              <w:rPr>
                <w:sz w:val="20"/>
                <w:szCs w:val="20"/>
                <w:color w:val="auto"/>
              </w:rPr>
            </w:pPr>
            <w:r>
              <w:rPr>
                <w:rFonts w:ascii="Arial" w:cs="Arial" w:eastAsia="Arial" w:hAnsi="Arial"/>
                <w:sz w:val="17"/>
                <w:szCs w:val="17"/>
                <w:color w:val="auto"/>
              </w:rPr>
              <w:t>Short-Term Incentive Compensation</w:t>
            </w:r>
          </w:p>
        </w:tc>
        <w:tc>
          <w:tcPr>
            <w:tcW w:w="3300" w:type="dxa"/>
            <w:vAlign w:val="bottom"/>
          </w:tcPr>
          <w:p>
            <w:pPr>
              <w:spacing w:after="0"/>
              <w:rPr>
                <w:sz w:val="20"/>
                <w:szCs w:val="20"/>
                <w:color w:val="auto"/>
              </w:rPr>
            </w:pPr>
            <w:r>
              <w:rPr>
                <w:rFonts w:ascii="Arial" w:cs="Arial" w:eastAsia="Arial" w:hAnsi="Arial"/>
                <w:sz w:val="17"/>
                <w:szCs w:val="17"/>
                <w:color w:val="auto"/>
                <w:w w:val="99"/>
              </w:rPr>
              <w:t>Motivates and rewards for driving company-</w:t>
            </w: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wide performance on an annual basis.</w:t>
            </w: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980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5"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Fixed compensation that is periodically reviewed and adjusted if and when appropriate.</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Incentive opportunities are dependent upon our compensation committee’s discretionary assessment of corporate and individual performance for each applicable year.</w:t>
      </w:r>
    </w:p>
    <w:p>
      <w:pPr>
        <w:spacing w:after="0" w:line="181" w:lineRule="exact"/>
        <w:rPr>
          <w:sz w:val="20"/>
          <w:szCs w:val="20"/>
          <w:color w:val="auto"/>
        </w:rPr>
      </w:pPr>
    </w:p>
    <w:p>
      <w:pPr>
        <w:sectPr>
          <w:pgSz w:w="11900" w:h="16838" w:orient="portrait"/>
          <w:cols w:equalWidth="0" w:num="2">
            <w:col w:w="7600" w:space="200"/>
            <w:col w:w="2960"/>
          </w:cols>
          <w:pgMar w:left="320" w:top="440" w:right="819" w:bottom="1440" w:gutter="0" w:footer="0" w:header="0"/>
          <w:type w:val="continuous"/>
        </w:sectPr>
      </w:pPr>
    </w:p>
    <w:p>
      <w:pPr>
        <w:ind w:left="460"/>
        <w:spacing w:after="0"/>
        <w:tabs>
          <w:tab w:leader="none" w:pos="4280" w:val="left"/>
        </w:tabs>
        <w:rPr>
          <w:sz w:val="20"/>
          <w:szCs w:val="20"/>
          <w:color w:val="auto"/>
        </w:rPr>
      </w:pPr>
      <w:r>
        <w:rPr>
          <w:rFonts w:ascii="Arial" w:cs="Arial" w:eastAsia="Arial" w:hAnsi="Arial"/>
          <w:sz w:val="17"/>
          <w:szCs w:val="17"/>
          <w:color w:val="auto"/>
        </w:rPr>
        <w:t>Long-Term Incentive Compensation</w:t>
      </w:r>
      <w:r>
        <w:rPr>
          <w:sz w:val="20"/>
          <w:szCs w:val="20"/>
          <w:color w:val="auto"/>
        </w:rPr>
        <w:tab/>
      </w:r>
      <w:r>
        <w:rPr>
          <w:rFonts w:ascii="Arial" w:cs="Arial" w:eastAsia="Arial" w:hAnsi="Arial"/>
          <w:sz w:val="15"/>
          <w:szCs w:val="15"/>
          <w:color w:val="auto"/>
        </w:rPr>
        <w:t>Motivates and rewards for long-term company</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performance, including achievement of market</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capitalization goals, which, if achieved, would</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result in significant value creation for our</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aligns executives’ interests with</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stockholder interests and changes in stockholder</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value. Attracts highly qualified executives and</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encourages their continued employment over the</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long term.</w:t>
      </w:r>
    </w:p>
    <w:p>
      <w:pPr>
        <w:spacing w:after="0" w:line="13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251</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7"/>
          <w:szCs w:val="17"/>
          <w:color w:val="auto"/>
        </w:rPr>
        <w:t>Equity incentives may be granted as appropriate during the year for new hires, promotions, annual refresh grants or other special circumstances, such as to encourage retention, or incentivize exceptional performance.</w:t>
      </w:r>
    </w:p>
    <w:p>
      <w:pPr>
        <w:sectPr>
          <w:pgSz w:w="11900" w:h="16838" w:orient="portrait"/>
          <w:cols w:equalWidth="0" w:num="2">
            <w:col w:w="7580" w:space="220"/>
            <w:col w:w="2960"/>
          </w:cols>
          <w:pgMar w:left="320" w:top="440" w:right="81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2022 Executive Compensation Program</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Salary</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Our compensation committee determined the initial base salary for each of our named executive officers in connection with his or her commencement of employment with us. Our compensation committee reviews the base salary of each executive for potential adjustment on an annual basis. In February 2022, our compensation committee reviewed but determined not to increase base salaries for our continuing named executive officers. The annual base salaries of each of our named executive officers for 2022 are listed below.</w:t>
      </w:r>
    </w:p>
    <w:p>
      <w:pPr>
        <w:spacing w:after="0" w:line="197" w:lineRule="exact"/>
        <w:rPr>
          <w:sz w:val="20"/>
          <w:szCs w:val="20"/>
          <w:color w:val="auto"/>
        </w:rPr>
      </w:pPr>
    </w:p>
    <w:tbl>
      <w:tblPr>
        <w:tblLayout w:type="fixed"/>
        <w:tblInd w:w="2120" w:type="dxa"/>
        <w:tblCellMar>
          <w:top w:w="0" w:type="dxa"/>
          <w:left w:w="0" w:type="dxa"/>
          <w:bottom w:w="0" w:type="dxa"/>
          <w:right w:w="0" w:type="dxa"/>
        </w:tblCellMar>
      </w:tblPr>
      <w:tr>
        <w:trPr>
          <w:trHeight w:val="180"/>
        </w:trPr>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Executive</w:t>
            </w:r>
          </w:p>
        </w:tc>
        <w:tc>
          <w:tcPr>
            <w:tcW w:w="4760" w:type="dxa"/>
            <w:vAlign w:val="bottom"/>
          </w:tcPr>
          <w:p>
            <w:pPr>
              <w:spacing w:after="0"/>
              <w:rPr>
                <w:sz w:val="15"/>
                <w:szCs w:val="15"/>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3"/>
              </w:rPr>
              <w:t xml:space="preserve">2022 Annual Base Salary </w:t>
            </w:r>
            <w:r>
              <w:rPr>
                <w:rFonts w:ascii="Arial" w:cs="Arial" w:eastAsia="Arial" w:hAnsi="Arial"/>
                <w:sz w:val="13"/>
                <w:szCs w:val="13"/>
                <w:b w:val="1"/>
                <w:bCs w:val="1"/>
                <w:u w:val="single" w:color="auto"/>
                <w:color w:val="auto"/>
                <w:w w:val="93"/>
              </w:rPr>
              <w:t>($</w:t>
            </w:r>
            <w:r>
              <w:rPr>
                <w:rFonts w:ascii="Arial" w:cs="Arial" w:eastAsia="Arial" w:hAnsi="Arial"/>
                <w:sz w:val="13"/>
                <w:szCs w:val="13"/>
                <w:b w:val="1"/>
                <w:bCs w:val="1"/>
                <w:color w:val="auto"/>
                <w:w w:val="93"/>
              </w:rPr>
              <w:t>)</w:t>
            </w:r>
          </w:p>
        </w:tc>
      </w:tr>
      <w:tr>
        <w:trPr>
          <w:trHeight w:val="188"/>
        </w:trPr>
        <w:tc>
          <w:tcPr>
            <w:tcW w:w="53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Fidji Simo</w:t>
            </w:r>
          </w:p>
        </w:tc>
        <w:tc>
          <w:tcPr>
            <w:tcW w:w="16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5320" w:type="dxa"/>
            <w:vAlign w:val="bottom"/>
            <w:gridSpan w:val="2"/>
          </w:tcPr>
          <w:p>
            <w:pPr>
              <w:spacing w:after="0"/>
              <w:rPr>
                <w:sz w:val="20"/>
                <w:szCs w:val="20"/>
                <w:color w:val="auto"/>
              </w:rPr>
            </w:pPr>
            <w:r>
              <w:rPr>
                <w:rFonts w:ascii="Arial" w:cs="Arial" w:eastAsia="Arial" w:hAnsi="Arial"/>
                <w:sz w:val="17"/>
                <w:szCs w:val="17"/>
                <w:color w:val="auto"/>
              </w:rPr>
              <w:t>Nick Giovanni</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500,000</w:t>
            </w:r>
          </w:p>
        </w:tc>
      </w:tr>
      <w:tr>
        <w:trPr>
          <w:trHeight w:val="203"/>
        </w:trPr>
        <w:tc>
          <w:tcPr>
            <w:tcW w:w="5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Asha Sharma</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500,000</w:t>
            </w:r>
          </w:p>
        </w:tc>
      </w:tr>
      <w:tr>
        <w:trPr>
          <w:trHeight w:val="203"/>
        </w:trPr>
        <w:tc>
          <w:tcPr>
            <w:tcW w:w="5320" w:type="dxa"/>
            <w:vAlign w:val="bottom"/>
            <w:gridSpan w:val="2"/>
          </w:tcPr>
          <w:p>
            <w:pPr>
              <w:spacing w:after="0"/>
              <w:rPr>
                <w:sz w:val="20"/>
                <w:szCs w:val="20"/>
                <w:color w:val="auto"/>
              </w:rPr>
            </w:pPr>
            <w:r>
              <w:rPr>
                <w:rFonts w:ascii="Arial" w:cs="Arial" w:eastAsia="Arial" w:hAnsi="Arial"/>
                <w:sz w:val="17"/>
                <w:szCs w:val="17"/>
                <w:color w:val="auto"/>
              </w:rPr>
              <w:t>Morgan Fong</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500,000</w:t>
            </w:r>
          </w:p>
        </w:tc>
      </w:tr>
      <w:tr>
        <w:trPr>
          <w:trHeight w:val="203"/>
        </w:trPr>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Mark Schaaf</w:t>
            </w:r>
            <w:r>
              <w:rPr>
                <w:rFonts w:ascii="Arial" w:cs="Arial" w:eastAsia="Arial" w:hAnsi="Arial"/>
                <w:sz w:val="23"/>
                <w:szCs w:val="23"/>
                <w:color w:val="auto"/>
                <w:vertAlign w:val="superscript"/>
              </w:rPr>
              <w:t>(1)</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hanging="403"/>
        <w:spacing w:after="0"/>
        <w:tabs>
          <w:tab w:leader="none" w:pos="860" w:val="left"/>
        </w:tabs>
        <w:numPr>
          <w:ilvl w:val="0"/>
          <w:numId w:val="250"/>
        </w:numPr>
        <w:rPr>
          <w:rFonts w:ascii="Arial" w:cs="Arial" w:eastAsia="Arial" w:hAnsi="Arial"/>
          <w:sz w:val="13"/>
          <w:szCs w:val="13"/>
          <w:color w:val="auto"/>
        </w:rPr>
      </w:pPr>
      <w:r>
        <w:rPr>
          <w:rFonts w:ascii="Arial" w:cs="Arial" w:eastAsia="Arial" w:hAnsi="Arial"/>
          <w:sz w:val="13"/>
          <w:szCs w:val="13"/>
          <w:color w:val="auto"/>
        </w:rPr>
        <w:t>Mr. Schaaf earned a prorated salary for 2022 in light of his cessation of service on September 21, 2022.</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Short-Term Incentive Compensation</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We did not maintain a formal performance bonus plan during fiscal year 2022, but our compensation committee provided discretionary cash bonuses to each of our continuing named executive officers in recognition of individual and company performance. In October 2022, our compensation committee, with performance-based input from our Chief Executive Officer, approved discretionary cash bonuses to each of Mr. Giovanni, Ms. Sharma, and Mr. Fong in the amounts shown below. In December 2022, our compensation committee approved a discretionary cash bonus to Ms. Simo in the amount shown below. The initial portion of each such discretionary cash bonus was paid in December 2022, and the remaining portion was paid in June 2023.</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3760" w:type="dxa"/>
            <w:vAlign w:val="bottom"/>
            <w:vMerge w:val="restart"/>
          </w:tcPr>
          <w:p>
            <w:pPr>
              <w:spacing w:after="0"/>
              <w:rPr>
                <w:sz w:val="12"/>
                <w:szCs w:val="12"/>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3"/>
                <w:szCs w:val="13"/>
                <w:b w:val="1"/>
                <w:bCs w:val="1"/>
                <w:color w:val="auto"/>
                <w:w w:val="91"/>
              </w:rPr>
              <w:t>Bonus Amount Paid</w:t>
            </w:r>
          </w:p>
        </w:tc>
        <w:tc>
          <w:tcPr>
            <w:tcW w:w="15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1"/>
              </w:rPr>
              <w:t>Bonus Amount to be Paid</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2220" w:type="dxa"/>
            <w:vAlign w:val="bottom"/>
            <w:gridSpan w:val="2"/>
          </w:tcPr>
          <w:p>
            <w:pPr>
              <w:jc w:val="right"/>
              <w:ind w:right="1340"/>
              <w:spacing w:after="0" w:line="147" w:lineRule="exact"/>
              <w:rPr>
                <w:sz w:val="20"/>
                <w:szCs w:val="20"/>
                <w:color w:val="auto"/>
              </w:rPr>
            </w:pPr>
            <w:r>
              <w:rPr>
                <w:rFonts w:ascii="Arial" w:cs="Arial" w:eastAsia="Arial" w:hAnsi="Arial"/>
                <w:sz w:val="13"/>
                <w:szCs w:val="13"/>
                <w:b w:val="1"/>
                <w:bCs w:val="1"/>
                <w:color w:val="auto"/>
              </w:rPr>
              <w:t>in 2022 ($)</w:t>
            </w:r>
          </w:p>
        </w:tc>
        <w:tc>
          <w:tcPr>
            <w:tcW w:w="1520" w:type="dxa"/>
            <w:vAlign w:val="bottom"/>
            <w:gridSpan w:val="2"/>
          </w:tcPr>
          <w:p>
            <w:pPr>
              <w:ind w:left="440"/>
              <w:spacing w:after="0" w:line="147" w:lineRule="exact"/>
              <w:rPr>
                <w:sz w:val="20"/>
                <w:szCs w:val="20"/>
                <w:color w:val="auto"/>
              </w:rPr>
            </w:pPr>
            <w:r>
              <w:rPr>
                <w:rFonts w:ascii="Arial" w:cs="Arial" w:eastAsia="Arial" w:hAnsi="Arial"/>
                <w:sz w:val="13"/>
                <w:szCs w:val="13"/>
                <w:b w:val="1"/>
                <w:bCs w:val="1"/>
                <w:color w:val="auto"/>
              </w:rPr>
              <w:t>in 2023 ($)</w:t>
            </w:r>
          </w:p>
        </w:tc>
        <w:tc>
          <w:tcPr>
            <w:tcW w:w="0" w:type="dxa"/>
            <w:vAlign w:val="bottom"/>
          </w:tcPr>
          <w:p>
            <w:pPr>
              <w:spacing w:after="0"/>
              <w:rPr>
                <w:sz w:val="1"/>
                <w:szCs w:val="1"/>
                <w:color w:val="auto"/>
              </w:rPr>
            </w:pPr>
          </w:p>
        </w:tc>
      </w:tr>
      <w:tr>
        <w:trPr>
          <w:trHeight w:val="188"/>
        </w:trPr>
        <w:tc>
          <w:tcPr>
            <w:tcW w:w="41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Fidji Simo</w:t>
            </w:r>
          </w:p>
        </w:tc>
        <w:tc>
          <w:tcPr>
            <w:tcW w:w="11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300,000</w:t>
            </w:r>
          </w:p>
        </w:tc>
        <w:tc>
          <w:tcPr>
            <w:tcW w:w="10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450,000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spacing w:after="0"/>
              <w:rPr>
                <w:sz w:val="20"/>
                <w:szCs w:val="20"/>
                <w:color w:val="auto"/>
              </w:rPr>
            </w:pPr>
            <w:r>
              <w:rPr>
                <w:rFonts w:ascii="Arial" w:cs="Arial" w:eastAsia="Arial" w:hAnsi="Arial"/>
                <w:sz w:val="17"/>
                <w:szCs w:val="17"/>
                <w:color w:val="auto"/>
              </w:rPr>
              <w:t>Nick Giovanni</w:t>
            </w:r>
          </w:p>
        </w:tc>
        <w:tc>
          <w:tcPr>
            <w:tcW w:w="2220" w:type="dxa"/>
            <w:vAlign w:val="bottom"/>
            <w:gridSpan w:val="2"/>
          </w:tcPr>
          <w:p>
            <w:pPr>
              <w:jc w:val="right"/>
              <w:ind w:right="1060"/>
              <w:spacing w:after="0"/>
              <w:rPr>
                <w:sz w:val="20"/>
                <w:szCs w:val="20"/>
                <w:color w:val="auto"/>
              </w:rPr>
            </w:pPr>
            <w:r>
              <w:rPr>
                <w:rFonts w:ascii="Arial" w:cs="Arial" w:eastAsia="Arial" w:hAnsi="Arial"/>
                <w:sz w:val="17"/>
                <w:szCs w:val="17"/>
                <w:color w:val="auto"/>
              </w:rPr>
              <w:t>300,000</w:t>
            </w: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Asha Sharma</w:t>
            </w: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300,000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3"/>
        </w:trPr>
        <w:tc>
          <w:tcPr>
            <w:tcW w:w="4100" w:type="dxa"/>
            <w:vAlign w:val="bottom"/>
            <w:gridSpan w:val="2"/>
          </w:tcPr>
          <w:p>
            <w:pPr>
              <w:spacing w:after="0"/>
              <w:rPr>
                <w:sz w:val="20"/>
                <w:szCs w:val="20"/>
                <w:color w:val="auto"/>
              </w:rPr>
            </w:pPr>
            <w:r>
              <w:rPr>
                <w:rFonts w:ascii="Arial" w:cs="Arial" w:eastAsia="Arial" w:hAnsi="Arial"/>
                <w:sz w:val="17"/>
                <w:szCs w:val="17"/>
                <w:color w:val="auto"/>
              </w:rPr>
              <w:t>Morgan Fong</w:t>
            </w:r>
          </w:p>
        </w:tc>
        <w:tc>
          <w:tcPr>
            <w:tcW w:w="2220" w:type="dxa"/>
            <w:vAlign w:val="bottom"/>
            <w:gridSpan w:val="2"/>
          </w:tcPr>
          <w:p>
            <w:pPr>
              <w:jc w:val="right"/>
              <w:ind w:right="1060"/>
              <w:spacing w:after="0"/>
              <w:rPr>
                <w:sz w:val="20"/>
                <w:szCs w:val="20"/>
                <w:color w:val="auto"/>
              </w:rPr>
            </w:pPr>
            <w:r>
              <w:rPr>
                <w:rFonts w:ascii="Arial" w:cs="Arial" w:eastAsia="Arial" w:hAnsi="Arial"/>
                <w:sz w:val="17"/>
                <w:szCs w:val="17"/>
                <w:color w:val="auto"/>
              </w:rPr>
              <w:t>360,000</w:t>
            </w: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540,000</w:t>
            </w: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Mark Schaaf</w:t>
            </w:r>
            <w:r>
              <w:rPr>
                <w:rFonts w:ascii="Arial" w:cs="Arial" w:eastAsia="Arial" w:hAnsi="Arial"/>
                <w:sz w:val="23"/>
                <w:szCs w:val="23"/>
                <w:color w:val="auto"/>
                <w:vertAlign w:val="superscript"/>
              </w:rPr>
              <w:t>(1)</w:t>
            </w:r>
          </w:p>
        </w:tc>
        <w:tc>
          <w:tcPr>
            <w:tcW w:w="22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9" w:lineRule="exact"/>
        <w:rPr>
          <w:sz w:val="20"/>
          <w:szCs w:val="20"/>
          <w:color w:val="auto"/>
        </w:rPr>
      </w:pPr>
    </w:p>
    <w:p>
      <w:pPr>
        <w:ind w:left="860" w:hanging="403"/>
        <w:spacing w:after="0"/>
        <w:tabs>
          <w:tab w:leader="none" w:pos="86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Mr. Schaaf was not eligible to receive a bonus for 2022 in light of his cessation of service on September 21, 2022.</w:t>
      </w:r>
    </w:p>
    <w:p>
      <w:pPr>
        <w:spacing w:after="0" w:line="19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In determining the amount of each applicable named executive officer’s bonus amount for 2022, our compensation committee considered overall company performance in 2022, time in role, and individual performance as it related to overall company success.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Executive Performance Bonus Plan</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In 2022, our compensation committee adopted an Executive Performance Bonus Plan, or the Bonus Plan, pursuant to which the compensation committee may, after the completion of this offering, award performance-based cash incentive opportunities to certain key executives, including all of our named executive officers who are currently providing services to us at such time. The Bonus Plan provides for the opportunity to earn cash incentive payments based upon the attainment of certain corporate, financial, operational, and other performance measures or objectives to be established by our compensation committee at the beginning of each fiscal year. Each participant will have a target annual performance incentive opportunity that corresponds to the achievement of the applicable corporate performance goals, which may be a percentage of such participant’s annual base</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252</w:t>
      </w:r>
    </w:p>
    <w:p>
      <w:pPr>
        <w:sectPr>
          <w:pgSz w:w="11900" w:h="16838" w:orient="portrait"/>
          <w:cols w:equalWidth="0" w:num="1">
            <w:col w:w="10780"/>
          </w:cols>
          <w:pgMar w:left="320" w:top="440" w:right="79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80"/>
        <w:spacing w:after="0" w:line="256" w:lineRule="auto"/>
        <w:rPr>
          <w:sz w:val="20"/>
          <w:szCs w:val="20"/>
          <w:color w:val="auto"/>
        </w:rPr>
      </w:pPr>
      <w:r>
        <w:rPr>
          <w:rFonts w:ascii="Arial" w:cs="Arial" w:eastAsia="Arial" w:hAnsi="Arial"/>
          <w:sz w:val="17"/>
          <w:szCs w:val="17"/>
          <w:color w:val="auto"/>
        </w:rPr>
        <w:t>salary or a fixed dollar amount. The corporate performance goals and incentive formulas will be adopted annually by our compensation committee and communicated to each participant. If the applicable corporate performance goals are met, our compensation committee will determine if incentive payments are made as soon as practicable thereafter. After the completion of this offering, the Bonus Plan may be used by our compensation committee to administer bonus payments to our executive officers going forward.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Long-Term Incentive Compensation</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We have historically granted equity compensation to our executive officers primarily in the form of stock options, RSU awards, and performance-based RSU awards, or PSU awards. All equity awards granted to our named executive officers in 2022 consisted of RSU or PSU awards. Our compensation committee believes that PSU awards align our named executive officers’ interests with those of our stockholders by providing a return directly in line with our stock price and minimize incentive for short-term risk-taking at the expense of realizing long-term value. RSU awards encourage retention through vesting over the recipient’s continued employment with us over a multi-year period or, with respect to PSU awards, for a specified performance period, cover fewer shares than stock options, minimize dilution to stockholders, and are the predominant type of equity award utilized by the peer companies with whom we compete for talent.</w:t>
      </w:r>
    </w:p>
    <w:p>
      <w:pPr>
        <w:spacing w:after="0" w:line="184" w:lineRule="exact"/>
        <w:rPr>
          <w:sz w:val="20"/>
          <w:szCs w:val="20"/>
          <w:color w:val="auto"/>
        </w:rPr>
      </w:pPr>
    </w:p>
    <w:p>
      <w:pPr>
        <w:jc w:val="both"/>
        <w:ind w:left="460" w:right="60" w:firstLine="413"/>
        <w:spacing w:after="0" w:line="260" w:lineRule="auto"/>
        <w:rPr>
          <w:sz w:val="20"/>
          <w:szCs w:val="20"/>
          <w:color w:val="auto"/>
        </w:rPr>
      </w:pPr>
      <w:r>
        <w:rPr>
          <w:rFonts w:ascii="Arial" w:cs="Arial" w:eastAsia="Arial" w:hAnsi="Arial"/>
          <w:sz w:val="17"/>
          <w:szCs w:val="17"/>
          <w:color w:val="auto"/>
        </w:rPr>
        <w:t>Our general policy in effect prior to this offering is to grant equity awards on fixed dates determined in advance, although there may be occasions when grants are made on other dates, such as grants to new hires or other special circumstances. All required approvals are obtained in advance of or on the actual grant date.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Refresh RSU Grants</w:t>
      </w:r>
    </w:p>
    <w:p>
      <w:pPr>
        <w:spacing w:after="0" w:line="108" w:lineRule="exact"/>
        <w:rPr>
          <w:sz w:val="20"/>
          <w:szCs w:val="20"/>
          <w:color w:val="auto"/>
        </w:rPr>
      </w:pPr>
    </w:p>
    <w:p>
      <w:pPr>
        <w:jc w:val="both"/>
        <w:ind w:left="460" w:right="280" w:firstLine="413"/>
        <w:spacing w:after="0" w:line="284" w:lineRule="auto"/>
        <w:rPr>
          <w:sz w:val="20"/>
          <w:szCs w:val="20"/>
          <w:color w:val="auto"/>
        </w:rPr>
      </w:pPr>
      <w:r>
        <w:rPr>
          <w:rFonts w:ascii="Arial" w:cs="Arial" w:eastAsia="Arial" w:hAnsi="Arial"/>
          <w:sz w:val="16"/>
          <w:szCs w:val="16"/>
          <w:color w:val="auto"/>
        </w:rPr>
        <w:t>In April 2022, our compensation committee granted refresh RSU awards to all of our named executive officers. In determining the appropriate size of refresh grants, our compensation committee aimed to deliver equity awards to each applicable executive officer to meet the need to maintain equity opportunities competitive with the market and serve the retention and incentive purposes of the awards.</w:t>
      </w:r>
    </w:p>
    <w:p>
      <w:pPr>
        <w:spacing w:after="0" w:line="157"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Ms. Simo, Mr. Giovanni, Ms. Sharma, Mr. Fong, and Mr. Schaaf each received RSU awards representing the right to be issued 195,465 shares, 118,908 shares, 146,599 shares, 70,367 shares, and 78,186 shares of our common stock, respectively. Each RSU award vests upon satisfaction of both a service-based vesting condition and a liquidity event-based vesting condition, which will be satisfied upon the earlier of (i) a change of control and (ii) the effective date of the registration statement of which this prospectus forms a part, referred to as the Liquidity Condition in this “Executive Compensation” section. For Ms. Simo, pursuant to her offer letter agreement, the service-based vesting condition is satisfied over a period of one year, with 25% of the award satisfying the service-based vesting condition on each of October 5, 2022, December 8, 2022, February 10, 2023, and April 15, 2023, subject to Ms. Simo’s continued service with us. For Mr. Giovanni, Ms. Sharma, Mr. Fong, and Mr. Schaaf, the service-based vesting condition is satisfied over a period of four years, with 1/16 of the award satisfying the service-based vesting condition on equal quarterly installments beginning on August 15, 2022, subject to the executive’s continued service with us. Given Mr. Schaaf’s departure, only 6,852 shares subject to his 2022 refresh RSU award were deemed to have satisfied the service-based vesting condition as of his cessation of service on September 21, 2022, and the remaining portion of the RSU award was forfeited.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PSU Awards</w:t>
      </w:r>
    </w:p>
    <w:p>
      <w:pPr>
        <w:spacing w:after="0" w:line="108"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In order to incentivize strong performance and a focus on creating stockholder value, in December 2022, our compensation committee also granted equity awards in the form of PSU awards to Ms. Simo, Mr. Giovanni, and Ms. Sharma, representing the right to be issued up to 1,200,000 shares, 600,000 shares, and 720,000 shares of our common stock, respectively. These awards vest upon the effectiveness of the registration statement of which this prospectus forms a part and the satisfaction of certain market capitalization goals ranging from $15 billion to $30 billion, as set forth in the table below, during the performance period commencing on the grant date and ending on</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253</w:t>
      </w:r>
    </w:p>
    <w:p>
      <w:pPr>
        <w:sectPr>
          <w:pgSz w:w="11900" w:h="16838" w:orient="portrait"/>
          <w:cols w:equalWidth="0" w:num="1">
            <w:col w:w="10780"/>
          </w:cols>
          <w:pgMar w:left="320" w:top="440" w:right="799" w:bottom="1440" w:gutter="0" w:footer="0" w:header="0"/>
        </w:sectPr>
      </w:pPr>
    </w:p>
    <w:bookmarkStart w:id="263" w:name="page264"/>
    <w:bookmarkEnd w:id="2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56" w:lineRule="auto"/>
        <w:rPr>
          <w:sz w:val="20"/>
          <w:szCs w:val="20"/>
          <w:color w:val="auto"/>
        </w:rPr>
      </w:pPr>
      <w:r>
        <w:rPr>
          <w:rFonts w:ascii="Arial" w:cs="Arial" w:eastAsia="Arial" w:hAnsi="Arial"/>
          <w:sz w:val="17"/>
          <w:szCs w:val="17"/>
          <w:color w:val="auto"/>
        </w:rPr>
        <w:t>the earlier of the five-year anniversary of the grant date, a change of control, and a termination of service. At the time of grant, our compensation committee believed that the market capitalization goals were challenging, would require exceptional performance to be attained and, to the extent attained, would deliver significant value to our stockholders. In the case of Ms. Simo, in consideration of receiving such 2022 PSU award, she forfeited a previously issued PSU award representing the right to be issued up to 800,000 shares.</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4"/>
              </w:rPr>
              <w:t>Effective Date of</w:t>
            </w:r>
          </w:p>
        </w:tc>
        <w:tc>
          <w:tcPr>
            <w:tcW w:w="166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rPr>
              <w:t>Market</w:t>
            </w:r>
          </w:p>
        </w:tc>
        <w:tc>
          <w:tcPr>
            <w:tcW w:w="166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auto"/>
              </w:rPr>
              <w:t>Market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3"/>
                <w:szCs w:val="13"/>
                <w:b w:val="1"/>
                <w:bCs w:val="1"/>
                <w:color w:val="auto"/>
                <w:w w:val="88"/>
              </w:rPr>
              <w:t>Executive</w:t>
            </w:r>
          </w:p>
        </w:tc>
        <w:tc>
          <w:tcPr>
            <w:tcW w:w="2940" w:type="dxa"/>
            <w:vAlign w:val="bottom"/>
            <w:vMerge w:val="restart"/>
          </w:tcPr>
          <w:p>
            <w:pPr>
              <w:spacing w:after="0"/>
              <w:rPr>
                <w:sz w:val="12"/>
                <w:szCs w:val="12"/>
                <w:color w:val="auto"/>
              </w:rPr>
            </w:pPr>
          </w:p>
        </w:tc>
        <w:tc>
          <w:tcPr>
            <w:tcW w:w="1640" w:type="dxa"/>
            <w:vAlign w:val="bottom"/>
            <w:gridSpan w:val="2"/>
          </w:tcPr>
          <w:p>
            <w:pPr>
              <w:jc w:val="right"/>
              <w:ind w:right="660"/>
              <w:spacing w:after="0" w:line="139" w:lineRule="exact"/>
              <w:rPr>
                <w:sz w:val="20"/>
                <w:szCs w:val="20"/>
                <w:color w:val="auto"/>
              </w:rPr>
            </w:pPr>
            <w:r>
              <w:rPr>
                <w:rFonts w:ascii="Arial" w:cs="Arial" w:eastAsia="Arial" w:hAnsi="Arial"/>
                <w:sz w:val="13"/>
                <w:szCs w:val="13"/>
                <w:b w:val="1"/>
                <w:bCs w:val="1"/>
                <w:color w:val="auto"/>
                <w:w w:val="94"/>
              </w:rPr>
              <w:t>IPO Registration</w:t>
            </w:r>
          </w:p>
        </w:tc>
        <w:tc>
          <w:tcPr>
            <w:tcW w:w="1660" w:type="dxa"/>
            <w:vAlign w:val="bottom"/>
            <w:gridSpan w:val="2"/>
          </w:tcPr>
          <w:p>
            <w:pPr>
              <w:jc w:val="center"/>
              <w:ind w:right="660"/>
              <w:spacing w:after="0" w:line="139" w:lineRule="exact"/>
              <w:rPr>
                <w:sz w:val="20"/>
                <w:szCs w:val="20"/>
                <w:color w:val="auto"/>
              </w:rPr>
            </w:pPr>
            <w:r>
              <w:rPr>
                <w:rFonts w:ascii="Arial" w:cs="Arial" w:eastAsia="Arial" w:hAnsi="Arial"/>
                <w:sz w:val="13"/>
                <w:szCs w:val="13"/>
                <w:b w:val="1"/>
                <w:bCs w:val="1"/>
                <w:color w:val="auto"/>
                <w:w w:val="95"/>
              </w:rPr>
              <w:t>Capitalization of</w:t>
            </w:r>
          </w:p>
        </w:tc>
        <w:tc>
          <w:tcPr>
            <w:tcW w:w="1660" w:type="dxa"/>
            <w:vAlign w:val="bottom"/>
            <w:gridSpan w:val="2"/>
          </w:tcPr>
          <w:p>
            <w:pPr>
              <w:jc w:val="right"/>
              <w:ind w:right="680"/>
              <w:spacing w:after="0" w:line="139" w:lineRule="exact"/>
              <w:rPr>
                <w:sz w:val="20"/>
                <w:szCs w:val="20"/>
                <w:color w:val="auto"/>
              </w:rPr>
            </w:pPr>
            <w:r>
              <w:rPr>
                <w:rFonts w:ascii="Arial" w:cs="Arial" w:eastAsia="Arial" w:hAnsi="Arial"/>
                <w:sz w:val="13"/>
                <w:szCs w:val="13"/>
                <w:b w:val="1"/>
                <w:bCs w:val="1"/>
                <w:color w:val="auto"/>
                <w:w w:val="95"/>
              </w:rPr>
              <w:t>Capitalization of</w:t>
            </w:r>
          </w:p>
        </w:tc>
        <w:tc>
          <w:tcPr>
            <w:tcW w:w="10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w w:val="95"/>
              </w:rPr>
              <w:t>Capitalization of</w:t>
            </w:r>
          </w:p>
        </w:tc>
        <w:tc>
          <w:tcPr>
            <w:tcW w:w="0" w:type="dxa"/>
            <w:vAlign w:val="bottom"/>
          </w:tcPr>
          <w:p>
            <w:pPr>
              <w:spacing w:after="0"/>
              <w:rPr>
                <w:sz w:val="1"/>
                <w:szCs w:val="1"/>
                <w:color w:val="auto"/>
              </w:rPr>
            </w:pPr>
          </w:p>
        </w:tc>
      </w:tr>
      <w:tr>
        <w:trPr>
          <w:trHeight w:val="167"/>
        </w:trPr>
        <w:tc>
          <w:tcPr>
            <w:tcW w:w="56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640" w:type="dxa"/>
            <w:vAlign w:val="bottom"/>
            <w:gridSpan w:val="2"/>
          </w:tcPr>
          <w:p>
            <w:pPr>
              <w:jc w:val="center"/>
              <w:ind w:right="660"/>
              <w:spacing w:after="0" w:line="147" w:lineRule="exact"/>
              <w:rPr>
                <w:sz w:val="20"/>
                <w:szCs w:val="20"/>
                <w:color w:val="auto"/>
              </w:rPr>
            </w:pPr>
            <w:r>
              <w:rPr>
                <w:rFonts w:ascii="Arial" w:cs="Arial" w:eastAsia="Arial" w:hAnsi="Arial"/>
                <w:sz w:val="13"/>
                <w:szCs w:val="13"/>
                <w:b w:val="1"/>
                <w:bCs w:val="1"/>
                <w:color w:val="auto"/>
                <w:w w:val="92"/>
              </w:rPr>
              <w:t>Statement</w:t>
            </w:r>
          </w:p>
        </w:tc>
        <w:tc>
          <w:tcPr>
            <w:tcW w:w="1660" w:type="dxa"/>
            <w:vAlign w:val="bottom"/>
            <w:gridSpan w:val="2"/>
          </w:tcPr>
          <w:p>
            <w:pPr>
              <w:jc w:val="center"/>
              <w:ind w:right="680"/>
              <w:spacing w:after="0" w:line="147" w:lineRule="exact"/>
              <w:rPr>
                <w:sz w:val="20"/>
                <w:szCs w:val="20"/>
                <w:color w:val="auto"/>
              </w:rPr>
            </w:pPr>
            <w:r>
              <w:rPr>
                <w:rFonts w:ascii="Arial" w:cs="Arial" w:eastAsia="Arial" w:hAnsi="Arial"/>
                <w:sz w:val="13"/>
                <w:szCs w:val="13"/>
                <w:b w:val="1"/>
                <w:bCs w:val="1"/>
                <w:color w:val="auto"/>
                <w:w w:val="95"/>
              </w:rPr>
              <w:t>$15 Billion</w:t>
            </w:r>
          </w:p>
        </w:tc>
        <w:tc>
          <w:tcPr>
            <w:tcW w:w="1660" w:type="dxa"/>
            <w:vAlign w:val="bottom"/>
            <w:gridSpan w:val="2"/>
          </w:tcPr>
          <w:p>
            <w:pPr>
              <w:jc w:val="right"/>
              <w:ind w:right="860"/>
              <w:spacing w:after="0" w:line="147" w:lineRule="exact"/>
              <w:rPr>
                <w:sz w:val="20"/>
                <w:szCs w:val="20"/>
                <w:color w:val="auto"/>
              </w:rPr>
            </w:pPr>
            <w:r>
              <w:rPr>
                <w:rFonts w:ascii="Arial" w:cs="Arial" w:eastAsia="Arial" w:hAnsi="Arial"/>
                <w:sz w:val="13"/>
                <w:szCs w:val="13"/>
                <w:b w:val="1"/>
                <w:bCs w:val="1"/>
                <w:color w:val="auto"/>
              </w:rPr>
              <w:t>$20 Billion</w:t>
            </w:r>
          </w:p>
        </w:tc>
        <w:tc>
          <w:tcPr>
            <w:tcW w:w="1040" w:type="dxa"/>
            <w:vAlign w:val="bottom"/>
            <w:gridSpan w:val="2"/>
          </w:tcPr>
          <w:p>
            <w:pPr>
              <w:jc w:val="right"/>
              <w:ind w:right="240"/>
              <w:spacing w:after="0" w:line="147" w:lineRule="exact"/>
              <w:rPr>
                <w:sz w:val="20"/>
                <w:szCs w:val="20"/>
                <w:color w:val="auto"/>
              </w:rPr>
            </w:pPr>
            <w:r>
              <w:rPr>
                <w:rFonts w:ascii="Arial" w:cs="Arial" w:eastAsia="Arial" w:hAnsi="Arial"/>
                <w:sz w:val="13"/>
                <w:szCs w:val="13"/>
                <w:b w:val="1"/>
                <w:bCs w:val="1"/>
                <w:color w:val="auto"/>
              </w:rPr>
              <w:t>$30 Billion</w:t>
            </w:r>
          </w:p>
        </w:tc>
        <w:tc>
          <w:tcPr>
            <w:tcW w:w="0" w:type="dxa"/>
            <w:vAlign w:val="bottom"/>
          </w:tcPr>
          <w:p>
            <w:pPr>
              <w:spacing w:after="0"/>
              <w:rPr>
                <w:sz w:val="1"/>
                <w:szCs w:val="1"/>
                <w:color w:val="auto"/>
              </w:rPr>
            </w:pPr>
          </w:p>
        </w:tc>
      </w:tr>
      <w:tr>
        <w:trPr>
          <w:trHeight w:val="188"/>
        </w:trPr>
        <w:tc>
          <w:tcPr>
            <w:tcW w:w="35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Fidji Simo</w:t>
            </w: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300,000</w:t>
            </w:r>
          </w:p>
        </w:tc>
        <w:tc>
          <w:tcPr>
            <w:tcW w:w="6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180,000</w:t>
            </w:r>
          </w:p>
        </w:tc>
        <w:tc>
          <w:tcPr>
            <w:tcW w:w="6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240,000</w:t>
            </w:r>
          </w:p>
        </w:tc>
        <w:tc>
          <w:tcPr>
            <w:tcW w:w="6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480,000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rPr>
                <w:sz w:val="20"/>
                <w:szCs w:val="20"/>
                <w:color w:val="auto"/>
              </w:rPr>
            </w:pPr>
            <w:r>
              <w:rPr>
                <w:rFonts w:ascii="Arial" w:cs="Arial" w:eastAsia="Arial" w:hAnsi="Arial"/>
                <w:sz w:val="17"/>
                <w:szCs w:val="17"/>
                <w:color w:val="auto"/>
              </w:rPr>
              <w:t>Nick Giovanni</w:t>
            </w:r>
          </w:p>
        </w:tc>
        <w:tc>
          <w:tcPr>
            <w:tcW w:w="1640" w:type="dxa"/>
            <w:vAlign w:val="bottom"/>
            <w:gridSpan w:val="2"/>
          </w:tcPr>
          <w:p>
            <w:pPr>
              <w:jc w:val="right"/>
              <w:ind w:right="660"/>
              <w:spacing w:after="0"/>
              <w:rPr>
                <w:sz w:val="20"/>
                <w:szCs w:val="20"/>
                <w:color w:val="auto"/>
              </w:rPr>
            </w:pPr>
            <w:r>
              <w:rPr>
                <w:rFonts w:ascii="Arial" w:cs="Arial" w:eastAsia="Arial" w:hAnsi="Arial"/>
                <w:sz w:val="17"/>
                <w:szCs w:val="17"/>
                <w:color w:val="auto"/>
              </w:rPr>
              <w:t>150,000</w:t>
            </w:r>
          </w:p>
        </w:tc>
        <w:tc>
          <w:tcPr>
            <w:tcW w:w="1660" w:type="dxa"/>
            <w:vAlign w:val="bottom"/>
            <w:gridSpan w:val="2"/>
          </w:tcPr>
          <w:p>
            <w:pPr>
              <w:jc w:val="right"/>
              <w:ind w:right="680"/>
              <w:spacing w:after="0"/>
              <w:rPr>
                <w:sz w:val="20"/>
                <w:szCs w:val="20"/>
                <w:color w:val="auto"/>
              </w:rPr>
            </w:pPr>
            <w:r>
              <w:rPr>
                <w:rFonts w:ascii="Arial" w:cs="Arial" w:eastAsia="Arial" w:hAnsi="Arial"/>
                <w:sz w:val="17"/>
                <w:szCs w:val="17"/>
                <w:color w:val="auto"/>
              </w:rPr>
              <w:t>90,000</w:t>
            </w:r>
          </w:p>
        </w:tc>
        <w:tc>
          <w:tcPr>
            <w:tcW w:w="1660" w:type="dxa"/>
            <w:vAlign w:val="bottom"/>
            <w:gridSpan w:val="2"/>
          </w:tcPr>
          <w:p>
            <w:pPr>
              <w:jc w:val="right"/>
              <w:ind w:right="680"/>
              <w:spacing w:after="0"/>
              <w:rPr>
                <w:sz w:val="20"/>
                <w:szCs w:val="20"/>
                <w:color w:val="auto"/>
              </w:rPr>
            </w:pPr>
            <w:r>
              <w:rPr>
                <w:rFonts w:ascii="Arial" w:cs="Arial" w:eastAsia="Arial" w:hAnsi="Arial"/>
                <w:sz w:val="17"/>
                <w:szCs w:val="17"/>
                <w:color w:val="auto"/>
              </w:rPr>
              <w:t>120,000</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240,000</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Asha Sharma</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180,000</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108,000</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144,000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288,000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460" w:right="300" w:firstLine="413"/>
        <w:spacing w:after="0" w:line="311" w:lineRule="auto"/>
        <w:rPr>
          <w:sz w:val="20"/>
          <w:szCs w:val="20"/>
          <w:color w:val="auto"/>
        </w:rPr>
      </w:pPr>
      <w:r>
        <w:rPr>
          <w:rFonts w:ascii="Arial" w:cs="Arial" w:eastAsia="Arial" w:hAnsi="Arial"/>
          <w:sz w:val="15"/>
          <w:szCs w:val="15"/>
          <w:color w:val="auto"/>
        </w:rPr>
        <w:t>The PSU awards are subject to a post-vesting holding requirement, pursuant to which each named executive officer is required to hold shares received in settlement of vested PSUs for one year after vesting. This requirement is subject to limited carveouts for tax withholding obligations and transfers of shares to family members for estate or tax planning purposes and will lapse upon the named executive officer’s death or disability.</w:t>
      </w:r>
    </w:p>
    <w:p>
      <w:pPr>
        <w:spacing w:after="0" w:line="339"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Other Features of Our Executive Compensation Program</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Employment Offer Letters</w:t>
      </w:r>
    </w:p>
    <w:p>
      <w:pPr>
        <w:spacing w:after="0" w:line="108" w:lineRule="exact"/>
        <w:rPr>
          <w:sz w:val="20"/>
          <w:szCs w:val="20"/>
          <w:color w:val="auto"/>
        </w:rPr>
      </w:pPr>
    </w:p>
    <w:p>
      <w:pPr>
        <w:ind w:left="460" w:right="440" w:firstLine="413"/>
        <w:spacing w:after="0" w:line="260" w:lineRule="auto"/>
        <w:rPr>
          <w:sz w:val="20"/>
          <w:szCs w:val="20"/>
          <w:color w:val="auto"/>
        </w:rPr>
      </w:pPr>
      <w:r>
        <w:rPr>
          <w:rFonts w:ascii="Arial" w:cs="Arial" w:eastAsia="Arial" w:hAnsi="Arial"/>
          <w:sz w:val="17"/>
          <w:szCs w:val="17"/>
          <w:color w:val="auto"/>
        </w:rPr>
        <w:t>We have entered into offer letter agreements with each of our named executive officers that set forth the terms and conditions of their employment, including position, base salary, and certain severance benefits, as described below. Each of our named executive officers is an at-will employee.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Severance and Change in Control Benefits</w:t>
      </w:r>
    </w:p>
    <w:p>
      <w:pPr>
        <w:spacing w:after="0" w:line="108"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provide severance protections to our named executive officers in the event that they experience certain types of termination events, including terminations in connection with a change in control of our company. Pursuant to her offer letter with us, Ms. Simo is eligible for severance and/or change in control benefits upon an involuntary termination or a termination due to death or disability. Each of Mr. Giovanni, Ms. Sharma, and Mr. Fong is, and prior to his cessation of services with us, Mr. Schaaf was, a participant in our Severance and Change in Control Plan, or the Severance Plan, which was adopted in July 2021. The Severance Plan provides for severance and/or change in control benefits to the participants upon an involuntary termination or a termination that occurs due to a participant’s death or disability. An “involuntary termination” for purposes of Ms. Simo’s offer letter and the Severance Plan generally means a termination of the applicable named executive officer’s employment by us other than for cause, due to death or disability, or a resignation by the applicable named executive officer for good reason (each as defined in Ms. Simo’s offer letter or the Severance Plan, as applicable). A more detailed description of these arrangements is provided in the section titled “—Potential Payments upon Termination or Change of Control.”</w:t>
      </w:r>
    </w:p>
    <w:p>
      <w:pPr>
        <w:spacing w:after="0" w:line="174"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Our compensation committee believes these severance benefits are important from a retention perspective to provide some level of protection to our executives who might be terminated, including in connection with a change in control, and that the amounts are reasonable and maintain the competitiveness of our executive compensation and retention program. Further, our compensation committee believes this structure serves to mitigate the distraction and loss of key executive officers that may occur in connection with potential or actual change in control. Such payments protect the interests of our stockholders by enhancing executive focus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However, we do not have any agreements with our named executive officers guaranteeing any tax gross-up payments on severance or change in control benefits.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254</w:t>
      </w:r>
    </w:p>
    <w:p>
      <w:pPr>
        <w:sectPr>
          <w:pgSz w:w="11900" w:h="16838" w:orient="portrait"/>
          <w:cols w:equalWidth="0" w:num="1">
            <w:col w:w="10780"/>
          </w:cols>
          <w:pgMar w:left="320" w:top="440" w:right="799" w:bottom="1440" w:gutter="0" w:footer="0" w:header="0"/>
        </w:sectPr>
      </w:pPr>
    </w:p>
    <w:bookmarkStart w:id="264" w:name="page265"/>
    <w:bookmarkEnd w:id="2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In addition, each of our named executive officers holds equity awards that were granted under and subject to the terms of our equity incentive plans and the applicable award agreements thereunder.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401(k) Plan, Welfare, and Health Benefits</w:t>
      </w:r>
    </w:p>
    <w:p>
      <w:pPr>
        <w:spacing w:after="0" w:line="108" w:lineRule="exact"/>
        <w:rPr>
          <w:sz w:val="20"/>
          <w:szCs w:val="20"/>
          <w:color w:val="auto"/>
        </w:rPr>
      </w:pPr>
    </w:p>
    <w:p>
      <w:pPr>
        <w:ind w:left="460" w:right="60" w:firstLine="413"/>
        <w:spacing w:after="0" w:line="291" w:lineRule="auto"/>
        <w:rPr>
          <w:sz w:val="20"/>
          <w:szCs w:val="20"/>
          <w:color w:val="auto"/>
        </w:rPr>
      </w:pPr>
      <w:r>
        <w:rPr>
          <w:rFonts w:ascii="Arial" w:cs="Arial" w:eastAsia="Arial" w:hAnsi="Arial"/>
          <w:sz w:val="15"/>
          <w:szCs w:val="15"/>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We may make matching and discretionary contributions to the 401(k) plan. During 2022, we made safe-harbor matching employer contributions to the 401(k) plan in an amount equal to 4% of eligible earnings, subject to annual IRS limits.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57"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In addition, we generally provide other benefits to our executive officers, including the named executive officers, on the same basis as to our other full-time employees. These benefits include, but are not limited to, medical, dental, vision, life, disability, and accidental death and dismemberment insurance plans. In general, we pay the premiums for the life, disability, and accidental death and dismemberment insurance for our employees, including our named executive officers.</w:t>
      </w:r>
    </w:p>
    <w:p>
      <w:pPr>
        <w:spacing w:after="0" w:line="179"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Business Travel</w:t>
      </w:r>
    </w:p>
    <w:p>
      <w:pPr>
        <w:spacing w:after="0" w:line="108" w:lineRule="exact"/>
        <w:rPr>
          <w:sz w:val="20"/>
          <w:szCs w:val="20"/>
          <w:color w:val="auto"/>
        </w:rPr>
      </w:pPr>
    </w:p>
    <w:p>
      <w:pPr>
        <w:ind w:left="460" w:right="60" w:firstLine="413"/>
        <w:spacing w:after="0" w:line="277" w:lineRule="auto"/>
        <w:rPr>
          <w:sz w:val="20"/>
          <w:szCs w:val="20"/>
          <w:color w:val="auto"/>
        </w:rPr>
      </w:pPr>
      <w:r>
        <w:rPr>
          <w:rFonts w:ascii="Arial" w:cs="Arial" w:eastAsia="Arial" w:hAnsi="Arial"/>
          <w:sz w:val="16"/>
          <w:szCs w:val="16"/>
          <w:color w:val="auto"/>
        </w:rPr>
        <w:t>From time to time, our Chief Executive Officer may request chartered aircraft services to facilitate travel that is directly and integrally related to the performance of her job duties when the use of a chartered plane will increase efficiency or security associated with a particular trip. Occasionally, family members may accompany her on these flights and, if this occurs, we require her to pay the incremental cost, if any, to accommodate these guests on the flight. There has been no incremental cost to us for family accompaniment on chartered business flights.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Perquisites and Other Personal Benefits</w:t>
      </w:r>
    </w:p>
    <w:p>
      <w:pPr>
        <w:spacing w:after="0" w:line="108"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Currently, we do not view perquisites or other personal benefits as a significant component of our executive compensation program. Accordingly, we generally do not provide excessive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 We pay the premiums for term life insurance and disability insurance, subject to certain limitations, for all of our employees, including our named executive officers.</w:t>
      </w:r>
    </w:p>
    <w:p>
      <w:pPr>
        <w:spacing w:after="0" w:line="152"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In the future, we may provide perquisites or other personal benefits in limited circumstances. All future practices with respect to perquisites or other personal benefits will be approved and subject to periodic review by our compensation committee.</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255</w:t>
      </w:r>
    </w:p>
    <w:p>
      <w:pPr>
        <w:sectPr>
          <w:pgSz w:w="11900" w:h="16838" w:orient="portrait"/>
          <w:cols w:equalWidth="0" w:num="1">
            <w:col w:w="10760"/>
          </w:cols>
          <w:pgMar w:left="320" w:top="440" w:right="819" w:bottom="1440" w:gutter="0" w:footer="0" w:header="0"/>
        </w:sectPr>
      </w:pPr>
    </w:p>
    <w:bookmarkStart w:id="265" w:name="page266"/>
    <w:bookmarkEnd w:id="2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Tax and Accounting Implications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Accounting for Stock-Based Compensation</w:t>
      </w:r>
    </w:p>
    <w:p>
      <w:pPr>
        <w:spacing w:after="0" w:line="108"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Under ASC Topic 718, we are required to measure the compensation expense for all stock-based awards made to employees and directors, including stock options, RSUs, and restricted stock, based on the grant-date fair value of these awards. We record stock-based compensation expense on an ongoing basis according to ASC Topic 718. The accounting impact of our compensation programs is one of many factors that our compensation committee considers in determining the structure and size of our executive compensation programs.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Deductibility of Executive Compensation</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Under Section 162(m) of the Code, or Section 162(m), compensation paid to each of the company’s “covered employees” that exceeds $1 million per taxable year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79"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6"/>
          <w:szCs w:val="16"/>
          <w:color w:val="auto"/>
        </w:rPr>
        <w:t>Although our compensation committee will continue to consider tax implications as one factor in determining executive compensation, our compensation committee also looks at other factors in making its decisions and retains the flexibility to provide compensation for our named executive officers in a manner consistent with the goals of our executive compensation program and the best interests of our company and stockholders, which may include providing for compensation that is not deductible by the company due to the deduction limit under Section 162(m). Our compensation committee also retains the flexibility to modify compensation that was initially intended to be exempt from the deduction limit under Section 162(m) if it determines that such modifications are consistent with our business needs.</w:t>
      </w:r>
    </w:p>
    <w:p>
      <w:pPr>
        <w:spacing w:after="0" w:line="366"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Other Compensation Policies and Practices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Clawback Policy</w:t>
      </w:r>
    </w:p>
    <w:p>
      <w:pPr>
        <w:spacing w:after="0" w:line="108"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required to reimburse us for any bonus or other incentive-based or equity-based compensation they receive in accordance with the provisions of Section 304 of the Sarbanes-Oxley Act of 2002. Additionally, we will implement a Dodd-Frank Wall Street Reform and Consumer Protection Act-compliant compensation recoupment policy in accordance with SEC and Nasdaq requirements.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Policy Prohibiting Hedging and Pledging of Our Equity Securities</w:t>
      </w:r>
    </w:p>
    <w:p>
      <w:pPr>
        <w:spacing w:after="0" w:line="10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Hedging or monetization transactions, including through the use of financial instruments such as prepaid variable forwards, equity swaps, collars, and exchange funds are prohibited by our insider trading policy. Since such hedging transactions allow a stockholder to continue to own our securities obtained through employee benefit plans or otherwise, but without the full risks and rewards of ownership, that stockholder may no longer have the same objectives as our other stockholders. Therefore, our insider trading policy prohibits our employees, including our executive officers and directors, from engaging in any such transactions.</w:t>
      </w:r>
    </w:p>
    <w:p>
      <w:pPr>
        <w:spacing w:after="0" w:line="380"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Compensation Risk Assessment</w:t>
      </w:r>
    </w:p>
    <w:p>
      <w:pPr>
        <w:spacing w:after="0" w:line="214" w:lineRule="exact"/>
        <w:rPr>
          <w:sz w:val="20"/>
          <w:szCs w:val="20"/>
          <w:color w:val="auto"/>
        </w:rPr>
      </w:pPr>
    </w:p>
    <w:p>
      <w:pPr>
        <w:ind w:left="460" w:right="440" w:firstLine="413"/>
        <w:spacing w:after="0" w:line="284" w:lineRule="auto"/>
        <w:rPr>
          <w:sz w:val="20"/>
          <w:szCs w:val="20"/>
          <w:color w:val="auto"/>
        </w:rPr>
      </w:pPr>
      <w:r>
        <w:rPr>
          <w:rFonts w:ascii="Arial" w:cs="Arial" w:eastAsia="Arial" w:hAnsi="Arial"/>
          <w:sz w:val="16"/>
          <w:szCs w:val="16"/>
          <w:color w:val="auto"/>
        </w:rPr>
        <w:t>Our compensation committee has reviewed our compensation policies and practices to assess whether they encourage employees to take inappropriate risks. After conducting this review of compensation-related risk, our compensation committee has concluded that our compensation policies and practices are not reasonably likely to have a material adverse effect on our company.</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256</w:t>
      </w:r>
    </w:p>
    <w:p>
      <w:pPr>
        <w:sectPr>
          <w:pgSz w:w="11900" w:h="16838" w:orient="portrait"/>
          <w:cols w:equalWidth="0" w:num="1">
            <w:col w:w="10740"/>
          </w:cols>
          <w:pgMar w:left="320" w:top="440" w:right="8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2023 Pay Actions</w:t>
      </w:r>
    </w:p>
    <w:p>
      <w:pPr>
        <w:spacing w:after="0" w:line="214" w:lineRule="exact"/>
        <w:rPr>
          <w:sz w:val="20"/>
          <w:szCs w:val="20"/>
          <w:color w:val="auto"/>
        </w:rPr>
      </w:pPr>
    </w:p>
    <w:p>
      <w:pPr>
        <w:ind w:left="460" w:right="500" w:firstLine="413"/>
        <w:spacing w:after="0" w:line="260" w:lineRule="auto"/>
        <w:rPr>
          <w:sz w:val="20"/>
          <w:szCs w:val="20"/>
          <w:color w:val="auto"/>
        </w:rPr>
      </w:pPr>
      <w:r>
        <w:rPr>
          <w:rFonts w:ascii="Arial" w:cs="Arial" w:eastAsia="Arial" w:hAnsi="Arial"/>
          <w:sz w:val="17"/>
          <w:szCs w:val="17"/>
          <w:color w:val="auto"/>
        </w:rPr>
        <w:t>In April 2023, after considering each named executive officer’s individual performance, market context, and criticality to Instacart, our compensation committee delivered each executive’s incentive compensation through a combination of short-term and long-term pay components, comprising a short-term discretionary bonus and long-term restricted cash and RSU awards.</w:t>
      </w:r>
    </w:p>
    <w:p>
      <w:pPr>
        <w:spacing w:after="0" w:line="175" w:lineRule="exact"/>
        <w:rPr>
          <w:sz w:val="20"/>
          <w:szCs w:val="20"/>
          <w:color w:val="auto"/>
        </w:rPr>
      </w:pPr>
    </w:p>
    <w:p>
      <w:pPr>
        <w:ind w:left="460" w:right="180" w:firstLine="413"/>
        <w:spacing w:after="0" w:line="252" w:lineRule="auto"/>
        <w:rPr>
          <w:sz w:val="20"/>
          <w:szCs w:val="20"/>
          <w:color w:val="auto"/>
        </w:rPr>
      </w:pPr>
      <w:r>
        <w:rPr>
          <w:rFonts w:ascii="Arial" w:cs="Arial" w:eastAsia="Arial" w:hAnsi="Arial"/>
          <w:sz w:val="17"/>
          <w:szCs w:val="17"/>
          <w:color w:val="auto"/>
        </w:rPr>
        <w:t>Our compensation committee approved refresh RSU awards to our named executive officers who were providing services to us on the date of grant. The aggregate grant value of each refresh RSU award was based on each executive’s total variable compensation, and was reduced by each executive’s 2022 discretionary cash bonus as described further under “—2022 Executive Compensation Program—Short-Term Incentive Compensation.” In addition, a portion of these RSU awards was delivered as restricted cash awards for 2023 to reduce our equity dilution by reducing the number of shares of common stock that would have otherwise been granted, and to provide our executives with liquidity prior to the completion of this offering. Restricted cash awards reduced the value of the refresh RSU awards granted on a dollar-for-dollar basis for each applicable vesting date where a restricted cash award is applied.</w:t>
      </w:r>
    </w:p>
    <w:p>
      <w:pPr>
        <w:spacing w:after="0" w:line="184" w:lineRule="exact"/>
        <w:rPr>
          <w:sz w:val="20"/>
          <w:szCs w:val="20"/>
          <w:color w:val="auto"/>
        </w:rPr>
      </w:pPr>
    </w:p>
    <w:p>
      <w:pPr>
        <w:ind w:left="460" w:right="320" w:firstLine="413"/>
        <w:spacing w:after="0" w:line="340" w:lineRule="auto"/>
        <w:rPr>
          <w:sz w:val="20"/>
          <w:szCs w:val="20"/>
          <w:color w:val="auto"/>
        </w:rPr>
      </w:pPr>
      <w:r>
        <w:rPr>
          <w:rFonts w:ascii="Arial" w:cs="Arial" w:eastAsia="Arial" w:hAnsi="Arial"/>
          <w:sz w:val="15"/>
          <w:szCs w:val="15"/>
          <w:color w:val="auto"/>
        </w:rPr>
        <w:t>The following table illustrates, for each named executive officer, the number of shares of common stock subject to the refresh RSU award, the amount of the restricted cash award, and the 2022 discretionary cash bonus amount, based on each executive’s total variable compensation target.</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(A)</w:t>
            </w:r>
          </w:p>
        </w:tc>
        <w:tc>
          <w:tcPr>
            <w:tcW w:w="360" w:type="dxa"/>
            <w:vAlign w:val="bottom"/>
            <w:vMerge w:val="restart"/>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(B)</w:t>
            </w:r>
          </w:p>
        </w:tc>
        <w:tc>
          <w:tcPr>
            <w:tcW w:w="160" w:type="dxa"/>
            <w:vAlign w:val="bottom"/>
            <w:vMerge w:val="restart"/>
          </w:tcPr>
          <w:p>
            <w:pPr>
              <w:spacing w:after="0" w:line="20" w:lineRule="exact"/>
              <w:rPr>
                <w:sz w:val="1"/>
                <w:szCs w:val="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w:t>
            </w: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(A-B-C)</w:t>
            </w:r>
          </w:p>
        </w:tc>
        <w:tc>
          <w:tcPr>
            <w:tcW w:w="36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6"/>
              </w:rPr>
              <w:t>Total Variable</w:t>
            </w:r>
          </w:p>
        </w:tc>
        <w:tc>
          <w:tcPr>
            <w:tcW w:w="78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w w:val="97"/>
              </w:rPr>
              <w:t>2022</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Refresh RSU</w:t>
            </w: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2"/>
          </w:tcPr>
          <w:p>
            <w:pPr>
              <w:jc w:val="right"/>
              <w:ind w:right="160"/>
              <w:spacing w:after="0" w:line="139" w:lineRule="exact"/>
              <w:rPr>
                <w:sz w:val="20"/>
                <w:szCs w:val="20"/>
                <w:color w:val="auto"/>
              </w:rPr>
            </w:pPr>
            <w:r>
              <w:rPr>
                <w:rFonts w:ascii="Arial" w:cs="Arial" w:eastAsia="Arial" w:hAnsi="Arial"/>
                <w:sz w:val="13"/>
                <w:szCs w:val="13"/>
                <w:b w:val="1"/>
                <w:bCs w:val="1"/>
                <w:color w:val="auto"/>
                <w:w w:val="91"/>
              </w:rPr>
              <w:t>Discretionary</w:t>
            </w:r>
          </w:p>
        </w:tc>
        <w:tc>
          <w:tcPr>
            <w:tcW w:w="1120" w:type="dxa"/>
            <w:vAlign w:val="bottom"/>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2"/>
              </w:rPr>
              <w:t>Restricted Cash</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rPr>
              <w:t>Refresh</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3"/>
                <w:szCs w:val="13"/>
                <w:b w:val="1"/>
                <w:bCs w:val="1"/>
                <w:color w:val="auto"/>
                <w:w w:val="88"/>
              </w:rPr>
              <w:t>Executive</w:t>
            </w:r>
          </w:p>
        </w:tc>
        <w:tc>
          <w:tcPr>
            <w:tcW w:w="4120" w:type="dxa"/>
            <w:vAlign w:val="bottom"/>
            <w:vMerge w:val="restart"/>
          </w:tcPr>
          <w:p>
            <w:pPr>
              <w:spacing w:after="0"/>
              <w:rPr>
                <w:sz w:val="12"/>
                <w:szCs w:val="12"/>
                <w:color w:val="auto"/>
              </w:rPr>
            </w:pPr>
          </w:p>
        </w:tc>
        <w:tc>
          <w:tcPr>
            <w:tcW w:w="118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0"/>
              </w:rPr>
              <w:t>Compensation</w:t>
            </w:r>
          </w:p>
        </w:tc>
        <w:tc>
          <w:tcPr>
            <w:tcW w:w="9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Cash Bonus</w:t>
            </w:r>
          </w:p>
        </w:tc>
        <w:tc>
          <w:tcPr>
            <w:tcW w:w="11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4"/>
              </w:rPr>
              <w:t>Award 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180" w:type="dxa"/>
            <w:vAlign w:val="bottom"/>
            <w:gridSpan w:val="2"/>
          </w:tcPr>
          <w:p>
            <w:pPr>
              <w:jc w:val="center"/>
              <w:ind w:right="360"/>
              <w:spacing w:after="0" w:line="147" w:lineRule="exact"/>
              <w:rPr>
                <w:sz w:val="20"/>
                <w:szCs w:val="20"/>
                <w:color w:val="auto"/>
              </w:rPr>
            </w:pPr>
            <w:r>
              <w:rPr>
                <w:rFonts w:ascii="Arial" w:cs="Arial" w:eastAsia="Arial" w:hAnsi="Arial"/>
                <w:sz w:val="13"/>
                <w:szCs w:val="13"/>
                <w:b w:val="1"/>
                <w:bCs w:val="1"/>
                <w:color w:val="auto"/>
                <w:w w:val="97"/>
              </w:rPr>
              <w:t>Target ($)</w:t>
            </w:r>
          </w:p>
        </w:tc>
        <w:tc>
          <w:tcPr>
            <w:tcW w:w="780" w:type="dxa"/>
            <w:vAlign w:val="bottom"/>
          </w:tcPr>
          <w:p>
            <w:pPr>
              <w:jc w:val="center"/>
              <w:spacing w:after="0" w:line="147" w:lineRule="exact"/>
              <w:rPr>
                <w:sz w:val="20"/>
                <w:szCs w:val="20"/>
                <w:color w:val="auto"/>
              </w:rPr>
            </w:pPr>
            <w:r>
              <w:rPr>
                <w:rFonts w:ascii="Arial" w:cs="Arial" w:eastAsia="Arial" w:hAnsi="Arial"/>
                <w:sz w:val="12"/>
                <w:szCs w:val="12"/>
                <w:b w:val="1"/>
                <w:bCs w:val="1"/>
                <w:color w:val="auto"/>
                <w:w w:val="98"/>
              </w:rPr>
              <w:t>($)</w:t>
            </w:r>
            <w:r>
              <w:rPr>
                <w:rFonts w:ascii="Arial" w:cs="Arial" w:eastAsia="Arial" w:hAnsi="Arial"/>
                <w:sz w:val="17"/>
                <w:szCs w:val="17"/>
                <w:b w:val="1"/>
                <w:bCs w:val="1"/>
                <w:color w:val="auto"/>
                <w:w w:val="98"/>
                <w:vertAlign w:val="superscript"/>
              </w:rPr>
              <w:t>(1)</w:t>
            </w:r>
          </w:p>
        </w:tc>
        <w:tc>
          <w:tcPr>
            <w:tcW w:w="160" w:type="dxa"/>
            <w:vAlign w:val="bottom"/>
          </w:tcPr>
          <w:p>
            <w:pPr>
              <w:spacing w:after="0"/>
              <w:rPr>
                <w:sz w:val="14"/>
                <w:szCs w:val="14"/>
                <w:color w:val="auto"/>
              </w:rPr>
            </w:pPr>
          </w:p>
        </w:tc>
        <w:tc>
          <w:tcPr>
            <w:tcW w:w="1120" w:type="dxa"/>
            <w:vAlign w:val="bottom"/>
            <w:gridSpan w:val="2"/>
          </w:tcPr>
          <w:p>
            <w:pPr>
              <w:jc w:val="center"/>
              <w:ind w:right="137"/>
              <w:spacing w:after="0" w:line="147" w:lineRule="exact"/>
              <w:rPr>
                <w:sz w:val="20"/>
                <w:szCs w:val="20"/>
                <w:color w:val="auto"/>
              </w:rPr>
            </w:pPr>
            <w:r>
              <w:rPr>
                <w:rFonts w:ascii="Arial" w:cs="Arial" w:eastAsia="Arial" w:hAnsi="Arial"/>
                <w:sz w:val="13"/>
                <w:szCs w:val="13"/>
                <w:b w:val="1"/>
                <w:bCs w:val="1"/>
                <w:color w:val="auto"/>
                <w:w w:val="94"/>
              </w:rPr>
              <w:t>Award ($)</w:t>
            </w:r>
          </w:p>
        </w:tc>
        <w:tc>
          <w:tcPr>
            <w:tcW w:w="20" w:type="dxa"/>
            <w:vAlign w:val="bottom"/>
            <w:tcBorders>
              <w:bottom w:val="single" w:sz="8" w:color="auto"/>
            </w:tcBorders>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2"/>
                <w:szCs w:val="12"/>
                <w:b w:val="1"/>
                <w:bCs w:val="1"/>
                <w:color w:val="auto"/>
                <w:w w:val="98"/>
              </w:rPr>
              <w:t>($)</w:t>
            </w:r>
            <w:r>
              <w:rPr>
                <w:rFonts w:ascii="Arial" w:cs="Arial" w:eastAsia="Arial" w:hAnsi="Arial"/>
                <w:sz w:val="17"/>
                <w:szCs w:val="17"/>
                <w:b w:val="1"/>
                <w:bCs w:val="1"/>
                <w:color w:val="auto"/>
                <w:w w:val="98"/>
                <w:vertAlign w:val="superscript"/>
              </w:rPr>
              <w:t>(2)</w:t>
            </w:r>
          </w:p>
        </w:tc>
        <w:tc>
          <w:tcPr>
            <w:tcW w:w="360" w:type="dxa"/>
            <w:vAlign w:val="bottom"/>
          </w:tcPr>
          <w:p>
            <w:pPr>
              <w:spacing w:after="0"/>
              <w:rPr>
                <w:sz w:val="14"/>
                <w:szCs w:val="14"/>
                <w:color w:val="auto"/>
              </w:rPr>
            </w:pPr>
          </w:p>
        </w:tc>
        <w:tc>
          <w:tcPr>
            <w:tcW w:w="840" w:type="dxa"/>
            <w:vAlign w:val="bottom"/>
            <w:gridSpan w:val="2"/>
          </w:tcPr>
          <w:p>
            <w:pPr>
              <w:jc w:val="right"/>
              <w:ind w:right="157"/>
              <w:spacing w:after="0" w:line="147" w:lineRule="exact"/>
              <w:rPr>
                <w:sz w:val="20"/>
                <w:szCs w:val="20"/>
                <w:color w:val="auto"/>
              </w:rPr>
            </w:pPr>
            <w:r>
              <w:rPr>
                <w:rFonts w:ascii="Arial" w:cs="Arial" w:eastAsia="Arial" w:hAnsi="Arial"/>
                <w:sz w:val="13"/>
                <w:szCs w:val="13"/>
                <w:b w:val="1"/>
                <w:bCs w:val="1"/>
                <w:color w:val="auto"/>
                <w:w w:val="90"/>
              </w:rPr>
              <w:t>RSUs (#)</w:t>
            </w:r>
            <w:r>
              <w:rPr>
                <w:rFonts w:ascii="Arial" w:cs="Arial" w:eastAsia="Arial" w:hAnsi="Arial"/>
                <w:sz w:val="10"/>
                <w:szCs w:val="10"/>
                <w:b w:val="1"/>
                <w:bCs w:val="1"/>
                <w:color w:val="auto"/>
                <w:w w:val="90"/>
              </w:rPr>
              <w:t>(3)</w:t>
            </w:r>
          </w:p>
        </w:tc>
        <w:tc>
          <w:tcPr>
            <w:tcW w:w="0" w:type="dxa"/>
            <w:vAlign w:val="bottom"/>
          </w:tcPr>
          <w:p>
            <w:pPr>
              <w:spacing w:after="0"/>
              <w:rPr>
                <w:sz w:val="1"/>
                <w:szCs w:val="1"/>
                <w:color w:val="auto"/>
              </w:rPr>
            </w:pPr>
          </w:p>
        </w:tc>
      </w:tr>
      <w:tr>
        <w:trPr>
          <w:trHeight w:val="188"/>
        </w:trPr>
        <w:tc>
          <w:tcPr>
            <w:tcW w:w="46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Fidji Simo</w:t>
            </w: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93"/>
              </w:rPr>
              <w:t>15,000,000</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750,000</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3,562,500</w:t>
            </w:r>
          </w:p>
        </w:tc>
        <w:tc>
          <w:tcPr>
            <w:tcW w:w="20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5"/>
              </w:rPr>
              <w:t>(4)</w:t>
            </w:r>
          </w:p>
        </w:tc>
        <w:tc>
          <w:tcPr>
            <w:tcW w:w="20" w:type="dxa"/>
            <w:vAlign w:val="bottom"/>
            <w:tcBorders>
              <w:top w:val="single" w:sz="8" w:color="auto"/>
            </w:tcBorders>
            <w:shd w:val="clear" w:color="auto" w:fill="000000"/>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93"/>
              </w:rPr>
              <w:t>10,687,500</w:t>
            </w:r>
          </w:p>
        </w:tc>
        <w:tc>
          <w:tcPr>
            <w:tcW w:w="3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97"/>
              </w:rPr>
              <w:t>300,379</w:t>
            </w:r>
          </w:p>
        </w:tc>
        <w:tc>
          <w:tcPr>
            <w:tcW w:w="22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rPr>
                <w:sz w:val="20"/>
                <w:szCs w:val="20"/>
                <w:color w:val="auto"/>
              </w:rPr>
            </w:pPr>
            <w:r>
              <w:rPr>
                <w:rFonts w:ascii="Arial" w:cs="Arial" w:eastAsia="Arial" w:hAnsi="Arial"/>
                <w:sz w:val="17"/>
                <w:szCs w:val="17"/>
                <w:color w:val="auto"/>
              </w:rPr>
              <w:t>Nick Giovanni</w:t>
            </w:r>
          </w:p>
        </w:tc>
        <w:tc>
          <w:tcPr>
            <w:tcW w:w="1180" w:type="dxa"/>
            <w:vAlign w:val="bottom"/>
            <w:gridSpan w:val="2"/>
          </w:tcPr>
          <w:p>
            <w:pPr>
              <w:jc w:val="right"/>
              <w:ind w:right="360"/>
              <w:spacing w:after="0"/>
              <w:rPr>
                <w:sz w:val="20"/>
                <w:szCs w:val="20"/>
                <w:color w:val="auto"/>
              </w:rPr>
            </w:pPr>
            <w:r>
              <w:rPr>
                <w:rFonts w:ascii="Arial" w:cs="Arial" w:eastAsia="Arial" w:hAnsi="Arial"/>
                <w:sz w:val="17"/>
                <w:szCs w:val="17"/>
                <w:color w:val="auto"/>
                <w:w w:val="93"/>
              </w:rPr>
              <w:t>10,000,000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750,000</w:t>
            </w:r>
          </w:p>
        </w:tc>
        <w:tc>
          <w:tcPr>
            <w:tcW w:w="112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2,312,500</w:t>
            </w:r>
            <w:r>
              <w:rPr>
                <w:rFonts w:ascii="Arial" w:cs="Arial" w:eastAsia="Arial" w:hAnsi="Arial"/>
                <w:sz w:val="23"/>
                <w:szCs w:val="23"/>
                <w:color w:val="auto"/>
                <w:vertAlign w:val="superscript"/>
              </w:rPr>
              <w:t>(6)</w:t>
            </w: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6,937,500</w:t>
            </w:r>
          </w:p>
        </w:tc>
        <w:tc>
          <w:tcPr>
            <w:tcW w:w="3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6"/>
                <w:szCs w:val="16"/>
                <w:color w:val="auto"/>
                <w:w w:val="99"/>
              </w:rPr>
              <w:t>194,983</w:t>
            </w:r>
            <w:r>
              <w:rPr>
                <w:rFonts w:ascii="Arial" w:cs="Arial" w:eastAsia="Arial" w:hAnsi="Arial"/>
                <w:sz w:val="23"/>
                <w:szCs w:val="23"/>
                <w:color w:val="auto"/>
                <w:w w:val="99"/>
                <w:vertAlign w:val="superscript"/>
              </w:rPr>
              <w:t>(7)</w:t>
            </w:r>
          </w:p>
        </w:tc>
        <w:tc>
          <w:tcPr>
            <w:tcW w:w="0" w:type="dxa"/>
            <w:vAlign w:val="bottom"/>
          </w:tcPr>
          <w:p>
            <w:pPr>
              <w:spacing w:after="0"/>
              <w:rPr>
                <w:sz w:val="1"/>
                <w:szCs w:val="1"/>
                <w:color w:val="auto"/>
              </w:rPr>
            </w:pPr>
          </w:p>
        </w:tc>
      </w:tr>
      <w:tr>
        <w:trPr>
          <w:trHeight w:val="203"/>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Asha Sharma</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3"/>
              </w:rPr>
              <w:t>13,650,000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750,000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3,225,000</w:t>
            </w:r>
            <w:r>
              <w:rPr>
                <w:rFonts w:ascii="Arial" w:cs="Arial" w:eastAsia="Arial" w:hAnsi="Arial"/>
                <w:sz w:val="23"/>
                <w:szCs w:val="23"/>
                <w:color w:val="auto"/>
                <w:vertAlign w:val="superscript"/>
              </w:rPr>
              <w:t>(6)</w:t>
            </w:r>
          </w:p>
        </w:tc>
        <w:tc>
          <w:tcPr>
            <w:tcW w:w="20" w:type="dxa"/>
            <w:vAlign w:val="bottom"/>
            <w:shd w:val="clear" w:color="auto" w:fill="000000"/>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9,675,000</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w w:val="99"/>
              </w:rPr>
              <w:t>271,922</w:t>
            </w:r>
            <w:r>
              <w:rPr>
                <w:rFonts w:ascii="Arial" w:cs="Arial" w:eastAsia="Arial" w:hAnsi="Arial"/>
                <w:sz w:val="23"/>
                <w:szCs w:val="23"/>
                <w:color w:val="auto"/>
                <w:w w:val="99"/>
                <w:vertAlign w:val="superscript"/>
              </w:rPr>
              <w:t>(7)</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rPr>
                <w:sz w:val="20"/>
                <w:szCs w:val="20"/>
                <w:color w:val="auto"/>
              </w:rPr>
            </w:pPr>
            <w:r>
              <w:rPr>
                <w:rFonts w:ascii="Arial" w:cs="Arial" w:eastAsia="Arial" w:hAnsi="Arial"/>
                <w:sz w:val="17"/>
                <w:szCs w:val="17"/>
                <w:color w:val="auto"/>
              </w:rPr>
              <w:t>Morgan Fong</w:t>
            </w:r>
          </w:p>
        </w:tc>
        <w:tc>
          <w:tcPr>
            <w:tcW w:w="1180" w:type="dxa"/>
            <w:vAlign w:val="bottom"/>
            <w:gridSpan w:val="2"/>
          </w:tcPr>
          <w:p>
            <w:pPr>
              <w:jc w:val="right"/>
              <w:ind w:right="360"/>
              <w:spacing w:after="0"/>
              <w:rPr>
                <w:sz w:val="20"/>
                <w:szCs w:val="20"/>
                <w:color w:val="auto"/>
              </w:rPr>
            </w:pPr>
            <w:r>
              <w:rPr>
                <w:rFonts w:ascii="Arial" w:cs="Arial" w:eastAsia="Arial" w:hAnsi="Arial"/>
                <w:sz w:val="17"/>
                <w:szCs w:val="17"/>
                <w:color w:val="auto"/>
              </w:rPr>
              <w:t>5,900,000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900,000</w:t>
            </w:r>
          </w:p>
        </w:tc>
        <w:tc>
          <w:tcPr>
            <w:tcW w:w="112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1,250,000</w:t>
            </w:r>
            <w:r>
              <w:rPr>
                <w:rFonts w:ascii="Arial" w:cs="Arial" w:eastAsia="Arial" w:hAnsi="Arial"/>
                <w:sz w:val="23"/>
                <w:szCs w:val="23"/>
                <w:color w:val="auto"/>
                <w:vertAlign w:val="superscript"/>
              </w:rPr>
              <w:t>(6)</w:t>
            </w: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3,750,000</w:t>
            </w:r>
          </w:p>
        </w:tc>
        <w:tc>
          <w:tcPr>
            <w:tcW w:w="3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6"/>
                <w:szCs w:val="16"/>
                <w:color w:val="auto"/>
                <w:w w:val="99"/>
              </w:rPr>
              <w:t>105,396</w:t>
            </w:r>
            <w:r>
              <w:rPr>
                <w:rFonts w:ascii="Arial" w:cs="Arial" w:eastAsia="Arial" w:hAnsi="Arial"/>
                <w:sz w:val="23"/>
                <w:szCs w:val="23"/>
                <w:color w:val="auto"/>
                <w:w w:val="99"/>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right="120" w:hanging="403"/>
        <w:spacing w:after="0" w:line="249" w:lineRule="auto"/>
        <w:tabs>
          <w:tab w:leader="none" w:pos="86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Reflects the amount of each named executive officer’s discretionary cash bonus for fiscal year 2022, as approved by our compensation committee in October 2022 (and in the case of Ms. Simo, in December 2022) and further described under “—2022 Executive Compensation Program—Short-Term Incentive Compensation.” While these bonuses are part of each named executive officer’s compensation for 2022, they were considered a part of each executive’s total variable compensation target approved in April 2023.</w:t>
      </w:r>
    </w:p>
    <w:p>
      <w:pPr>
        <w:ind w:left="860" w:hanging="403"/>
        <w:spacing w:after="0"/>
        <w:tabs>
          <w:tab w:leader="none" w:pos="86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Each named executive officer’s refresh RSU award value is equal to the total variable compensation target, less the 2022 discretionary cash bonus, less the restricted cash award.</w:t>
      </w:r>
    </w:p>
    <w:p>
      <w:pPr>
        <w:spacing w:after="0" w:line="1" w:lineRule="exact"/>
        <w:rPr>
          <w:rFonts w:ascii="Arial" w:cs="Arial" w:eastAsia="Arial" w:hAnsi="Arial"/>
          <w:sz w:val="12"/>
          <w:szCs w:val="12"/>
          <w:color w:val="auto"/>
        </w:rPr>
      </w:pPr>
    </w:p>
    <w:p>
      <w:pPr>
        <w:ind w:left="860" w:right="80" w:hanging="403"/>
        <w:spacing w:after="0" w:line="223" w:lineRule="auto"/>
        <w:tabs>
          <w:tab w:leader="none" w:pos="8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Calculated based on the fair value of our common stock of $35.58 per share as of February 28, 2023, as determined by our board of directors, which is the most recent date on or prior to the grant date of such refresh RSU awards on which our board of directors determined a fair value of our common stock.</w:t>
      </w:r>
    </w:p>
    <w:p>
      <w:pPr>
        <w:ind w:left="860" w:right="340" w:hanging="403"/>
        <w:spacing w:after="0" w:line="223" w:lineRule="auto"/>
        <w:tabs>
          <w:tab w:leader="none" w:pos="8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50% of this restricted cash award will vest and be paid on August 15, 2023, and the remaining 50% will vest and be paid on November 15, 2023, subject to Ms. Simo’s continued service with us through each such date.</w:t>
      </w:r>
    </w:p>
    <w:p>
      <w:pPr>
        <w:ind w:left="860" w:right="80" w:hanging="403"/>
        <w:spacing w:after="0" w:line="223" w:lineRule="auto"/>
        <w:tabs>
          <w:tab w:leader="none" w:pos="8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Pursuant to Ms. Simo’s offer letter agreement, the refresh RSU award vests over a period of one year, with 25% of the award vesting on each of August 15, 2023, November 15, 2023, February 15, 2024, and May 15, 2024, subject to Ms. Simo’s continued service with us through each such date.</w:t>
      </w:r>
    </w:p>
    <w:p>
      <w:pPr>
        <w:ind w:left="860" w:right="120" w:hanging="403"/>
        <w:spacing w:after="0" w:line="223" w:lineRule="auto"/>
        <w:tabs>
          <w:tab w:leader="none" w:pos="8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The restricted cash award will vest and be paid in four equal quarterly installments beginning on August 15, 2023, subject to the executive officer’s continued service with us through each such date.</w:t>
      </w:r>
    </w:p>
    <w:p>
      <w:pPr>
        <w:ind w:left="860" w:right="40" w:hanging="403"/>
        <w:spacing w:after="0"/>
        <w:tabs>
          <w:tab w:leader="none" w:pos="8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The refresh RSU award vests in equal installments over a period of two years with 1/8 of the shares subject to the award vesting quarterly beginning on August 15, 2023, subject to the executive officer’s continued service with us through each such date.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257</w:t>
      </w:r>
    </w:p>
    <w:p>
      <w:pPr>
        <w:sectPr>
          <w:pgSz w:w="11900" w:h="16838" w:orient="portrait"/>
          <w:cols w:equalWidth="0" w:num="1">
            <w:col w:w="10800"/>
          </w:cols>
          <w:pgMar w:left="320" w:top="440" w:right="779" w:bottom="1440" w:gutter="0" w:footer="0" w:header="0"/>
        </w:sectPr>
      </w:pPr>
    </w:p>
    <w:bookmarkStart w:id="267" w:name="page268"/>
    <w:bookmarkEnd w:id="2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Summary Compensation Table</w:t>
      </w:r>
    </w:p>
    <w:p>
      <w:pPr>
        <w:spacing w:after="0" w:line="214" w:lineRule="exact"/>
        <w:rPr>
          <w:sz w:val="20"/>
          <w:szCs w:val="20"/>
          <w:color w:val="auto"/>
        </w:rPr>
      </w:pPr>
    </w:p>
    <w:p>
      <w:pPr>
        <w:ind w:left="460" w:right="780" w:firstLine="413"/>
        <w:spacing w:after="0" w:line="272" w:lineRule="auto"/>
        <w:rPr>
          <w:sz w:val="20"/>
          <w:szCs w:val="20"/>
          <w:color w:val="auto"/>
        </w:rPr>
      </w:pPr>
      <w:r>
        <w:rPr>
          <w:rFonts w:ascii="Arial" w:cs="Arial" w:eastAsia="Arial" w:hAnsi="Arial"/>
          <w:sz w:val="17"/>
          <w:szCs w:val="17"/>
          <w:color w:val="auto"/>
        </w:rPr>
        <w:t>The following table presents all of the compensation awarded to or earned by our named executive officers during the fiscal year ended December 31, 2022.</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All Other</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360" w:type="dxa"/>
            <w:vAlign w:val="bottom"/>
            <w:gridSpan w:val="2"/>
            <w:vMerge w:val="continue"/>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Salary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rPr>
              <w:t>Bonus ($)</w:t>
            </w: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3"/>
              </w:rPr>
              <w:t xml:space="preserve">Stock Awards </w:t>
            </w:r>
            <w:r>
              <w:rPr>
                <w:rFonts w:ascii="Arial" w:cs="Arial" w:eastAsia="Arial" w:hAnsi="Arial"/>
                <w:sz w:val="13"/>
                <w:szCs w:val="13"/>
                <w:b w:val="1"/>
                <w:bCs w:val="1"/>
                <w:u w:val="single" w:color="auto"/>
                <w:color w:val="auto"/>
                <w:w w:val="93"/>
              </w:rPr>
              <w:t>($</w:t>
            </w:r>
            <w:r>
              <w:rPr>
                <w:rFonts w:ascii="Arial" w:cs="Arial" w:eastAsia="Arial" w:hAnsi="Arial"/>
                <w:sz w:val="13"/>
                <w:szCs w:val="13"/>
                <w:b w:val="1"/>
                <w:bCs w:val="1"/>
                <w:color w:val="auto"/>
                <w:w w:val="93"/>
              </w:rPr>
              <w:t>)</w:t>
            </w:r>
            <w:r>
              <w:rPr>
                <w:rFonts w:ascii="Arial" w:cs="Arial" w:eastAsia="Arial" w:hAnsi="Arial"/>
                <w:sz w:val="10"/>
                <w:szCs w:val="10"/>
                <w:b w:val="1"/>
                <w:bCs w:val="1"/>
                <w:color w:val="auto"/>
                <w:w w:val="93"/>
              </w:rPr>
              <w:t>(1)</w:t>
            </w:r>
          </w:p>
        </w:tc>
        <w:tc>
          <w:tcPr>
            <w:tcW w:w="122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92"/>
              </w:rPr>
              <w:t>Compensation</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2"/>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c>
          <w:tcPr>
            <w:tcW w:w="3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6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color w:val="auto"/>
              </w:rPr>
              <w:t>Fidji Simo</w:t>
            </w: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Executive Officer</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500,000</w:t>
            </w:r>
          </w:p>
        </w:tc>
        <w:tc>
          <w:tcPr>
            <w:tcW w:w="112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w w:val="94"/>
              </w:rPr>
              <w:t>1,000,000</w:t>
            </w:r>
            <w:r>
              <w:rPr>
                <w:rFonts w:ascii="Arial" w:cs="Arial" w:eastAsia="Arial" w:hAnsi="Arial"/>
                <w:sz w:val="24"/>
                <w:szCs w:val="24"/>
                <w:color w:val="auto"/>
                <w:w w:val="94"/>
                <w:vertAlign w:val="superscript"/>
              </w:rPr>
              <w:t>(2)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rPr>
              <w:t>12,565</w:t>
            </w:r>
            <w:r>
              <w:rPr>
                <w:rFonts w:ascii="Arial" w:cs="Arial" w:eastAsia="Arial" w:hAnsi="Arial"/>
                <w:sz w:val="24"/>
                <w:szCs w:val="24"/>
                <w:color w:val="auto"/>
                <w:vertAlign w:val="superscript"/>
              </w:rPr>
              <w:t>(3)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1,512,565</w:t>
            </w:r>
          </w:p>
        </w:tc>
        <w:tc>
          <w:tcPr>
            <w:tcW w:w="0" w:type="dxa"/>
            <w:vAlign w:val="bottom"/>
          </w:tcPr>
          <w:p>
            <w:pPr>
              <w:spacing w:after="0"/>
              <w:rPr>
                <w:sz w:val="1"/>
                <w:szCs w:val="1"/>
                <w:color w:val="auto"/>
              </w:rPr>
            </w:pPr>
          </w:p>
        </w:tc>
      </w:tr>
      <w:tr>
        <w:trPr>
          <w:trHeight w:val="190"/>
        </w:trPr>
        <w:tc>
          <w:tcPr>
            <w:tcW w:w="4360" w:type="dxa"/>
            <w:vAlign w:val="bottom"/>
            <w:gridSpan w:val="2"/>
          </w:tcPr>
          <w:p>
            <w:pPr>
              <w:spacing w:after="0" w:line="190" w:lineRule="exact"/>
              <w:rPr>
                <w:sz w:val="20"/>
                <w:szCs w:val="20"/>
                <w:color w:val="auto"/>
              </w:rPr>
            </w:pPr>
            <w:r>
              <w:rPr>
                <w:rFonts w:ascii="Arial" w:cs="Arial" w:eastAsia="Arial" w:hAnsi="Arial"/>
                <w:sz w:val="17"/>
                <w:szCs w:val="17"/>
                <w:color w:val="auto"/>
              </w:rPr>
              <w:t>Nick Giovanni</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Financial Officer</w:t>
            </w:r>
          </w:p>
        </w:tc>
        <w:tc>
          <w:tcPr>
            <w:tcW w:w="620" w:type="dxa"/>
            <w:vAlign w:val="bottom"/>
            <w:gridSpan w:val="2"/>
          </w:tcPr>
          <w:p>
            <w:pPr>
              <w:ind w:left="40"/>
              <w:spacing w:after="0"/>
              <w:rPr>
                <w:sz w:val="20"/>
                <w:szCs w:val="20"/>
                <w:color w:val="auto"/>
              </w:rPr>
            </w:pPr>
            <w:r>
              <w:rPr>
                <w:rFonts w:ascii="Arial" w:cs="Arial" w:eastAsia="Arial" w:hAnsi="Arial"/>
                <w:sz w:val="17"/>
                <w:szCs w:val="17"/>
                <w:color w:val="auto"/>
              </w:rPr>
              <w:t>2022</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500,000</w:t>
            </w:r>
          </w:p>
        </w:tc>
        <w:tc>
          <w:tcPr>
            <w:tcW w:w="1120" w:type="dxa"/>
            <w:vAlign w:val="bottom"/>
            <w:gridSpan w:val="2"/>
          </w:tcPr>
          <w:p>
            <w:pPr>
              <w:jc w:val="right"/>
              <w:ind w:right="240"/>
              <w:spacing w:after="0" w:line="216" w:lineRule="exact"/>
              <w:rPr>
                <w:sz w:val="20"/>
                <w:szCs w:val="20"/>
                <w:color w:val="auto"/>
              </w:rPr>
            </w:pPr>
            <w:r>
              <w:rPr>
                <w:rFonts w:ascii="Arial" w:cs="Arial" w:eastAsia="Arial" w:hAnsi="Arial"/>
                <w:sz w:val="16"/>
                <w:szCs w:val="16"/>
                <w:color w:val="auto"/>
              </w:rPr>
              <w:t>300,000</w:t>
            </w:r>
            <w:r>
              <w:rPr>
                <w:rFonts w:ascii="Arial" w:cs="Arial" w:eastAsia="Arial" w:hAnsi="Arial"/>
                <w:sz w:val="24"/>
                <w:szCs w:val="24"/>
                <w:color w:val="auto"/>
                <w:vertAlign w:val="superscript"/>
              </w:rPr>
              <w:t>(4)</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line="216" w:lineRule="exact"/>
              <w:rPr>
                <w:sz w:val="20"/>
                <w:szCs w:val="20"/>
                <w:color w:val="auto"/>
              </w:rPr>
            </w:pPr>
            <w:r>
              <w:rPr>
                <w:rFonts w:ascii="Arial" w:cs="Arial" w:eastAsia="Arial" w:hAnsi="Arial"/>
                <w:sz w:val="16"/>
                <w:szCs w:val="16"/>
                <w:color w:val="auto"/>
              </w:rPr>
              <w:t>12,565</w:t>
            </w:r>
            <w:r>
              <w:rPr>
                <w:rFonts w:ascii="Arial" w:cs="Arial" w:eastAsia="Arial" w:hAnsi="Arial"/>
                <w:sz w:val="24"/>
                <w:szCs w:val="24"/>
                <w:color w:val="auto"/>
                <w:vertAlign w:val="superscript"/>
              </w:rPr>
              <w:t>(3)</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812,565</w:t>
            </w:r>
          </w:p>
        </w:tc>
        <w:tc>
          <w:tcPr>
            <w:tcW w:w="0" w:type="dxa"/>
            <w:vAlign w:val="bottom"/>
          </w:tcPr>
          <w:p>
            <w:pPr>
              <w:spacing w:after="0"/>
              <w:rPr>
                <w:sz w:val="1"/>
                <w:szCs w:val="1"/>
                <w:color w:val="auto"/>
              </w:rPr>
            </w:pPr>
          </w:p>
        </w:tc>
      </w:tr>
      <w:tr>
        <w:trPr>
          <w:trHeight w:val="190"/>
        </w:trPr>
        <w:tc>
          <w:tcPr>
            <w:tcW w:w="436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Asha Sharma</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Operating Officer</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500,000</w:t>
            </w:r>
          </w:p>
        </w:tc>
        <w:tc>
          <w:tcPr>
            <w:tcW w:w="112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rPr>
              <w:t>300,000</w:t>
            </w:r>
            <w:r>
              <w:rPr>
                <w:rFonts w:ascii="Arial" w:cs="Arial" w:eastAsia="Arial" w:hAnsi="Arial"/>
                <w:sz w:val="24"/>
                <w:szCs w:val="24"/>
                <w:color w:val="auto"/>
                <w:vertAlign w:val="superscript"/>
              </w:rPr>
              <w:t>(4)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rPr>
              <w:t>12,565</w:t>
            </w:r>
            <w:r>
              <w:rPr>
                <w:rFonts w:ascii="Arial" w:cs="Arial" w:eastAsia="Arial" w:hAnsi="Arial"/>
                <w:sz w:val="24"/>
                <w:szCs w:val="24"/>
                <w:color w:val="auto"/>
                <w:vertAlign w:val="superscript"/>
              </w:rPr>
              <w:t>(3)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812,565</w:t>
            </w:r>
          </w:p>
        </w:tc>
        <w:tc>
          <w:tcPr>
            <w:tcW w:w="0" w:type="dxa"/>
            <w:vAlign w:val="bottom"/>
          </w:tcPr>
          <w:p>
            <w:pPr>
              <w:spacing w:after="0"/>
              <w:rPr>
                <w:sz w:val="1"/>
                <w:szCs w:val="1"/>
                <w:color w:val="auto"/>
              </w:rPr>
            </w:pPr>
          </w:p>
        </w:tc>
      </w:tr>
      <w:tr>
        <w:trPr>
          <w:trHeight w:val="190"/>
        </w:trPr>
        <w:tc>
          <w:tcPr>
            <w:tcW w:w="4360" w:type="dxa"/>
            <w:vAlign w:val="bottom"/>
            <w:gridSpan w:val="2"/>
          </w:tcPr>
          <w:p>
            <w:pPr>
              <w:spacing w:after="0" w:line="190" w:lineRule="exact"/>
              <w:rPr>
                <w:sz w:val="20"/>
                <w:szCs w:val="20"/>
                <w:color w:val="auto"/>
              </w:rPr>
            </w:pPr>
            <w:r>
              <w:rPr>
                <w:rFonts w:ascii="Arial" w:cs="Arial" w:eastAsia="Arial" w:hAnsi="Arial"/>
                <w:sz w:val="17"/>
                <w:szCs w:val="17"/>
                <w:color w:val="auto"/>
              </w:rPr>
              <w:t>Morgan Fong</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gridSpan w:val="2"/>
          </w:tcPr>
          <w:p>
            <w:pPr>
              <w:ind w:left="160"/>
              <w:spacing w:after="0"/>
              <w:rPr>
                <w:sz w:val="20"/>
                <w:szCs w:val="20"/>
                <w:color w:val="auto"/>
              </w:rPr>
            </w:pPr>
            <w:r>
              <w:rPr>
                <w:rFonts w:ascii="Arial" w:cs="Arial" w:eastAsia="Arial" w:hAnsi="Arial"/>
                <w:sz w:val="17"/>
                <w:szCs w:val="17"/>
                <w:i w:val="1"/>
                <w:iCs w:val="1"/>
                <w:color w:val="auto"/>
              </w:rPr>
              <w:t>General Counsel</w:t>
            </w:r>
          </w:p>
        </w:tc>
        <w:tc>
          <w:tcPr>
            <w:tcW w:w="620" w:type="dxa"/>
            <w:vAlign w:val="bottom"/>
            <w:gridSpan w:val="2"/>
          </w:tcPr>
          <w:p>
            <w:pPr>
              <w:ind w:left="40"/>
              <w:spacing w:after="0"/>
              <w:rPr>
                <w:sz w:val="20"/>
                <w:szCs w:val="20"/>
                <w:color w:val="auto"/>
              </w:rPr>
            </w:pPr>
            <w:r>
              <w:rPr>
                <w:rFonts w:ascii="Arial" w:cs="Arial" w:eastAsia="Arial" w:hAnsi="Arial"/>
                <w:sz w:val="17"/>
                <w:szCs w:val="17"/>
                <w:color w:val="auto"/>
              </w:rPr>
              <w:t>2022</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500,000</w:t>
            </w:r>
          </w:p>
        </w:tc>
        <w:tc>
          <w:tcPr>
            <w:tcW w:w="1120" w:type="dxa"/>
            <w:vAlign w:val="bottom"/>
            <w:gridSpan w:val="2"/>
          </w:tcPr>
          <w:p>
            <w:pPr>
              <w:jc w:val="right"/>
              <w:ind w:right="240"/>
              <w:spacing w:after="0" w:line="216" w:lineRule="exact"/>
              <w:rPr>
                <w:sz w:val="20"/>
                <w:szCs w:val="20"/>
                <w:color w:val="auto"/>
              </w:rPr>
            </w:pPr>
            <w:r>
              <w:rPr>
                <w:rFonts w:ascii="Arial" w:cs="Arial" w:eastAsia="Arial" w:hAnsi="Arial"/>
                <w:sz w:val="16"/>
                <w:szCs w:val="16"/>
                <w:color w:val="auto"/>
              </w:rPr>
              <w:t>360,000</w:t>
            </w:r>
            <w:r>
              <w:rPr>
                <w:rFonts w:ascii="Arial" w:cs="Arial" w:eastAsia="Arial" w:hAnsi="Arial"/>
                <w:sz w:val="24"/>
                <w:szCs w:val="24"/>
                <w:color w:val="auto"/>
                <w:vertAlign w:val="superscript"/>
              </w:rPr>
              <w:t>(4)</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line="216" w:lineRule="exact"/>
              <w:rPr>
                <w:sz w:val="20"/>
                <w:szCs w:val="20"/>
                <w:color w:val="auto"/>
              </w:rPr>
            </w:pPr>
            <w:r>
              <w:rPr>
                <w:rFonts w:ascii="Arial" w:cs="Arial" w:eastAsia="Arial" w:hAnsi="Arial"/>
                <w:sz w:val="16"/>
                <w:szCs w:val="16"/>
                <w:color w:val="auto"/>
              </w:rPr>
              <w:t>12,565</w:t>
            </w:r>
            <w:r>
              <w:rPr>
                <w:rFonts w:ascii="Arial" w:cs="Arial" w:eastAsia="Arial" w:hAnsi="Arial"/>
                <w:sz w:val="24"/>
                <w:szCs w:val="24"/>
                <w:color w:val="auto"/>
                <w:vertAlign w:val="superscript"/>
              </w:rPr>
              <w:t>(3)</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872,565</w:t>
            </w:r>
          </w:p>
        </w:tc>
        <w:tc>
          <w:tcPr>
            <w:tcW w:w="0" w:type="dxa"/>
            <w:vAlign w:val="bottom"/>
          </w:tcPr>
          <w:p>
            <w:pPr>
              <w:spacing w:after="0"/>
              <w:rPr>
                <w:sz w:val="1"/>
                <w:szCs w:val="1"/>
                <w:color w:val="auto"/>
              </w:rPr>
            </w:pPr>
          </w:p>
        </w:tc>
      </w:tr>
      <w:tr>
        <w:trPr>
          <w:trHeight w:val="190"/>
        </w:trPr>
        <w:tc>
          <w:tcPr>
            <w:tcW w:w="436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Mark Schaaf</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i w:val="1"/>
                <w:iCs w:val="1"/>
                <w:color w:val="auto"/>
              </w:rPr>
              <w:t>Former Chief Technology Officer</w:t>
            </w:r>
            <w:r>
              <w:rPr>
                <w:rFonts w:ascii="Arial" w:cs="Arial" w:eastAsia="Arial" w:hAnsi="Arial"/>
                <w:sz w:val="24"/>
                <w:szCs w:val="24"/>
                <w:color w:val="auto"/>
                <w:vertAlign w:val="superscript"/>
              </w:rPr>
              <w:t>(5)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361,538</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rPr>
              <w:t>512,416</w:t>
            </w:r>
            <w:r>
              <w:rPr>
                <w:rFonts w:ascii="Arial" w:cs="Arial" w:eastAsia="Arial" w:hAnsi="Arial"/>
                <w:sz w:val="24"/>
                <w:szCs w:val="24"/>
                <w:color w:val="auto"/>
                <w:vertAlign w:val="superscript"/>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873,954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right="40" w:hanging="403"/>
        <w:spacing w:after="0" w:line="244" w:lineRule="auto"/>
        <w:tabs>
          <w:tab w:leader="none" w:pos="86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During 2022, (a) each named executive officer was granted an RSU award subject to a liquidity event-based vesting condition (which constitutes the performance condition) and service-based vesting conditions, and (b) each of Ms. Simo, Mr. Giovanni, and Ms. Sharma was granted a PSU award subject to a liquidity event-based vesting condition (which constitutes the performance condition) as well as service-based and market-based vesting conditions. As of the applicable grant date and December 31, 2022, we had not recognized stock-based compensation expense for these awards because achievement of the liquidity event-based vesting condition, as the performance condition, was not deemed probable as of any such date. As a result, no value is included in the table for these awards. Assuming achievement of the liquidity event-based vesting condition, the aggregate grant-date fair values of the RSU awards for each of Ms. Simo, Mr. Giovanni, Ms. Sharma, Mr. Fong, and Mr. Schaaf were $11,808,041, $7,183,233, $8,856,046, $4,250,871, and $4,723,217, respectively, computed in accordance with ASC Topic 718 and representing the highest level of performance condition achievement for these awards. Assuming achievement of the liquidity event based vesting condition, the aggregate grant-date fair values for the PSU awards for each of Ms. Simo, Mr. Giovanni, and Ms. Sharma were $25,633,200, $12,816,600, and $15,379,920, respectively, computed in accordance with ASC Topic 718 and representing the highest level of performance condition achievement for these awards. See Notes 2 and 12 to our consolidated financial statements included elsewhere in this prospectus for the assumptions used in calculating these values. The amounts disclosed reflect the accounting cost for these equity awards and do not reflect the actual economic value that may be realized by any of our named executive officers. See the section titled “—Outstanding Equity Awards at Fiscal Year-End” for additional information.</w:t>
      </w:r>
    </w:p>
    <w:p>
      <w:pPr>
        <w:ind w:left="860" w:right="80" w:hanging="403"/>
        <w:spacing w:after="0" w:line="223" w:lineRule="auto"/>
        <w:tabs>
          <w:tab w:leader="none" w:pos="86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amount disclosed consists of (a) a cash award of $700,000 representing the second of three equal installments of Ms. Simo’s cash retention award granted to her pursuant to her offer letter and (b) an amount equal to $300,000 representing the initial portion of a discretionary cash bonus, as further described under “—2022 Executive Compensation Program— Short-Term Incentive Compensation.”</w:t>
      </w:r>
    </w:p>
    <w:p>
      <w:pPr>
        <w:spacing w:after="0" w:line="1" w:lineRule="exact"/>
        <w:rPr>
          <w:rFonts w:ascii="Arial" w:cs="Arial" w:eastAsia="Arial" w:hAnsi="Arial"/>
          <w:sz w:val="13"/>
          <w:szCs w:val="13"/>
          <w:color w:val="auto"/>
        </w:rPr>
      </w:pPr>
    </w:p>
    <w:p>
      <w:pPr>
        <w:ind w:left="860" w:right="220" w:hanging="403"/>
        <w:spacing w:after="0" w:line="223" w:lineRule="auto"/>
        <w:tabs>
          <w:tab w:leader="none" w:pos="86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Our named executive officers receive additional compensation in the form of 401(k) matching and term life insurance premiums, which are benefits generally available to all of our employees.</w:t>
      </w:r>
    </w:p>
    <w:p>
      <w:pPr>
        <w:ind w:left="860" w:right="440" w:hanging="403"/>
        <w:spacing w:after="0" w:line="223" w:lineRule="auto"/>
        <w:tabs>
          <w:tab w:leader="none" w:pos="86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amounts disclosed represent the initial portion of a discretionary cash bonus, as further described under “—2022 Executive Compensation Program—Short-Term Incentive Compensation.”</w:t>
      </w:r>
    </w:p>
    <w:p>
      <w:pPr>
        <w:ind w:left="860" w:hanging="403"/>
        <w:spacing w:after="0" w:line="223" w:lineRule="auto"/>
        <w:tabs>
          <w:tab w:leader="none" w:pos="86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Mr. Schaaf ceased serving as our Chief Technology Officer, effective September 21, 2022.</w:t>
      </w:r>
    </w:p>
    <w:p>
      <w:pPr>
        <w:ind w:left="860" w:right="100" w:hanging="403"/>
        <w:spacing w:after="0"/>
        <w:tabs>
          <w:tab w:leader="none" w:pos="86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amount disclosed includes (a) our contribution on Mr. Schaaf’s behalf to the 401(k) plan in the amount of $12,200 and (b) $500,000 in severance payments and benefits provided to Mr. Schaaf pursuant to the terms of his separation agreement.</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258</w:t>
      </w:r>
    </w:p>
    <w:p>
      <w:pPr>
        <w:sectPr>
          <w:pgSz w:w="11900" w:h="16838" w:orient="portrait"/>
          <w:cols w:equalWidth="0" w:num="1">
            <w:col w:w="10800"/>
          </w:cols>
          <w:pgMar w:left="320" w:top="440" w:right="77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Grants of Plan-Based Awards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shows certain information regarding grants of plan-based awards to our named executive officers during the fiscal year ended</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2022:</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Estimated Future Payouts Under</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10"/>
                <w:szCs w:val="10"/>
                <w:b w:val="1"/>
                <w:bCs w:val="1"/>
                <w:color w:val="auto"/>
              </w:rPr>
              <w:t>(1)</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All Other</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9"/>
              </w:rPr>
              <w:t>All Other Option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Exercise</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99"/>
        </w:trPr>
        <w:tc>
          <w:tcPr>
            <w:tcW w:w="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2"/>
              </w:rPr>
              <w:t>Stock Awards:</w:t>
            </w:r>
          </w:p>
        </w:tc>
        <w:tc>
          <w:tcPr>
            <w:tcW w:w="14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6"/>
              </w:rPr>
              <w:t>Awards: Number</w:t>
            </w:r>
          </w:p>
        </w:tc>
        <w:tc>
          <w:tcPr>
            <w:tcW w:w="7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2"/>
              </w:rPr>
              <w:t>or Base</w:t>
            </w:r>
          </w:p>
        </w:tc>
        <w:tc>
          <w:tcPr>
            <w:tcW w:w="9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5"/>
              </w:rPr>
              <w:t>Number of</w:t>
            </w:r>
          </w:p>
        </w:tc>
        <w:tc>
          <w:tcPr>
            <w:tcW w:w="14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9"/>
              </w:rPr>
              <w:t>of Securities</w:t>
            </w:r>
          </w:p>
        </w:tc>
        <w:tc>
          <w:tcPr>
            <w:tcW w:w="7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2"/>
              </w:rPr>
              <w:t>Price of</w:t>
            </w:r>
          </w:p>
        </w:tc>
        <w:tc>
          <w:tcPr>
            <w:tcW w:w="9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of Stock</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1"/>
              </w:rPr>
              <w:t>Shares of</w:t>
            </w:r>
          </w:p>
        </w:tc>
        <w:tc>
          <w:tcPr>
            <w:tcW w:w="14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7"/>
              </w:rPr>
              <w:t>Underlying</w:t>
            </w:r>
          </w:p>
        </w:tc>
        <w:tc>
          <w:tcPr>
            <w:tcW w:w="7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and Option</w:t>
            </w:r>
          </w:p>
        </w:tc>
        <w:tc>
          <w:tcPr>
            <w:tcW w:w="0" w:type="dxa"/>
            <w:vAlign w:val="bottom"/>
          </w:tcPr>
          <w:p>
            <w:pPr>
              <w:spacing w:after="0"/>
              <w:rPr>
                <w:sz w:val="1"/>
                <w:szCs w:val="1"/>
                <w:color w:val="auto"/>
              </w:rPr>
            </w:pPr>
          </w:p>
        </w:tc>
      </w:tr>
      <w:tr>
        <w:trPr>
          <w:trHeight w:val="147"/>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16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Grant Date</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Threshold</w:t>
            </w:r>
          </w:p>
        </w:tc>
        <w:tc>
          <w:tcPr>
            <w:tcW w:w="102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color w:val="auto"/>
                <w:w w:val="90"/>
              </w:rPr>
              <w:t>Target</w:t>
            </w: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3"/>
                <w:szCs w:val="13"/>
                <w:b w:val="1"/>
                <w:bCs w:val="1"/>
                <w:color w:val="auto"/>
              </w:rPr>
              <w:t>Maximum</w:t>
            </w:r>
          </w:p>
        </w:tc>
        <w:tc>
          <w:tcPr>
            <w:tcW w:w="124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92"/>
              </w:rPr>
              <w:t>Stock or Units</w:t>
            </w:r>
          </w:p>
        </w:tc>
        <w:tc>
          <w:tcPr>
            <w:tcW w:w="144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93"/>
              </w:rPr>
              <w:t>Options</w:t>
            </w:r>
          </w:p>
        </w:tc>
        <w:tc>
          <w:tcPr>
            <w:tcW w:w="70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jc w:val="right"/>
              <w:ind w:right="20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860" w:type="dxa"/>
            <w:vAlign w:val="bottom"/>
          </w:tcPr>
          <w:p>
            <w:pPr>
              <w:jc w:val="right"/>
              <w:ind w:right="25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00" w:type="dxa"/>
            <w:vAlign w:val="bottom"/>
          </w:tcPr>
          <w:p>
            <w:pPr>
              <w:jc w:val="right"/>
              <w:ind w:right="29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(2)</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($/Sh)</w:t>
            </w:r>
          </w:p>
        </w:tc>
        <w:tc>
          <w:tcPr>
            <w:tcW w:w="940" w:type="dxa"/>
            <w:vAlign w:val="bottom"/>
          </w:tcPr>
          <w:p>
            <w:pPr>
              <w:jc w:val="center"/>
              <w:spacing w:after="0" w:line="152" w:lineRule="exact"/>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(3)</w:t>
            </w:r>
          </w:p>
        </w:tc>
        <w:tc>
          <w:tcPr>
            <w:tcW w:w="0" w:type="dxa"/>
            <w:vAlign w:val="bottom"/>
          </w:tcPr>
          <w:p>
            <w:pPr>
              <w:spacing w:after="0"/>
              <w:rPr>
                <w:sz w:val="1"/>
                <w:szCs w:val="1"/>
                <w:color w:val="auto"/>
              </w:rPr>
            </w:pPr>
          </w:p>
        </w:tc>
      </w:tr>
      <w:tr>
        <w:trPr>
          <w:trHeight w:val="188"/>
        </w:trPr>
        <w:tc>
          <w:tcPr>
            <w:tcW w:w="19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Fidji Simo</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4/16/2022</w:t>
            </w: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700"/>
              <w:spacing w:after="0" w:line="188" w:lineRule="exact"/>
              <w:rPr>
                <w:sz w:val="20"/>
                <w:szCs w:val="20"/>
                <w:color w:val="auto"/>
              </w:rPr>
            </w:pPr>
            <w:r>
              <w:rPr>
                <w:rFonts w:ascii="Arial" w:cs="Arial" w:eastAsia="Arial" w:hAnsi="Arial"/>
                <w:sz w:val="17"/>
                <w:szCs w:val="17"/>
                <w:color w:val="auto"/>
                <w:w w:val="82"/>
              </w:rPr>
              <w:t>—</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195,465</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ind w:left="1160"/>
              <w:spacing w:after="0" w:line="188" w:lineRule="exact"/>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440"/>
              <w:spacing w:after="0" w:line="188" w:lineRule="exact"/>
              <w:rPr>
                <w:sz w:val="20"/>
                <w:szCs w:val="20"/>
                <w:color w:val="auto"/>
              </w:rPr>
            </w:pPr>
            <w:r>
              <w:rPr>
                <w:rFonts w:ascii="Arial" w:cs="Arial" w:eastAsia="Arial" w:hAnsi="Arial"/>
                <w:sz w:val="17"/>
                <w:szCs w:val="17"/>
                <w:color w:val="auto"/>
                <w:w w:val="82"/>
              </w:rPr>
              <w:t>—</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760"/>
              <w:spacing w:after="0" w:line="188"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12/7/2022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3"/>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Nick Giovanni</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4/16/2022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118,908</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12/7/2022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rPr>
                <w:sz w:val="20"/>
                <w:szCs w:val="20"/>
                <w:color w:val="auto"/>
              </w:rPr>
            </w:pPr>
            <w:r>
              <w:rPr>
                <w:rFonts w:ascii="Arial" w:cs="Arial" w:eastAsia="Arial" w:hAnsi="Arial"/>
                <w:sz w:val="17"/>
                <w:szCs w:val="17"/>
                <w:color w:val="auto"/>
              </w:rPr>
              <w:t>Asha Sharma</w:t>
            </w: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4/16/2022</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146,599</w:t>
            </w:r>
          </w:p>
        </w:tc>
        <w:tc>
          <w:tcPr>
            <w:tcW w:w="100" w:type="dxa"/>
            <w:vAlign w:val="bottom"/>
          </w:tcPr>
          <w:p>
            <w:pPr>
              <w:spacing w:after="0"/>
              <w:rPr>
                <w:sz w:val="17"/>
                <w:szCs w:val="17"/>
                <w:color w:val="auto"/>
              </w:rPr>
            </w:pPr>
          </w:p>
        </w:tc>
        <w:tc>
          <w:tcPr>
            <w:tcW w:w="14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12/7/2022</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180,000</w:t>
            </w:r>
          </w:p>
        </w:tc>
        <w:tc>
          <w:tcPr>
            <w:tcW w:w="860" w:type="dxa"/>
            <w:vAlign w:val="bottom"/>
          </w:tcPr>
          <w:p>
            <w:pPr>
              <w:jc w:val="right"/>
              <w:spacing w:after="0"/>
              <w:rPr>
                <w:sz w:val="20"/>
                <w:szCs w:val="20"/>
                <w:color w:val="auto"/>
              </w:rPr>
            </w:pPr>
            <w:r>
              <w:rPr>
                <w:rFonts w:ascii="Arial" w:cs="Arial" w:eastAsia="Arial" w:hAnsi="Arial"/>
                <w:sz w:val="17"/>
                <w:szCs w:val="17"/>
                <w:color w:val="auto"/>
              </w:rPr>
              <w:t>720,000</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720,000</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Fong</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4/16/2022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70,367</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330"/>
        </w:trPr>
        <w:tc>
          <w:tcPr>
            <w:tcW w:w="1960" w:type="dxa"/>
            <w:vAlign w:val="bottom"/>
            <w:gridSpan w:val="2"/>
          </w:tcPr>
          <w:p>
            <w:pPr>
              <w:spacing w:after="0"/>
              <w:rPr>
                <w:sz w:val="20"/>
                <w:szCs w:val="20"/>
                <w:color w:val="auto"/>
              </w:rPr>
            </w:pPr>
            <w:r>
              <w:rPr>
                <w:rFonts w:ascii="Arial" w:cs="Arial" w:eastAsia="Arial" w:hAnsi="Arial"/>
                <w:sz w:val="17"/>
                <w:szCs w:val="17"/>
                <w:color w:val="auto"/>
              </w:rPr>
              <w:t>Mark Schaaf</w:t>
            </w:r>
            <w:r>
              <w:rPr>
                <w:rFonts w:ascii="Arial" w:cs="Arial" w:eastAsia="Arial" w:hAnsi="Arial"/>
                <w:sz w:val="25"/>
                <w:szCs w:val="25"/>
                <w:color w:val="auto"/>
                <w:vertAlign w:val="superscript"/>
              </w:rPr>
              <w:t>(4)</w:t>
            </w: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4/16/2022</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78,186</w:t>
            </w:r>
          </w:p>
        </w:tc>
        <w:tc>
          <w:tcPr>
            <w:tcW w:w="14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15240</wp:posOffset>
            </wp:positionV>
            <wp:extent cx="7239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7" w:lineRule="exact"/>
        <w:rPr>
          <w:sz w:val="20"/>
          <w:szCs w:val="20"/>
          <w:color w:val="auto"/>
        </w:rPr>
      </w:pPr>
    </w:p>
    <w:p>
      <w:pPr>
        <w:jc w:val="both"/>
        <w:ind w:left="860" w:right="60" w:hanging="403"/>
        <w:spacing w:after="0" w:line="247" w:lineRule="auto"/>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Amounts represent PSU awards that are subject to service-based, market-based, and liquidity event-based vesting conditions. The liquidity event-based vesting condition constitutes a performance condition and will be satisfied upon the earlier of (a) a change of control and (b) the effective date of the registration statement of which this prospectus forms a part. The number of shares in the “Threshold” column represents the number of shares subject to PSU awards that would vest upon achievement of the first tranche. The number of shares in the “Target” and “Maximum” columns represents the number of shares subject to PSU awards that would vest upon achievement of all tranches.</w:t>
      </w:r>
    </w:p>
    <w:p>
      <w:pPr>
        <w:spacing w:after="0" w:line="1" w:lineRule="exact"/>
        <w:rPr>
          <w:rFonts w:ascii="Arial" w:cs="Arial" w:eastAsia="Arial" w:hAnsi="Arial"/>
          <w:sz w:val="12"/>
          <w:szCs w:val="12"/>
          <w:color w:val="auto"/>
        </w:rPr>
      </w:pPr>
    </w:p>
    <w:p>
      <w:pPr>
        <w:ind w:left="860" w:right="220" w:hanging="403"/>
        <w:spacing w:after="0" w:line="223" w:lineRule="auto"/>
        <w:tabs>
          <w:tab w:leader="none" w:pos="86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Amounts represent RSU awards that are subject to service-based and liquidity event-based vesting conditions. The liquidity event-based vesting condition will be satisfied upon the earlier of (a) a change of control and (b) the effective date of the registration statement of which this prospectus forms a part.</w:t>
      </w:r>
    </w:p>
    <w:p>
      <w:pPr>
        <w:ind w:left="860" w:right="40" w:hanging="403"/>
        <w:spacing w:after="0" w:line="242" w:lineRule="auto"/>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As of the applicable grant date and December 31, 2022, we had not recognized stock-based compensation expense for the RSU awards and PSU awards because achievement of the liquidity event-based vesting condition, as the performance condition, was not deemed probable as of any such date. Assuming achievement of the liquidity event-based vesting condition, the aggregate grant-date fair values of the RSU awards for each of Ms. Simo, Mr. Giovanni, Ms. Sharma, Mr. Fong, and Mr. Schaaf were $11,808,041, $7,183,233, $8,856,046, $4,250,871, and $4,723,217, respectively, computed in accordance with ASC Topic 718 and representing the highest level of performance condition achievement for these awards. Assuming achievement of the liquidity event-based vesting condition (the performance condition), the aggregate grant-date fair values for the PSU awards for each of</w:t>
      </w:r>
    </w:p>
    <w:p>
      <w:pPr>
        <w:ind w:left="860" w:right="100"/>
        <w:spacing w:after="0" w:line="242" w:lineRule="auto"/>
        <w:rPr>
          <w:rFonts w:ascii="Arial" w:cs="Arial" w:eastAsia="Arial" w:hAnsi="Arial"/>
          <w:sz w:val="12"/>
          <w:szCs w:val="12"/>
          <w:color w:val="auto"/>
        </w:rPr>
      </w:pPr>
      <w:r>
        <w:rPr>
          <w:rFonts w:ascii="Arial" w:cs="Arial" w:eastAsia="Arial" w:hAnsi="Arial"/>
          <w:sz w:val="12"/>
          <w:szCs w:val="12"/>
          <w:color w:val="auto"/>
        </w:rPr>
        <w:t>Ms. Simo, Mr. Giovanni, and Ms. Sharma were $25,633,200, $12,816,600, and $15,379,920, respectively, computed in accordance with ASC Topic 718 and representing the highest level of performance condition achievement for these awards. See Notes 2 and 12 to our consolidated financial statements included elsewhere in this prospectus for the assumptions used in calculating these values. The amounts disclosed reflect the accounting cost for these equity awards and do not reflect the actual economic value that may be realized by any of our named executive officers. See the section titled “—Outstanding Equity Awards at Fiscal Year-End” for additional information.</w:t>
      </w:r>
    </w:p>
    <w:p>
      <w:pPr>
        <w:ind w:left="860" w:right="200" w:hanging="403"/>
        <w:spacing w:after="0" w:line="232" w:lineRule="auto"/>
        <w:tabs>
          <w:tab w:leader="none" w:pos="86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The amount disclosed represents the total shares subject to the RSU award originally granted to Mr. Schaaf on April 16, 2022. In connection with Mr. Schaaf’s cessation of services with us on September 21, 2022, a portion of his RSU award was accelerated as described in the section titled “—Potential Payments upon Termination or Change of Control— Severance and Change in Control Plan,” such that only 6,852 shares subject to this RSU award were deemed to have satisfied the service-based vesting condition as of his cessation date, and the remaining portion of the award was forfeited.</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259</w:t>
      </w:r>
    </w:p>
    <w:p>
      <w:pPr>
        <w:sectPr>
          <w:pgSz w:w="11900" w:h="16838" w:orient="portrait"/>
          <w:cols w:equalWidth="0" w:num="1">
            <w:col w:w="10800"/>
          </w:cols>
          <w:pgMar w:left="320" w:top="440" w:right="77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the outstanding stock option and stock awards held by our named executive officers as of December 31, 2022.</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0"/>
                <w:szCs w:val="10"/>
                <w:b w:val="1"/>
                <w:bCs w:val="1"/>
                <w:color w:val="auto"/>
              </w:rPr>
              <w:t>(1)</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0"/>
                <w:szCs w:val="10"/>
                <w:b w:val="1"/>
                <w:bCs w:val="1"/>
                <w:color w:val="auto"/>
              </w:rPr>
              <w:t>(1)</w:t>
            </w: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40"/>
              <w:spacing w:after="0" w:line="112" w:lineRule="exact"/>
              <w:rPr>
                <w:sz w:val="20"/>
                <w:szCs w:val="20"/>
                <w:color w:val="auto"/>
              </w:rPr>
            </w:pPr>
            <w:r>
              <w:rPr>
                <w:rFonts w:ascii="Arial" w:cs="Arial" w:eastAsia="Arial" w:hAnsi="Arial"/>
                <w:sz w:val="12"/>
                <w:szCs w:val="12"/>
                <w:b w:val="1"/>
                <w:bCs w:val="1"/>
                <w:color w:val="auto"/>
              </w:rPr>
              <w:t>Equity</w:t>
            </w: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2"/>
              </w:rPr>
              <w:t>Incentive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4"/>
              </w:rPr>
              <w:t>Plan</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Awards: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Number</w:t>
            </w:r>
          </w:p>
        </w:tc>
        <w:tc>
          <w:tcPr>
            <w:tcW w:w="8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of</w:t>
            </w:r>
          </w:p>
        </w:tc>
        <w:tc>
          <w:tcPr>
            <w:tcW w:w="8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Number</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Unearned</w:t>
            </w:r>
          </w:p>
        </w:tc>
        <w:tc>
          <w:tcPr>
            <w:tcW w:w="88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9"/>
              </w:rPr>
              <w:t>Shares,</w:t>
            </w:r>
          </w:p>
        </w:tc>
        <w:tc>
          <w:tcPr>
            <w:tcW w:w="88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3"/>
              </w:rPr>
              <w:t>Payout Value</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1"/>
              </w:rPr>
              <w:t>of Shares</w:t>
            </w: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Value of</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Units or</w:t>
            </w:r>
          </w:p>
        </w:tc>
        <w:tc>
          <w:tcPr>
            <w:tcW w:w="88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4"/>
              </w:rPr>
              <w:t>of Unearned</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5"/>
              <w:spacing w:after="0" w:line="139" w:lineRule="exact"/>
              <w:rPr>
                <w:sz w:val="20"/>
                <w:szCs w:val="20"/>
                <w:color w:val="auto"/>
              </w:rPr>
            </w:pPr>
            <w:r>
              <w:rPr>
                <w:rFonts w:ascii="Arial" w:cs="Arial" w:eastAsia="Arial" w:hAnsi="Arial"/>
                <w:sz w:val="13"/>
                <w:szCs w:val="13"/>
                <w:b w:val="1"/>
                <w:bCs w:val="1"/>
                <w:color w:val="auto"/>
                <w:w w:val="93"/>
              </w:rPr>
              <w:t>Securities</w:t>
            </w:r>
          </w:p>
        </w:tc>
        <w:tc>
          <w:tcPr>
            <w:tcW w:w="140" w:type="dxa"/>
            <w:vAlign w:val="bottom"/>
          </w:tcPr>
          <w:p>
            <w:pPr>
              <w:spacing w:after="0"/>
              <w:rPr>
                <w:sz w:val="12"/>
                <w:szCs w:val="12"/>
                <w:color w:val="auto"/>
              </w:rPr>
            </w:pPr>
          </w:p>
        </w:tc>
        <w:tc>
          <w:tcPr>
            <w:tcW w:w="96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0"/>
              </w:rPr>
              <w:t>Securities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or Units</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Shares or</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Other</w:t>
            </w:r>
          </w:p>
        </w:tc>
        <w:tc>
          <w:tcPr>
            <w:tcW w:w="88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1"/>
              </w:rPr>
              <w:t>Shares, Units</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Underlying</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Underlying</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Option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of Stock</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4"/>
              </w:rPr>
              <w:t>Units of</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8"/>
              </w:rPr>
              <w:t>Rights</w:t>
            </w:r>
          </w:p>
        </w:tc>
        <w:tc>
          <w:tcPr>
            <w:tcW w:w="8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Unexercised</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0"/>
              </w:rPr>
              <w:t>Unexercised</w:t>
            </w:r>
          </w:p>
        </w:tc>
        <w:tc>
          <w:tcPr>
            <w:tcW w:w="62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Option</w:t>
            </w: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4"/>
              </w:rPr>
              <w:t>That</w:t>
            </w: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6"/>
              </w:rPr>
              <w:t>Stock That</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That</w:t>
            </w:r>
          </w:p>
        </w:tc>
        <w:tc>
          <w:tcPr>
            <w:tcW w:w="88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5"/>
              </w:rPr>
              <w:t>Rights That</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403"/>
              <w:spacing w:after="0"/>
              <w:rPr>
                <w:sz w:val="20"/>
                <w:szCs w:val="20"/>
                <w:color w:val="auto"/>
              </w:rPr>
            </w:pPr>
            <w:r>
              <w:rPr>
                <w:rFonts w:ascii="Arial" w:cs="Arial" w:eastAsia="Arial" w:hAnsi="Arial"/>
                <w:sz w:val="13"/>
                <w:szCs w:val="13"/>
                <w:b w:val="1"/>
                <w:bCs w:val="1"/>
                <w:color w:val="auto"/>
              </w:rPr>
              <w:t>Grant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Options</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Options</w:t>
            </w:r>
          </w:p>
        </w:tc>
        <w:tc>
          <w:tcPr>
            <w:tcW w:w="62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Exercise</w:t>
            </w: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5"/>
              </w:rPr>
              <w:t>Have Not</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5"/>
              </w:rPr>
              <w:t>Have Not</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9"/>
              </w:rPr>
              <w:t>Have Not</w:t>
            </w:r>
          </w:p>
        </w:tc>
        <w:tc>
          <w:tcPr>
            <w:tcW w:w="8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3"/>
          </w:tcPr>
          <w:p>
            <w:pPr>
              <w:jc w:val="center"/>
              <w:ind w:left="26"/>
              <w:spacing w:after="0" w:line="139" w:lineRule="exact"/>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ind w:left="460"/>
              <w:spacing w:after="0" w:line="13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4"/>
              </w:rPr>
              <w:t>Price</w:t>
            </w:r>
          </w:p>
        </w:tc>
        <w:tc>
          <w:tcPr>
            <w:tcW w:w="8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7"/>
              </w:rPr>
              <w:t>Expiration</w:t>
            </w: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Vested</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Vested</w:t>
            </w: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4"/>
              </w:rPr>
              <w:t>Vested</w:t>
            </w:r>
          </w:p>
        </w:tc>
        <w:tc>
          <w:tcPr>
            <w:tcW w:w="8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89"/>
              </w:rPr>
              <w:t>Vested</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443"/>
              <w:spacing w:after="0" w:line="147" w:lineRule="exact"/>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4"/>
                <w:szCs w:val="14"/>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b w:val="1"/>
                <w:bCs w:val="1"/>
                <w:color w:val="auto"/>
                <w:w w:val="94"/>
              </w:rPr>
              <w:t>Exercisable</w:t>
            </w:r>
          </w:p>
        </w:tc>
        <w:tc>
          <w:tcPr>
            <w:tcW w:w="140" w:type="dxa"/>
            <w:vAlign w:val="bottom"/>
          </w:tcPr>
          <w:p>
            <w:pPr>
              <w:spacing w:after="0"/>
              <w:rPr>
                <w:sz w:val="14"/>
                <w:szCs w:val="14"/>
                <w:color w:val="auto"/>
              </w:rPr>
            </w:pPr>
          </w:p>
        </w:tc>
        <w:tc>
          <w:tcPr>
            <w:tcW w:w="96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0"/>
              </w:rPr>
              <w:t>Unexercisable</w:t>
            </w:r>
          </w:p>
        </w:tc>
        <w:tc>
          <w:tcPr>
            <w:tcW w:w="50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8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2"/>
              </w:rPr>
              <w:t>Date</w:t>
            </w:r>
          </w:p>
        </w:tc>
        <w:tc>
          <w:tcPr>
            <w:tcW w:w="6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4"/>
                <w:szCs w:val="14"/>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2"/>
                <w:szCs w:val="12"/>
                <w:b w:val="1"/>
                <w:bCs w:val="1"/>
                <w:color w:val="auto"/>
                <w:w w:val="98"/>
              </w:rPr>
              <w:t>($)</w:t>
            </w:r>
            <w:r>
              <w:rPr>
                <w:rFonts w:ascii="Arial" w:cs="Arial" w:eastAsia="Arial" w:hAnsi="Arial"/>
                <w:sz w:val="17"/>
                <w:szCs w:val="17"/>
                <w:b w:val="1"/>
                <w:bCs w:val="1"/>
                <w:color w:val="auto"/>
                <w:w w:val="98"/>
                <w:vertAlign w:val="superscript"/>
              </w:rPr>
              <w:t>(2)</w:t>
            </w:r>
          </w:p>
        </w:tc>
        <w:tc>
          <w:tcPr>
            <w:tcW w:w="140" w:type="dxa"/>
            <w:vAlign w:val="bottom"/>
          </w:tcPr>
          <w:p>
            <w:pPr>
              <w:spacing w:after="0"/>
              <w:rPr>
                <w:sz w:val="14"/>
                <w:szCs w:val="14"/>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2"/>
                <w:szCs w:val="12"/>
                <w:b w:val="1"/>
                <w:bCs w:val="1"/>
                <w:color w:val="auto"/>
                <w:w w:val="98"/>
              </w:rPr>
              <w:t>($)</w:t>
            </w:r>
            <w:r>
              <w:rPr>
                <w:rFonts w:ascii="Arial" w:cs="Arial" w:eastAsia="Arial" w:hAnsi="Arial"/>
                <w:sz w:val="17"/>
                <w:szCs w:val="17"/>
                <w:b w:val="1"/>
                <w:bCs w:val="1"/>
                <w:color w:val="auto"/>
                <w:w w:val="98"/>
                <w:vertAlign w:val="superscript"/>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80" w:type="dxa"/>
            <w:vAlign w:val="bottom"/>
            <w:tcBorders>
              <w:top w:val="single" w:sz="8" w:color="CCEEFF"/>
            </w:tcBorders>
            <w:gridSpan w:val="2"/>
            <w:shd w:val="clear" w:color="auto" w:fill="CCEEFF"/>
          </w:tcPr>
          <w:p>
            <w:pPr>
              <w:spacing w:after="0" w:line="165" w:lineRule="exact"/>
              <w:rPr>
                <w:sz w:val="20"/>
                <w:szCs w:val="20"/>
                <w:color w:val="auto"/>
              </w:rPr>
            </w:pPr>
            <w:r>
              <w:rPr>
                <w:rFonts w:ascii="Arial" w:cs="Arial" w:eastAsia="Arial" w:hAnsi="Arial"/>
                <w:sz w:val="15"/>
                <w:szCs w:val="15"/>
                <w:color w:val="auto"/>
              </w:rPr>
              <w:t>Fidji Simo</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2"/>
            <w:shd w:val="clear" w:color="auto" w:fill="CCEEFF"/>
          </w:tcPr>
          <w:p>
            <w:pPr>
              <w:jc w:val="right"/>
              <w:spacing w:after="0" w:line="165" w:lineRule="exact"/>
              <w:rPr>
                <w:sz w:val="20"/>
                <w:szCs w:val="20"/>
                <w:color w:val="auto"/>
              </w:rPr>
            </w:pPr>
            <w:r>
              <w:rPr>
                <w:rFonts w:ascii="Arial" w:cs="Arial" w:eastAsia="Arial" w:hAnsi="Arial"/>
                <w:sz w:val="15"/>
                <w:szCs w:val="15"/>
                <w:color w:val="auto"/>
                <w:w w:val="95"/>
              </w:rPr>
              <w:t>1/27/2021</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
              <w:spacing w:after="0" w:line="165"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580"/>
              <w:spacing w:after="0" w:line="165"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6"/>
              <w:spacing w:after="0" w:line="165"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460"/>
              <w:spacing w:after="0" w:line="165"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auto"/>
              </w:rPr>
              <w:t>12,500</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auto"/>
              </w:rPr>
              <w:t>377,250</w:t>
            </w: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8"/>
              <w:spacing w:after="0" w:line="165"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00"/>
              <w:spacing w:after="0" w:line="165"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3"/>
              <w:spacing w:after="0" w:line="190" w:lineRule="exact"/>
              <w:rPr>
                <w:sz w:val="20"/>
                <w:szCs w:val="20"/>
                <w:color w:val="auto"/>
              </w:rPr>
            </w:pPr>
            <w:r>
              <w:rPr>
                <w:rFonts w:ascii="Arial" w:cs="Arial" w:eastAsia="Arial" w:hAnsi="Arial"/>
                <w:sz w:val="15"/>
                <w:szCs w:val="15"/>
                <w:color w:val="auto"/>
                <w:w w:val="96"/>
              </w:rPr>
              <w:t>8/2/2021</w:t>
            </w:r>
            <w:r>
              <w:rPr>
                <w:rFonts w:ascii="Arial" w:cs="Arial" w:eastAsia="Arial" w:hAnsi="Arial"/>
                <w:sz w:val="22"/>
                <w:szCs w:val="22"/>
                <w:color w:val="auto"/>
                <w:w w:val="96"/>
                <w:vertAlign w:val="superscript"/>
              </w:rPr>
              <w:t>(5)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752,000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22,695,360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4/16/2022</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195,465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5,899,134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12/7/2022</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1,200,000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36,216,000</w:t>
            </w:r>
          </w:p>
        </w:tc>
        <w:tc>
          <w:tcPr>
            <w:tcW w:w="0" w:type="dxa"/>
            <w:vAlign w:val="bottom"/>
          </w:tcPr>
          <w:p>
            <w:pPr>
              <w:spacing w:after="0"/>
              <w:rPr>
                <w:sz w:val="1"/>
                <w:szCs w:val="1"/>
                <w:color w:val="auto"/>
              </w:rPr>
            </w:pPr>
          </w:p>
        </w:tc>
      </w:tr>
      <w:tr>
        <w:trPr>
          <w:trHeight w:val="190"/>
        </w:trPr>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Nick Giovanni</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1/27/2021</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450,000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13,581,000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1/27/2021</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215,625</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88"/>
              </w:rPr>
              <w:t>234,375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47.69</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1/26/2031</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4/16/2022</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118,908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3,588,644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12/7/2022</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18,108,000</w:t>
            </w:r>
          </w:p>
        </w:tc>
        <w:tc>
          <w:tcPr>
            <w:tcW w:w="0" w:type="dxa"/>
            <w:vAlign w:val="bottom"/>
          </w:tcPr>
          <w:p>
            <w:pPr>
              <w:spacing w:after="0"/>
              <w:rPr>
                <w:sz w:val="1"/>
                <w:szCs w:val="1"/>
                <w:color w:val="auto"/>
              </w:rPr>
            </w:pPr>
          </w:p>
        </w:tc>
      </w:tr>
      <w:tr>
        <w:trPr>
          <w:trHeight w:val="190"/>
        </w:trPr>
        <w:tc>
          <w:tcPr>
            <w:tcW w:w="2580" w:type="dxa"/>
            <w:vAlign w:val="bottom"/>
            <w:gridSpan w:val="2"/>
          </w:tcPr>
          <w:p>
            <w:pPr>
              <w:spacing w:after="0"/>
              <w:rPr>
                <w:sz w:val="20"/>
                <w:szCs w:val="20"/>
                <w:color w:val="auto"/>
              </w:rPr>
            </w:pPr>
            <w:r>
              <w:rPr>
                <w:rFonts w:ascii="Arial" w:cs="Arial" w:eastAsia="Arial" w:hAnsi="Arial"/>
                <w:sz w:val="15"/>
                <w:szCs w:val="15"/>
                <w:color w:val="auto"/>
              </w:rPr>
              <w:t>Asha Sharma</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4/28/2021</w:t>
            </w:r>
          </w:p>
        </w:tc>
        <w:tc>
          <w:tcPr>
            <w:tcW w:w="300" w:type="dxa"/>
            <w:vAlign w:val="bottom"/>
          </w:tcPr>
          <w:p>
            <w:pPr>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1,000,000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30,180,000</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43"/>
              <w:spacing w:after="0" w:line="180" w:lineRule="exact"/>
              <w:rPr>
                <w:sz w:val="20"/>
                <w:szCs w:val="20"/>
                <w:color w:val="auto"/>
              </w:rPr>
            </w:pPr>
            <w:r>
              <w:rPr>
                <w:rFonts w:ascii="Arial" w:cs="Arial" w:eastAsia="Arial" w:hAnsi="Arial"/>
                <w:sz w:val="14"/>
                <w:szCs w:val="14"/>
                <w:color w:val="auto"/>
              </w:rPr>
              <w:t>4/16/2022</w:t>
            </w:r>
            <w:r>
              <w:rPr>
                <w:rFonts w:ascii="Arial" w:cs="Arial" w:eastAsia="Arial" w:hAnsi="Arial"/>
                <w:sz w:val="20"/>
                <w:szCs w:val="20"/>
                <w:color w:val="auto"/>
                <w:vertAlign w:val="superscript"/>
              </w:rPr>
              <w:t>(10)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146,599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4,424,358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03"/>
              <w:spacing w:after="0" w:line="200" w:lineRule="exact"/>
              <w:rPr>
                <w:sz w:val="20"/>
                <w:szCs w:val="20"/>
                <w:color w:val="auto"/>
              </w:rPr>
            </w:pPr>
            <w:r>
              <w:rPr>
                <w:rFonts w:ascii="Arial" w:cs="Arial" w:eastAsia="Arial" w:hAnsi="Arial"/>
                <w:sz w:val="15"/>
                <w:szCs w:val="15"/>
                <w:color w:val="auto"/>
              </w:rPr>
              <w:t>12/7/2022</w:t>
            </w:r>
            <w:r>
              <w:rPr>
                <w:rFonts w:ascii="Arial" w:cs="Arial" w:eastAsia="Arial" w:hAnsi="Arial"/>
                <w:sz w:val="22"/>
                <w:szCs w:val="22"/>
                <w:color w:val="auto"/>
                <w:vertAlign w:val="superscript"/>
              </w:rPr>
              <w:t>(7)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720,000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21,729,600</w:t>
            </w:r>
          </w:p>
        </w:tc>
        <w:tc>
          <w:tcPr>
            <w:tcW w:w="0" w:type="dxa"/>
            <w:vAlign w:val="bottom"/>
          </w:tcPr>
          <w:p>
            <w:pPr>
              <w:spacing w:after="0"/>
              <w:rPr>
                <w:sz w:val="1"/>
                <w:szCs w:val="1"/>
                <w:color w:val="auto"/>
              </w:rPr>
            </w:pPr>
          </w:p>
        </w:tc>
      </w:tr>
      <w:tr>
        <w:trPr>
          <w:trHeight w:val="182"/>
        </w:trPr>
        <w:tc>
          <w:tcPr>
            <w:tcW w:w="2580" w:type="dxa"/>
            <w:vAlign w:val="bottom"/>
            <w:gridSpan w:val="2"/>
          </w:tcPr>
          <w:p>
            <w:pPr>
              <w:spacing w:after="0"/>
              <w:rPr>
                <w:sz w:val="20"/>
                <w:szCs w:val="20"/>
                <w:color w:val="auto"/>
              </w:rPr>
            </w:pPr>
            <w:r>
              <w:rPr>
                <w:rFonts w:ascii="Arial" w:cs="Arial" w:eastAsia="Arial" w:hAnsi="Arial"/>
                <w:sz w:val="15"/>
                <w:szCs w:val="15"/>
                <w:color w:val="auto"/>
              </w:rPr>
              <w:t>Morgan Fong</w:t>
            </w:r>
          </w:p>
        </w:tc>
        <w:tc>
          <w:tcPr>
            <w:tcW w:w="1060" w:type="dxa"/>
            <w:vAlign w:val="bottom"/>
            <w:gridSpan w:val="4"/>
          </w:tcPr>
          <w:p>
            <w:pPr>
              <w:jc w:val="right"/>
              <w:ind w:right="243"/>
              <w:spacing w:after="0"/>
              <w:rPr>
                <w:sz w:val="20"/>
                <w:szCs w:val="20"/>
                <w:color w:val="auto"/>
              </w:rPr>
            </w:pPr>
            <w:r>
              <w:rPr>
                <w:rFonts w:ascii="Arial" w:cs="Arial" w:eastAsia="Arial" w:hAnsi="Arial"/>
                <w:sz w:val="15"/>
                <w:szCs w:val="15"/>
                <w:color w:val="auto"/>
              </w:rPr>
              <w:t>6/19/2015</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8,270</w:t>
            </w:r>
          </w:p>
        </w:tc>
        <w:tc>
          <w:tcPr>
            <w:tcW w:w="140" w:type="dxa"/>
            <w:vAlign w:val="bottom"/>
          </w:tcPr>
          <w:p>
            <w:pPr>
              <w:spacing w:after="0"/>
              <w:rPr>
                <w:sz w:val="15"/>
                <w:szCs w:val="15"/>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3.79</w:t>
            </w:r>
          </w:p>
        </w:tc>
        <w:tc>
          <w:tcPr>
            <w:tcW w:w="1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color w:val="auto"/>
              </w:rPr>
              <w:t>6/19/2025</w:t>
            </w:r>
          </w:p>
        </w:tc>
        <w:tc>
          <w:tcPr>
            <w:tcW w:w="80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60" w:type="dxa"/>
            <w:vAlign w:val="bottom"/>
            <w:gridSpan w:val="4"/>
          </w:tcPr>
          <w:p>
            <w:pPr>
              <w:jc w:val="right"/>
              <w:ind w:right="243"/>
              <w:spacing w:after="0"/>
              <w:rPr>
                <w:sz w:val="20"/>
                <w:szCs w:val="20"/>
                <w:color w:val="auto"/>
              </w:rPr>
            </w:pPr>
            <w:r>
              <w:rPr>
                <w:rFonts w:ascii="Arial" w:cs="Arial" w:eastAsia="Arial" w:hAnsi="Arial"/>
                <w:sz w:val="15"/>
                <w:szCs w:val="15"/>
                <w:color w:val="auto"/>
              </w:rPr>
              <w:t>5/16/2017</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262,765</w:t>
            </w: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7.32</w:t>
            </w:r>
          </w:p>
        </w:tc>
        <w:tc>
          <w:tcPr>
            <w:tcW w:w="1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color w:val="auto"/>
              </w:rPr>
              <w:t>5/16/2027</w:t>
            </w:r>
          </w:p>
        </w:tc>
        <w:tc>
          <w:tcPr>
            <w:tcW w:w="80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60" w:type="dxa"/>
            <w:vAlign w:val="bottom"/>
            <w:gridSpan w:val="4"/>
          </w:tcPr>
          <w:p>
            <w:pPr>
              <w:jc w:val="right"/>
              <w:ind w:right="43"/>
              <w:spacing w:after="0" w:line="190" w:lineRule="exact"/>
              <w:rPr>
                <w:sz w:val="20"/>
                <w:szCs w:val="20"/>
                <w:color w:val="auto"/>
              </w:rPr>
            </w:pPr>
            <w:r>
              <w:rPr>
                <w:rFonts w:ascii="Arial" w:cs="Arial" w:eastAsia="Arial" w:hAnsi="Arial"/>
                <w:sz w:val="15"/>
                <w:szCs w:val="15"/>
                <w:color w:val="auto"/>
              </w:rPr>
              <w:t>9/15/2020</w:t>
            </w:r>
            <w:r>
              <w:rPr>
                <w:rFonts w:ascii="Arial" w:cs="Arial" w:eastAsia="Arial" w:hAnsi="Arial"/>
                <w:sz w:val="22"/>
                <w:szCs w:val="22"/>
                <w:color w:val="auto"/>
                <w:vertAlign w:val="superscript"/>
              </w:rPr>
              <w:t>(12)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145,560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4,393,001</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60" w:type="dxa"/>
            <w:vAlign w:val="bottom"/>
            <w:gridSpan w:val="4"/>
          </w:tcPr>
          <w:p>
            <w:pPr>
              <w:jc w:val="right"/>
              <w:ind w:right="43"/>
              <w:spacing w:after="0" w:line="190" w:lineRule="exact"/>
              <w:rPr>
                <w:sz w:val="20"/>
                <w:szCs w:val="20"/>
                <w:color w:val="auto"/>
              </w:rPr>
            </w:pPr>
            <w:r>
              <w:rPr>
                <w:rFonts w:ascii="Arial" w:cs="Arial" w:eastAsia="Arial" w:hAnsi="Arial"/>
                <w:sz w:val="15"/>
                <w:szCs w:val="15"/>
                <w:color w:val="auto"/>
              </w:rPr>
              <w:t>7/1/2021</w:t>
            </w:r>
            <w:r>
              <w:rPr>
                <w:rFonts w:ascii="Arial" w:cs="Arial" w:eastAsia="Arial" w:hAnsi="Arial"/>
                <w:sz w:val="22"/>
                <w:szCs w:val="22"/>
                <w:color w:val="auto"/>
                <w:vertAlign w:val="superscript"/>
              </w:rPr>
              <w:t>(13)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43,200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1,303,776</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60" w:type="dxa"/>
            <w:vAlign w:val="bottom"/>
            <w:gridSpan w:val="4"/>
          </w:tcPr>
          <w:p>
            <w:pPr>
              <w:jc w:val="right"/>
              <w:ind w:right="43"/>
              <w:spacing w:after="0" w:line="192" w:lineRule="exact"/>
              <w:rPr>
                <w:sz w:val="20"/>
                <w:szCs w:val="20"/>
                <w:color w:val="auto"/>
              </w:rPr>
            </w:pPr>
            <w:r>
              <w:rPr>
                <w:rFonts w:ascii="Arial" w:cs="Arial" w:eastAsia="Arial" w:hAnsi="Arial"/>
                <w:sz w:val="15"/>
                <w:szCs w:val="15"/>
                <w:color w:val="auto"/>
              </w:rPr>
              <w:t>4/16/2022</w:t>
            </w:r>
            <w:r>
              <w:rPr>
                <w:rFonts w:ascii="Arial" w:cs="Arial" w:eastAsia="Arial" w:hAnsi="Arial"/>
                <w:sz w:val="22"/>
                <w:szCs w:val="22"/>
                <w:color w:val="auto"/>
                <w:vertAlign w:val="superscript"/>
              </w:rPr>
              <w:t>(10)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70,367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2,123,677</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580" w:type="dxa"/>
            <w:vAlign w:val="bottom"/>
            <w:gridSpan w:val="2"/>
          </w:tcPr>
          <w:p>
            <w:pPr>
              <w:spacing w:after="0"/>
              <w:rPr>
                <w:sz w:val="20"/>
                <w:szCs w:val="20"/>
                <w:color w:val="auto"/>
              </w:rPr>
            </w:pPr>
            <w:r>
              <w:rPr>
                <w:rFonts w:ascii="Arial" w:cs="Arial" w:eastAsia="Arial" w:hAnsi="Arial"/>
                <w:sz w:val="15"/>
                <w:szCs w:val="15"/>
                <w:color w:val="auto"/>
              </w:rPr>
              <w:t>Mark Schaaf</w:t>
            </w:r>
          </w:p>
        </w:tc>
        <w:tc>
          <w:tcPr>
            <w:tcW w:w="1060" w:type="dxa"/>
            <w:vAlign w:val="bottom"/>
            <w:gridSpan w:val="4"/>
          </w:tcPr>
          <w:p>
            <w:pPr>
              <w:jc w:val="right"/>
              <w:ind w:right="243"/>
              <w:spacing w:after="0"/>
              <w:rPr>
                <w:sz w:val="20"/>
                <w:szCs w:val="20"/>
                <w:color w:val="auto"/>
              </w:rPr>
            </w:pPr>
            <w:r>
              <w:rPr>
                <w:rFonts w:ascii="Arial" w:cs="Arial" w:eastAsia="Arial" w:hAnsi="Arial"/>
                <w:sz w:val="15"/>
                <w:szCs w:val="15"/>
                <w:color w:val="auto"/>
              </w:rPr>
              <w:t>8/30/2018</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1,600,000</w:t>
            </w: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9.55</w:t>
            </w:r>
          </w:p>
        </w:tc>
        <w:tc>
          <w:tcPr>
            <w:tcW w:w="1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color w:val="auto"/>
              </w:rPr>
              <w:t>8/30/2028</w:t>
            </w:r>
          </w:p>
        </w:tc>
        <w:tc>
          <w:tcPr>
            <w:tcW w:w="80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8"/>
        </w:trPr>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gridSpan w:val="4"/>
          </w:tcPr>
          <w:p>
            <w:pPr>
              <w:jc w:val="right"/>
              <w:ind w:right="43"/>
              <w:spacing w:after="0"/>
              <w:rPr>
                <w:sz w:val="20"/>
                <w:szCs w:val="20"/>
                <w:color w:val="auto"/>
              </w:rPr>
            </w:pPr>
            <w:r>
              <w:rPr>
                <w:rFonts w:ascii="Arial" w:cs="Arial" w:eastAsia="Arial" w:hAnsi="Arial"/>
                <w:sz w:val="15"/>
                <w:szCs w:val="15"/>
                <w:color w:val="auto"/>
              </w:rPr>
              <w:t>4/16/2022</w:t>
            </w:r>
            <w:r>
              <w:rPr>
                <w:rFonts w:ascii="Arial" w:cs="Arial" w:eastAsia="Arial" w:hAnsi="Arial"/>
                <w:sz w:val="22"/>
                <w:szCs w:val="22"/>
                <w:color w:val="auto"/>
                <w:vertAlign w:val="superscript"/>
              </w:rPr>
              <w:t>(14)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6,852</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206,793</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26670</wp:posOffset>
            </wp:positionV>
            <wp:extent cx="7239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54" w:lineRule="exact"/>
        <w:rPr>
          <w:sz w:val="20"/>
          <w:szCs w:val="20"/>
          <w:color w:val="auto"/>
        </w:rPr>
      </w:pPr>
    </w:p>
    <w:p>
      <w:pPr>
        <w:ind w:left="860" w:hanging="403"/>
        <w:spacing w:after="0"/>
        <w:tabs>
          <w:tab w:leader="none" w:pos="86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All of the stock option and stock awards were granted under the 2013 Plan or 2018 Plan.</w:t>
      </w:r>
    </w:p>
    <w:p>
      <w:pPr>
        <w:spacing w:after="0" w:line="1" w:lineRule="exact"/>
        <w:rPr>
          <w:rFonts w:ascii="Arial" w:cs="Arial" w:eastAsia="Arial" w:hAnsi="Arial"/>
          <w:sz w:val="13"/>
          <w:szCs w:val="13"/>
          <w:color w:val="auto"/>
        </w:rPr>
      </w:pPr>
    </w:p>
    <w:p>
      <w:pPr>
        <w:ind w:left="860" w:right="320" w:hanging="403"/>
        <w:spacing w:after="0" w:line="223" w:lineRule="auto"/>
        <w:tabs>
          <w:tab w:leader="none" w:pos="86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Amounts reflect the fair value of our common stock of $30.18 per share as of December 31, 2022, as determined by our board of directors, multiplied by the amount shown in the column for the number of shares that have not vested.</w:t>
      </w:r>
    </w:p>
    <w:p>
      <w:pPr>
        <w:ind w:left="860" w:hanging="403"/>
        <w:spacing w:after="0" w:line="223" w:lineRule="auto"/>
        <w:tabs>
          <w:tab w:leader="none" w:pos="86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This RSU award was granted in connection with Ms. Simo’s appointment to our board of directors, effective January 2021.</w:t>
      </w:r>
    </w:p>
    <w:p>
      <w:pPr>
        <w:ind w:left="860" w:right="320" w:hanging="403"/>
        <w:spacing w:after="0" w:line="242" w:lineRule="auto"/>
        <w:tabs>
          <w:tab w:leader="none" w:pos="86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The shares subject to this RSU award vest upon meeting both a service-based vesting condition and a liquidity event-based vesting condition. The liquidity event-based vesting condition is satisfied on the earlier of (a) a change of control or (b) the effective date of the registration statement of which this prospectus forms a part. The service-based vesting condition is satisfied in eight equal quarterly installments measured from the grant date, subject to continued employment or service through each such date.</w:t>
      </w:r>
    </w:p>
    <w:p>
      <w:pPr>
        <w:ind w:left="860" w:right="140" w:hanging="403"/>
        <w:spacing w:after="0" w:line="223" w:lineRule="auto"/>
        <w:tabs>
          <w:tab w:leader="none" w:pos="86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shares subject to this RSU award vest upon meeting both a service-based vesting condition and the liquidity event-based vesting condition described in footnote 4 above. The service-based vesting condition is satisfied as follows: (a) 192,000 shares vest on August 2, 2022, (b) 320,000 shares vest in eight equal quarterly installments on the last day of each calendar quarter to occur after August 2, 2022, and (c) the remaining 240,000 shares vest in eight equal quarterly installments on the last day of each calendar quarter to occur after August 2, 2024, subject to Ms. Simo’s continued employment through each such date. In the event of Ms. Simo’s involuntary termination of employment outside of the period beginning six months prior to, and ending 12 months following, a change of control, the total number of shares that were scheduled to vest during the 18-month period (or, if the termination occurs following the date of a qualifying change of control agreement, 24-month period) following such involuntary termination of employment will vest. In the event of Ms. Simo’s involuntary termination of employment during the period beginning six months prior to, and ending 12 months following, a change of control, all remaining unvested shares subject to this RSU award will vest in full. In the event of Ms. Simo’s death or disability, the total number of shares that were scheduled to vest during the 18-month period following such death or disability will vest.</w:t>
      </w:r>
    </w:p>
    <w:p>
      <w:pPr>
        <w:spacing w:after="0" w:line="3" w:lineRule="exact"/>
        <w:rPr>
          <w:rFonts w:ascii="Arial" w:cs="Arial" w:eastAsia="Arial" w:hAnsi="Arial"/>
          <w:sz w:val="13"/>
          <w:szCs w:val="13"/>
          <w:color w:val="auto"/>
        </w:rPr>
      </w:pPr>
    </w:p>
    <w:p>
      <w:pPr>
        <w:ind w:left="860" w:right="320" w:hanging="403"/>
        <w:spacing w:after="0" w:line="234" w:lineRule="auto"/>
        <w:tabs>
          <w:tab w:leader="none" w:pos="86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shares subject to this RSU award vest upon meeting both a service-based vesting condition and the liquidity event-based vesting condition described in footnote 4 above. The service-based vesting condition is satisfied over the period of one year, as follows: 25% of the award satisfying the service-based vesting condition on each of October 5, 2022, December 8, 2022, February 10, 2023, and April 15, 2023, subject to Ms. Simo’s continued service with us through each such date.</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260</w:t>
      </w:r>
    </w:p>
    <w:p>
      <w:pPr>
        <w:sectPr>
          <w:pgSz w:w="11900" w:h="16838" w:orient="portrait"/>
          <w:cols w:equalWidth="0" w:num="1">
            <w:col w:w="10800"/>
          </w:cols>
          <w:pgMar w:left="320" w:top="440" w:right="77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29" w:lineRule="exact"/>
        <w:rPr>
          <w:sz w:val="20"/>
          <w:szCs w:val="20"/>
          <w:color w:val="auto"/>
        </w:rPr>
      </w:pPr>
    </w:p>
    <w:p>
      <w:pPr>
        <w:ind w:left="860" w:right="40" w:hanging="403"/>
        <w:spacing w:after="0" w:line="226"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shares subject to this PSU award vest upon the effectiveness of the registration statement of which this prospectus forms a part and the satisfaction of certain market capitalization goals ranging from $15 billion to $30 billion, during the performance period commencing on the grant date and ending on the earlier of the five-year anniversary of the grant date, a change of control, and a termination of service, subject to the named executive officer’s continued employment with us. As of December 31, 2022, none of the shares subject to this PSU award have vested. The PSUs are subject to a post-vest holding requirement, pursuant to which each named executive officer is required to hold shares received in settlement of vested PSUs for one year after vesting. This requirement is subject to limited carveouts for tax withholding obligations and transfers of shares to family members for estate or tax planning purposes and will lapse upon the named executive officer’s death or disability.</w:t>
      </w:r>
    </w:p>
    <w:p>
      <w:pPr>
        <w:spacing w:after="0" w:line="3" w:lineRule="exact"/>
        <w:rPr>
          <w:rFonts w:ascii="Arial" w:cs="Arial" w:eastAsia="Arial" w:hAnsi="Arial"/>
          <w:sz w:val="13"/>
          <w:szCs w:val="13"/>
          <w:color w:val="auto"/>
        </w:rPr>
      </w:pPr>
    </w:p>
    <w:p>
      <w:pPr>
        <w:ind w:left="860" w:right="100" w:hanging="403"/>
        <w:spacing w:after="0" w:line="223"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These shares of restricted stock vest upon meeting both a service-based vesting condition and the liquidity event-based vesting condition described in footnote 3 above. The service-based vesting condition is satisfied as follows: 25% of the shares subject to the restricted stock vest on the one-year anniversary of the grant date, and the remainder of the shares vest in 12 equal quarterly installments thereafter, subject to continued employment or service through each such date and subject to acceleration as described in the section titled “— Potential Payments upon Termination or Change of Control—Severance and Change in Control Plan.”</w:t>
      </w:r>
    </w:p>
    <w:p>
      <w:pPr>
        <w:spacing w:after="0" w:line="1" w:lineRule="exact"/>
        <w:rPr>
          <w:rFonts w:ascii="Arial" w:cs="Arial" w:eastAsia="Arial" w:hAnsi="Arial"/>
          <w:sz w:val="13"/>
          <w:szCs w:val="13"/>
          <w:color w:val="auto"/>
        </w:rPr>
      </w:pPr>
    </w:p>
    <w:p>
      <w:pPr>
        <w:ind w:left="860" w:right="180" w:hanging="403"/>
        <w:spacing w:after="0" w:line="223"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Twenty-five percent (25%) of the shares subject to the stock option vest on the one-year anniversary of the grant date, and the remainder of the shares vest in 36 equal monthly installments thereafter, subject to continued employment or service through each such date, and subject to acceleration as described in the section titled “—Potential Payments upon Termination or Change of Control—Severance and Change in Control Plan.”</w:t>
      </w:r>
    </w:p>
    <w:p>
      <w:pPr>
        <w:spacing w:after="0" w:line="1" w:lineRule="exact"/>
        <w:rPr>
          <w:rFonts w:ascii="Arial" w:cs="Arial" w:eastAsia="Arial" w:hAnsi="Arial"/>
          <w:sz w:val="13"/>
          <w:szCs w:val="13"/>
          <w:color w:val="auto"/>
        </w:rPr>
      </w:pPr>
    </w:p>
    <w:p>
      <w:pPr>
        <w:ind w:left="860" w:right="220" w:hanging="403"/>
        <w:spacing w:after="0" w:line="223"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shares subject to this RSU award vest upon meeting both a service-based vesting condition and the liquidity event-based vesting condition described in footnote 4 above. The service-based vesting condition is satisfied over a period four years as follows: 1/16 of the award satisfying the service-based vesting condition on equal quarterly installments beginning on August 15, 2022, subject to the name executive officer’s continued service with us through each such date and subject to acceleration as described in the section titled “—Potential Payments upon Termination or Change of Control—Severance and Change in Control Plan.”</w:t>
      </w:r>
    </w:p>
    <w:p>
      <w:pPr>
        <w:spacing w:after="0" w:line="1" w:lineRule="exact"/>
        <w:rPr>
          <w:rFonts w:ascii="Arial" w:cs="Arial" w:eastAsia="Arial" w:hAnsi="Arial"/>
          <w:sz w:val="13"/>
          <w:szCs w:val="13"/>
          <w:color w:val="auto"/>
        </w:rPr>
      </w:pPr>
    </w:p>
    <w:p>
      <w:pPr>
        <w:ind w:left="860" w:hanging="403"/>
        <w:spacing w:after="0" w:line="223"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shares subject to this RSU award vest upon meeting both a service-based vesting condition and the liquidity event-based vesting condition described in footnote 4 above. The service-based vesting condition is satisfied as follows: 25% of the shares subject to this RSU award vested on February 15, 2022, and the remainder of the shares vest in 12 equal quarterly installments thereafter, subject to continued employment or service through each such date and subject to acceleration as described in the section titled “—Potential Payments upon Termination or Change of Control—Severance and Change in Control Plan.”</w:t>
      </w:r>
    </w:p>
    <w:p>
      <w:pPr>
        <w:spacing w:after="0" w:line="1" w:lineRule="exact"/>
        <w:rPr>
          <w:rFonts w:ascii="Arial" w:cs="Arial" w:eastAsia="Arial" w:hAnsi="Arial"/>
          <w:sz w:val="13"/>
          <w:szCs w:val="13"/>
          <w:color w:val="auto"/>
        </w:rPr>
      </w:pPr>
    </w:p>
    <w:p>
      <w:pPr>
        <w:ind w:left="860" w:right="40" w:hanging="403"/>
        <w:spacing w:after="0" w:line="223"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shares subject to this RSU award vest upon meeting both a service-based vesting condition and the liquidity event-based vesting condition described in footnote 4 above. The service-based vesting condition is satisfied as follows: the shares subject to this RSU award vest in 48 equal monthly installments beginning on January 1, 2021, subject to continued employment or service through each such date and subject to acceleration as described in the section titled “—Potential Payments upon Termination or Change of Control—Severance and Change in Control Plan.”</w:t>
      </w:r>
    </w:p>
    <w:p>
      <w:pPr>
        <w:spacing w:after="0" w:line="1" w:lineRule="exact"/>
        <w:rPr>
          <w:rFonts w:ascii="Arial" w:cs="Arial" w:eastAsia="Arial" w:hAnsi="Arial"/>
          <w:sz w:val="13"/>
          <w:szCs w:val="13"/>
          <w:color w:val="auto"/>
        </w:rPr>
      </w:pPr>
    </w:p>
    <w:p>
      <w:pPr>
        <w:ind w:left="860" w:right="40" w:hanging="403"/>
        <w:spacing w:after="0" w:line="223" w:lineRule="auto"/>
        <w:tabs>
          <w:tab w:leader="none" w:pos="8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shares subject to this RSU award vest upon meeting both a service-based vesting condition and the liquidity event-based vesting condition described in footnote 4 above. The service-based vesting condition is satisfied as follows: 25% of the shares subject to this RSU award vest on August 15, 2022, and the remainder of the shares vest in 12 equal quarterly installments thereafter, subject to continued employment or service through each such date and subject to acceleration as described in the section titled “—Potential Payments upon Termination or Change of Control—Severance and Change in Control Plan.”</w:t>
      </w:r>
    </w:p>
    <w:p>
      <w:pPr>
        <w:spacing w:after="0" w:line="1" w:lineRule="exact"/>
        <w:rPr>
          <w:rFonts w:ascii="Arial" w:cs="Arial" w:eastAsia="Arial" w:hAnsi="Arial"/>
          <w:sz w:val="13"/>
          <w:szCs w:val="13"/>
          <w:color w:val="auto"/>
        </w:rPr>
      </w:pPr>
    </w:p>
    <w:p>
      <w:pPr>
        <w:ind w:left="860" w:hanging="403"/>
        <w:spacing w:after="0" w:line="250" w:lineRule="auto"/>
        <w:tabs>
          <w:tab w:leader="none" w:pos="86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The shares subject to this RSU award vest upon meeting both a service-based vesting condition and the liquidity event-based vesting condition described in footnote 4 above. The service-based vesting condition is satisfied over a period of four years as follows: 1/16 of the award satisfying the service-based vesting condition on equal quarterly installments beginning on August 15, 2022, subject to the name executive officer’s continued service with us through each such date. Mr. Schaaf was originally granted this RSU award in the amount of 78,186 shares. However, due to Mr. Schaaf’s cessation of services with us on September 21, 2022, and in accordance with the acceleration provisions applicable to this RSU award, as described in the section titled “—Potential Payments upon Termination or Change of Control—Severance and Change in Control Plan,” 6,852 shares subject to this RSU award were deemed to have satisfied the service-based vesting condition as of his cessation date, and the remaining portion of the award was forfeited.</w:t>
      </w:r>
    </w:p>
    <w:p>
      <w:pPr>
        <w:spacing w:after="0" w:line="10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261</w:t>
      </w:r>
    </w:p>
    <w:p>
      <w:pPr>
        <w:sectPr>
          <w:pgSz w:w="11900" w:h="16838" w:orient="portrait"/>
          <w:cols w:equalWidth="0" w:num="1">
            <w:col w:w="10780"/>
          </w:cols>
          <w:pgMar w:left="320" w:top="440" w:right="79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Option Exercises and Stock Vested</w:t>
      </w:r>
    </w:p>
    <w:p>
      <w:pPr>
        <w:spacing w:after="0" w:line="214"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The following table shows certain information regarding stock option exercises and stock vested during the last fiscal year with respect to our named executive officers for the fiscal year ended December 31, 2022:</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530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2" w:lineRule="exact"/>
              <w:rPr>
                <w:sz w:val="20"/>
                <w:szCs w:val="20"/>
                <w:color w:val="auto"/>
              </w:rPr>
            </w:pPr>
            <w:r>
              <w:rPr>
                <w:rFonts w:ascii="Arial" w:cs="Arial" w:eastAsia="Arial" w:hAnsi="Arial"/>
                <w:sz w:val="12"/>
                <w:szCs w:val="12"/>
                <w:b w:val="1"/>
                <w:bCs w:val="1"/>
                <w:color w:val="auto"/>
              </w:rPr>
              <w:t>Number of</w:t>
            </w:r>
          </w:p>
        </w:tc>
        <w:tc>
          <w:tcPr>
            <w:tcW w:w="6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87"/>
              </w:rPr>
              <w:t>Shares</w:t>
            </w:r>
          </w:p>
        </w:tc>
        <w:tc>
          <w:tcPr>
            <w:tcW w:w="640" w:type="dxa"/>
            <w:vAlign w:val="bottom"/>
          </w:tcPr>
          <w:p>
            <w:pPr>
              <w:spacing w:after="0"/>
              <w:rPr>
                <w:sz w:val="12"/>
                <w:szCs w:val="12"/>
                <w:color w:val="auto"/>
              </w:rPr>
            </w:pP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4"/>
              </w:rPr>
              <w:t>Value Realized</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5"/>
              </w:rPr>
              <w:t>Acquired</w:t>
            </w:r>
          </w:p>
        </w:tc>
        <w:tc>
          <w:tcPr>
            <w:tcW w:w="6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5300" w:type="dxa"/>
            <w:vAlign w:val="bottom"/>
            <w:vMerge w:val="restart"/>
          </w:tcPr>
          <w:p>
            <w:pPr>
              <w:spacing w:after="0"/>
              <w:rPr>
                <w:sz w:val="12"/>
                <w:szCs w:val="12"/>
                <w:color w:val="auto"/>
              </w:rPr>
            </w:pPr>
          </w:p>
        </w:tc>
        <w:tc>
          <w:tcPr>
            <w:tcW w:w="66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87"/>
              </w:rPr>
              <w:t>on Vesting</w:t>
            </w:r>
          </w:p>
        </w:tc>
        <w:tc>
          <w:tcPr>
            <w:tcW w:w="640" w:type="dxa"/>
            <w:vAlign w:val="bottom"/>
          </w:tcPr>
          <w:p>
            <w:pPr>
              <w:spacing w:after="0"/>
              <w:rPr>
                <w:sz w:val="12"/>
                <w:szCs w:val="12"/>
                <w:color w:val="auto"/>
              </w:rPr>
            </w:pPr>
          </w:p>
        </w:tc>
        <w:tc>
          <w:tcPr>
            <w:tcW w:w="9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0"/>
              </w:rPr>
              <w:t>on Vesting</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5300" w:type="dxa"/>
            <w:vAlign w:val="bottom"/>
            <w:vMerge w:val="continue"/>
          </w:tcPr>
          <w:p>
            <w:pPr>
              <w:spacing w:after="0"/>
              <w:rPr>
                <w:sz w:val="14"/>
                <w:szCs w:val="14"/>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(1)</w:t>
            </w:r>
          </w:p>
        </w:tc>
        <w:tc>
          <w:tcPr>
            <w:tcW w:w="40" w:type="dxa"/>
            <w:vAlign w:val="bottom"/>
          </w:tcPr>
          <w:p>
            <w:pPr>
              <w:spacing w:after="0"/>
              <w:rPr>
                <w:sz w:val="14"/>
                <w:szCs w:val="14"/>
                <w:color w:val="auto"/>
              </w:rPr>
            </w:pPr>
          </w:p>
        </w:tc>
        <w:tc>
          <w:tcPr>
            <w:tcW w:w="1500" w:type="dxa"/>
            <w:vAlign w:val="bottom"/>
            <w:gridSpan w:val="2"/>
          </w:tcPr>
          <w:p>
            <w:pPr>
              <w:jc w:val="center"/>
              <w:ind w:left="567"/>
              <w:spacing w:after="0" w:line="147"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Fidji Simo</w:t>
            </w:r>
          </w:p>
        </w:tc>
        <w:tc>
          <w:tcPr>
            <w:tcW w:w="620" w:type="dxa"/>
            <w:vAlign w:val="bottom"/>
            <w:tcBorders>
              <w:top w:val="single" w:sz="8" w:color="auto"/>
            </w:tcBorders>
            <w:shd w:val="clear" w:color="auto" w:fill="CCEEFF"/>
          </w:tcPr>
          <w:p>
            <w:pPr>
              <w:ind w:left="380"/>
              <w:spacing w:after="0" w:line="188"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8"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rPr>
                <w:sz w:val="20"/>
                <w:szCs w:val="20"/>
                <w:color w:val="auto"/>
              </w:rPr>
            </w:pPr>
            <w:r>
              <w:rPr>
                <w:rFonts w:ascii="Arial" w:cs="Arial" w:eastAsia="Arial" w:hAnsi="Arial"/>
                <w:sz w:val="17"/>
                <w:szCs w:val="17"/>
                <w:color w:val="auto"/>
              </w:rPr>
              <w:t>Nick Giovanni</w:t>
            </w:r>
          </w:p>
        </w:tc>
        <w:tc>
          <w:tcPr>
            <w:tcW w:w="6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Asha Sharma</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rPr>
                <w:sz w:val="20"/>
                <w:szCs w:val="20"/>
                <w:color w:val="auto"/>
              </w:rPr>
            </w:pPr>
            <w:r>
              <w:rPr>
                <w:rFonts w:ascii="Arial" w:cs="Arial" w:eastAsia="Arial" w:hAnsi="Arial"/>
                <w:sz w:val="17"/>
                <w:szCs w:val="17"/>
                <w:color w:val="auto"/>
              </w:rPr>
              <w:t>Morgan Fong</w:t>
            </w:r>
          </w:p>
        </w:tc>
        <w:tc>
          <w:tcPr>
            <w:tcW w:w="6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Schaaf</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2"/>
              </w:rPr>
              <w:t>45,782</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1,381,701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hanging="403"/>
        <w:spacing w:after="0" w:line="233" w:lineRule="auto"/>
        <w:tabs>
          <w:tab w:leader="none" w:pos="86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Represents shares of common stock subject to an RSU award held by Mr. Schaaf, which vested in October 2022 in connection with his cessation of services with us in accordance with the acceleration provisions applicable to such RSU award. We issued the shares of common stock upon settlement of this RSU award in February 2023.</w:t>
      </w:r>
    </w:p>
    <w:p>
      <w:pPr>
        <w:ind w:left="860" w:right="140" w:hanging="403"/>
        <w:spacing w:after="0"/>
        <w:tabs>
          <w:tab w:leader="none" w:pos="86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As there was no public market for our common stock on the date the RSU award vested, the value realized on vesting reflected in the table above is based on the fair market value of our common stock of $30.18 per share on the vesting date as determined by our board of directors in good faith.</w:t>
      </w:r>
    </w:p>
    <w:p>
      <w:pPr>
        <w:spacing w:after="0" w:line="37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Employment and Severance Agreements</w:t>
      </w:r>
    </w:p>
    <w:p>
      <w:pPr>
        <w:spacing w:after="0" w:line="214"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i w:val="1"/>
          <w:iCs w:val="1"/>
          <w:color w:val="auto"/>
        </w:rPr>
        <w:t xml:space="preserve">Ms. Simo. </w:t>
      </w:r>
      <w:r>
        <w:rPr>
          <w:rFonts w:ascii="Arial" w:cs="Arial" w:eastAsia="Arial" w:hAnsi="Arial"/>
          <w:sz w:val="15"/>
          <w:szCs w:val="15"/>
          <w:color w:val="auto"/>
        </w:rPr>
        <w:t>We entered into an offer letter agreement with Ms. Simo in July 2021 in connection with her commencement of employment with us,</w:t>
      </w:r>
      <w:r>
        <w:rPr>
          <w:rFonts w:ascii="Arial" w:cs="Arial" w:eastAsia="Arial" w:hAnsi="Arial"/>
          <w:sz w:val="15"/>
          <w:szCs w:val="15"/>
          <w:i w:val="1"/>
          <w:iCs w:val="1"/>
          <w:color w:val="auto"/>
        </w:rPr>
        <w:t xml:space="preserve"> </w:t>
      </w:r>
      <w:r>
        <w:rPr>
          <w:rFonts w:ascii="Arial" w:cs="Arial" w:eastAsia="Arial" w:hAnsi="Arial"/>
          <w:sz w:val="15"/>
          <w:szCs w:val="15"/>
          <w:color w:val="auto"/>
        </w:rPr>
        <w:t>which was most recently amended and restated in December 2022. Pursuant to Ms. Simo’s offer letter agreement, Ms. Simo is entitled to an annual base salary of $500,000 and a cash retention award in the amount of $2,100,000. The retention award will generally be earned in three equal installments on the first, second, and third anniversaries of Ms. Simo’s employment start date, subject to certain repayment and forfeiture provisions. The first and second of these installments were advanced and paid in 2021 and 2022, respectively, and the third installment will be advanced and paid in 2023.</w:t>
      </w:r>
    </w:p>
    <w:p>
      <w:pPr>
        <w:spacing w:after="0" w:line="1"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Ms. Simo is eligible for annual equity awards beginning in 2022 and continuing through (and including) 2025, subject to approval by our board of directors and to Ms. Simo’s continued employment at the time of grant. In addition, we have agreed to prepare and pay filing fees and reasonable attorney’s fees incurred in the preparation of any filings under the Hart-Scott-Rodino Act that are required as a result of the vesting and settlement of the equity awards granted to Ms. Simo pursuant to her offer letter. The offer letter agreement also provides for certain severance and change in control benefits, as described in the section titled “—Potential Payments upon Termination or Change of Control.”</w:t>
      </w:r>
    </w:p>
    <w:p>
      <w:pPr>
        <w:spacing w:after="0" w:line="169" w:lineRule="exact"/>
        <w:rPr>
          <w:sz w:val="20"/>
          <w:szCs w:val="20"/>
          <w:color w:val="auto"/>
        </w:rPr>
      </w:pPr>
    </w:p>
    <w:p>
      <w:pPr>
        <w:ind w:left="460" w:right="260" w:firstLine="413"/>
        <w:spacing w:after="0" w:line="256" w:lineRule="auto"/>
        <w:rPr>
          <w:sz w:val="20"/>
          <w:szCs w:val="20"/>
          <w:color w:val="auto"/>
        </w:rPr>
      </w:pPr>
      <w:r>
        <w:rPr>
          <w:rFonts w:ascii="Arial" w:cs="Arial" w:eastAsia="Arial" w:hAnsi="Arial"/>
          <w:sz w:val="17"/>
          <w:szCs w:val="17"/>
          <w:i w:val="1"/>
          <w:iCs w:val="1"/>
          <w:color w:val="auto"/>
        </w:rPr>
        <w:t xml:space="preserve">Mr. Giovanni. </w:t>
      </w:r>
      <w:r>
        <w:rPr>
          <w:rFonts w:ascii="Arial" w:cs="Arial" w:eastAsia="Arial" w:hAnsi="Arial"/>
          <w:sz w:val="17"/>
          <w:szCs w:val="17"/>
          <w:color w:val="auto"/>
        </w:rPr>
        <w:t>We entered into a confirmatory offer letter agreement with Mr. Giovanni in July 2021, which was amended and restated in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2022. Mr. Giovanni’s offer letter agreement provides for a base salary of $500,000 per year, eligibility for an annual equity incentive RSU award for fiscal year 2023 and certain severance and change in control benefits pursuant to our Severance Plan, as described in the section titled “— Potential Payments upon Termination or Change of Control.”</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i w:val="1"/>
          <w:iCs w:val="1"/>
          <w:color w:val="auto"/>
        </w:rPr>
        <w:t xml:space="preserve">Ms. Sharma. </w:t>
      </w:r>
      <w:r>
        <w:rPr>
          <w:rFonts w:ascii="Arial" w:cs="Arial" w:eastAsia="Arial" w:hAnsi="Arial"/>
          <w:sz w:val="17"/>
          <w:szCs w:val="17"/>
          <w:color w:val="auto"/>
        </w:rPr>
        <w:t>We entered into a confirmatory offer letter agreement with Ms. Sharma in July 2021, which was amended and restated in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2022. Ms. Sharma’s offer letter agreement provides for a base salary of $500,000 per year, eligibility for an annual equity incentive RSU award for fiscal year 2023 and certain severance and change in control benefits pursuant to our Severance Plan, as described in the section titled “—Potential Payments upon Termination or Change of Control.”</w:t>
      </w:r>
    </w:p>
    <w:p>
      <w:pPr>
        <w:spacing w:after="0" w:line="179"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i w:val="1"/>
          <w:iCs w:val="1"/>
          <w:color w:val="auto"/>
        </w:rPr>
        <w:t xml:space="preserve">Mr. Fong. </w:t>
      </w:r>
      <w:r>
        <w:rPr>
          <w:rFonts w:ascii="Arial" w:cs="Arial" w:eastAsia="Arial" w:hAnsi="Arial"/>
          <w:sz w:val="17"/>
          <w:szCs w:val="17"/>
          <w:color w:val="auto"/>
        </w:rPr>
        <w:t>We entered into a confirmatory offer letter agreement with Mr. Fong in July 2021. Mr. Fong’s offer letter agreement provides for a base</w:t>
      </w:r>
      <w:r>
        <w:rPr>
          <w:rFonts w:ascii="Arial" w:cs="Arial" w:eastAsia="Arial" w:hAnsi="Arial"/>
          <w:sz w:val="17"/>
          <w:szCs w:val="17"/>
          <w:i w:val="1"/>
          <w:iCs w:val="1"/>
          <w:color w:val="auto"/>
        </w:rPr>
        <w:t xml:space="preserve"> </w:t>
      </w:r>
      <w:r>
        <w:rPr>
          <w:rFonts w:ascii="Arial" w:cs="Arial" w:eastAsia="Arial" w:hAnsi="Arial"/>
          <w:sz w:val="17"/>
          <w:szCs w:val="17"/>
          <w:color w:val="auto"/>
        </w:rPr>
        <w:t>salary of $500,000 per year and certain severance and change in control</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262</w:t>
      </w:r>
    </w:p>
    <w:p>
      <w:pPr>
        <w:sectPr>
          <w:pgSz w:w="11900" w:h="16838" w:orient="portrait"/>
          <w:cols w:equalWidth="0" w:num="1">
            <w:col w:w="10780"/>
          </w:cols>
          <w:pgMar w:left="320" w:top="440" w:right="799" w:bottom="1440" w:gutter="0" w:footer="0" w:header="0"/>
        </w:sectPr>
      </w:pPr>
    </w:p>
    <w:bookmarkStart w:id="272" w:name="page273"/>
    <w:bookmarkEnd w:id="2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benefits pursuant to our Severance Plan, as described in the section titled “—Potential Payments upon Termination or Change of Control.”</w:t>
      </w:r>
    </w:p>
    <w:p>
      <w:pPr>
        <w:spacing w:after="0" w:line="221"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i w:val="1"/>
          <w:iCs w:val="1"/>
          <w:color w:val="auto"/>
        </w:rPr>
        <w:t>Mr. Schaaf</w:t>
      </w:r>
      <w:r>
        <w:rPr>
          <w:rFonts w:ascii="Arial" w:cs="Arial" w:eastAsia="Arial" w:hAnsi="Arial"/>
          <w:sz w:val="17"/>
          <w:szCs w:val="17"/>
          <w:color w:val="auto"/>
        </w:rPr>
        <w:t>. We entered into a confirmatory offer letter agreement with Mr. Schaaf in July 2021. Mr. Schaaf’s offer letter agreement provided for a</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salary of $500,000 per year and certain severance and change in control benefits pursuant to our Severance Plan, as described in the section titled “—Potential Payments upon Termination or Change of Control.”</w:t>
      </w:r>
    </w:p>
    <w:p>
      <w:pPr>
        <w:spacing w:after="0" w:line="175" w:lineRule="exact"/>
        <w:rPr>
          <w:sz w:val="20"/>
          <w:szCs w:val="20"/>
          <w:color w:val="auto"/>
        </w:rPr>
      </w:pPr>
    </w:p>
    <w:p>
      <w:pPr>
        <w:ind w:left="460" w:right="220" w:firstLine="413"/>
        <w:spacing w:after="0" w:line="311" w:lineRule="auto"/>
        <w:rPr>
          <w:sz w:val="20"/>
          <w:szCs w:val="20"/>
          <w:color w:val="auto"/>
        </w:rPr>
      </w:pPr>
      <w:r>
        <w:rPr>
          <w:rFonts w:ascii="Arial" w:cs="Arial" w:eastAsia="Arial" w:hAnsi="Arial"/>
          <w:sz w:val="15"/>
          <w:szCs w:val="15"/>
          <w:color w:val="auto"/>
        </w:rPr>
        <w:t>On May 22, 2022, we entered into a Separation Agreement with Mr. Schaaf, pursuant to which Mr. Schaaf’s employment with us ceased on September 21, 2022, and Mr. Schaaf became entitled to receive the base salary continuation payments, COBRA premiums, and accelerated vesting of certain outstanding equity awards as described in the section titled “—Potential Payments upon Termination or Change of Control.”</w:t>
      </w:r>
    </w:p>
    <w:p>
      <w:pPr>
        <w:spacing w:after="0" w:line="33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Impact of Severance Plan on Equity Awards</w:t>
      </w:r>
    </w:p>
    <w:p>
      <w:pPr>
        <w:spacing w:after="0" w:line="214"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color w:val="auto"/>
        </w:rPr>
        <w:t>In July 2021, we adopted the Severance Plan, in which each of Mr. Giovanni, Ms. Sharma, and Mr. Fong is, and prior to his cessation of services with us, Mr. Schaaf was, eligible to participate. As described in the section titled “—Potential Payments upon Termination or Change of Control,” the Severance Plan provides for accelerated vesting of equity awards held by the applicable named executive officers in connection with certain terminations of employment.</w:t>
      </w:r>
    </w:p>
    <w:p>
      <w:pPr>
        <w:spacing w:after="0" w:line="37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14" w:lineRule="exact"/>
        <w:rPr>
          <w:sz w:val="20"/>
          <w:szCs w:val="20"/>
          <w:color w:val="auto"/>
        </w:rPr>
      </w:pPr>
    </w:p>
    <w:p>
      <w:pPr>
        <w:jc w:val="both"/>
        <w:ind w:left="460" w:right="100" w:firstLine="413"/>
        <w:spacing w:after="0" w:line="311" w:lineRule="auto"/>
        <w:rPr>
          <w:sz w:val="20"/>
          <w:szCs w:val="20"/>
          <w:color w:val="auto"/>
        </w:rPr>
      </w:pPr>
      <w:r>
        <w:rPr>
          <w:rFonts w:ascii="Arial" w:cs="Arial" w:eastAsia="Arial" w:hAnsi="Arial"/>
          <w:sz w:val="15"/>
          <w:szCs w:val="15"/>
          <w:color w:val="auto"/>
        </w:rPr>
        <w:t>Each of our named executive officers is eligible for severance benefits pursuant to their offer letters or based upon participation in our Severance Plan, as further described in the section titled “—Severance and Change in Control Plan.” In addition, each of our named executive officers hold equity awards that are subject to the terms of the equity incentive plan and award agreement thereunder under which such awards were granted.</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Offer Letter Terms</w:t>
      </w:r>
    </w:p>
    <w:p>
      <w:pPr>
        <w:spacing w:after="0" w:line="108"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i w:val="1"/>
          <w:iCs w:val="1"/>
          <w:color w:val="auto"/>
        </w:rPr>
        <w:t xml:space="preserve">Ms. Simo. </w:t>
      </w:r>
      <w:r>
        <w:rPr>
          <w:rFonts w:ascii="Arial" w:cs="Arial" w:eastAsia="Arial" w:hAnsi="Arial"/>
          <w:sz w:val="16"/>
          <w:szCs w:val="16"/>
          <w:color w:val="auto"/>
        </w:rPr>
        <w:t>Pursuant to her offer letter agreement, in the event of Ms. Simo’s involuntary termination, she will be eligible to receive a lump sum</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 equal to 24 months of base salary plus any remaining unpaid portion of the cash retention award provided in her offer letter agreement and reimbursement of the cost of premiums for continuation of group health insurance under COBRA for up to 24 months. If (i) such involuntary termination occurs outside of the period beginning six months prior to, and ending 12 months following, a change of control or (ii) Ms. Simo’s employment is terminated as a result of death or disability, then (x) the total number of shares of common stock subject to Ms. Simo’s new hire RSU award that were scheduled to vest during the 18-month period (or, if the termination occurs following the date of a qualifying change of control agreement, 24-month period) following such involuntary termination or death or disability, as applicable, will accelerate vesting and (y) the total number of shares of common stock subject to any then-unvested and outstanding annual award will accelerate vesting in full. If Ms. Simo’s involuntary termination occurs during the period beginning six months prior to, and ending 12 months following, a change of control, then Ms. Simo’s new hire RSU award and any annual award shall vest in full.</w:t>
      </w:r>
    </w:p>
    <w:p>
      <w:pPr>
        <w:spacing w:after="0" w:line="174"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To the extent Ms. Simo’s new hire RSU award or any annual award that Ms. Simo holds as of immediately prior to a change of control is not assumed, continued, or substituted for in such change of control, then, irrespective of whether Ms. Simo has incurred an involuntary termination, such unvested RSU award or annual award (as applicable) shall fully vest.</w:t>
      </w:r>
    </w:p>
    <w:p>
      <w:pPr>
        <w:spacing w:after="0" w:line="17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i w:val="1"/>
          <w:iCs w:val="1"/>
          <w:color w:val="auto"/>
        </w:rPr>
        <w:t>Mr. Giovanni</w:t>
      </w:r>
      <w:r>
        <w:rPr>
          <w:rFonts w:ascii="Arial" w:cs="Arial" w:eastAsia="Arial" w:hAnsi="Arial"/>
          <w:sz w:val="17"/>
          <w:szCs w:val="17"/>
          <w:color w:val="auto"/>
        </w:rPr>
        <w:t>. If Mr. Giovanni incurs an involuntary termination by us without cause (and not due to death or disability) or resigns for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period beginning three months before, and ending 12 months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263</w:t>
      </w:r>
    </w:p>
    <w:p>
      <w:pPr>
        <w:sectPr>
          <w:pgSz w:w="11900" w:h="16838" w:orient="portrait"/>
          <w:cols w:equalWidth="0" w:num="1">
            <w:col w:w="10780"/>
          </w:cols>
          <w:pgMar w:left="320" w:top="440" w:right="79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20"/>
        <w:spacing w:after="0" w:line="272" w:lineRule="auto"/>
        <w:rPr>
          <w:sz w:val="20"/>
          <w:szCs w:val="20"/>
          <w:color w:val="auto"/>
        </w:rPr>
      </w:pPr>
      <w:r>
        <w:rPr>
          <w:rFonts w:ascii="Arial" w:cs="Arial" w:eastAsia="Arial" w:hAnsi="Arial"/>
          <w:sz w:val="17"/>
          <w:szCs w:val="17"/>
          <w:color w:val="auto"/>
        </w:rPr>
        <w:t>following, a change of control, 100% of the shares subject to his January 2021 stock option will become vested and 100% of the shares of restricted stock that he received in January 2021 will be deemed to have met the service-based vesting condition.</w:t>
      </w:r>
    </w:p>
    <w:p>
      <w:pPr>
        <w:spacing w:after="0" w:line="165"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i w:val="1"/>
          <w:iCs w:val="1"/>
          <w:color w:val="auto"/>
        </w:rPr>
        <w:t xml:space="preserve">Ms. Sharma. </w:t>
      </w:r>
      <w:r>
        <w:rPr>
          <w:rFonts w:ascii="Arial" w:cs="Arial" w:eastAsia="Arial" w:hAnsi="Arial"/>
          <w:sz w:val="17"/>
          <w:szCs w:val="17"/>
          <w:color w:val="auto"/>
        </w:rPr>
        <w:t>If Ms. Sharma incurs an involuntary termination by us without cause (and not due to death or disability) or resigns for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in either case, outside the period beginning three months before, and ending 12 months following, a change of control, the total number of shares of common stock subject to Ms. Sharma’s April 2021 RSU award that were scheduled to vest during the 12-month period following such termination will accelerate vesting.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Severance and Change in Control Plan</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Each of Mr. Giovanni, Ms. Sharma, and Mr. Fong is, and prior to his cessation of services with us, Mr. Schaaf was, eligible to receive benefits under the terms of our Severance Plan. The Severance Plan provides for severance and/or change in control benefits to the participants upon (i) an “involuntary termination” or (ii) a “death/disability termination” (each as described below). Upon an involuntary termination, each participant is entitled to a lump sum payment equal to 12 months of his or her base salary, payment of COBRA premiums for up to 12 months and accelerated vesting of the outstanding time-vesting equity awards, including awards subject to the Liquidity Condition, that were granted to the participant on or after the effective date of the Severance Plan in an amount equal to a prorated portion of such equity award that was next scheduled to vest following the date of the participant’s involuntary termination. In addition, if a participant’s involuntary termination occurs during the three months prior to or the 12 months following the closing of a change in control transaction, such participant will be entitled to accelerated vesting of 100% of his or her outstanding time-vesting equity awards, including awards subject to the Liquidity Condition. To the extent an equity award is not assumed, continued or substituted for in the event of certain change in control transactions and either (i) the participant’s employment is not terminated as of immediately prior to such change in control or (ii) the participant incurred an involuntary termination within three months prior to such change in control transaction and the participant has satisfied the requirements for severance under the Severance Plan, the vesting of such equity award will also accelerate in full (and for equity awards subject to performance vesting, performance will be deemed to be achieved at the greater of target or actual performance, unless otherwise provided in individual award documents). To the extent an equity award is assumed, continued, or substituted for in the event of certain change in control transactions, (i) the vesting of time-vesting equity awards shall continue according to their terms and (ii) with respect to equity awards subject to performance vesting, performance will be deemed to be achieved at the greater of target or actual performance, unless otherwise provided in individual award documents, and the award shall continue to vest subject to the participant’s continued service. In addition, if a participant incurs a death/disability termination, such participant will be entitled to (i) accelerated vesting of 100% of his or her outstanding time-vesting equity awards that were granted on or after the effective date of the Severance Plan and (ii) accelerated vesting of equity awards subject to performance vesting at the greater of target or actual performance, unless otherwise provided in individual award documents. All benefits under the Severance Plan are subject to the executive’s execution of and compliance with the terms and conditions of the Severance Plan, an effective release of claims against the company and the company’s standard proprietary information and inventions agreement.</w:t>
      </w:r>
    </w:p>
    <w:p>
      <w:pPr>
        <w:spacing w:after="0" w:line="170"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For purposes of the Severance Plan, a “involuntary termination” is a termination by the company without cause (and other than as a result of death or disability) or a resignation for good reason (as defined in the Severance Plan or, for Mr. Giovanni and Ms. Sharma, as defined in their respective participation agreements). A “death/disability termination” is a termination that occurs due to a participant’s death or disability (as defined in the Severance Plan).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PSU Awards</w:t>
      </w:r>
    </w:p>
    <w:p>
      <w:pPr>
        <w:spacing w:after="0" w:line="108" w:lineRule="exact"/>
        <w:rPr>
          <w:sz w:val="20"/>
          <w:szCs w:val="20"/>
          <w:color w:val="auto"/>
        </w:rPr>
      </w:pPr>
    </w:p>
    <w:p>
      <w:pPr>
        <w:ind w:left="460" w:right="540" w:firstLine="413"/>
        <w:spacing w:after="0" w:line="272" w:lineRule="auto"/>
        <w:rPr>
          <w:sz w:val="20"/>
          <w:szCs w:val="20"/>
          <w:color w:val="auto"/>
        </w:rPr>
      </w:pPr>
      <w:r>
        <w:rPr>
          <w:rFonts w:ascii="Arial" w:cs="Arial" w:eastAsia="Arial" w:hAnsi="Arial"/>
          <w:sz w:val="17"/>
          <w:szCs w:val="17"/>
          <w:color w:val="auto"/>
        </w:rPr>
        <w:t>Pursuant to the award agreements evidencing their respective PSU awards, each of Ms. Simo, Mr. Giovanni, and Ms. Sharma is entitled to potential vesting acceleration in the event that a change in control transaction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264</w:t>
      </w:r>
    </w:p>
    <w:p>
      <w:pPr>
        <w:sectPr>
          <w:pgSz w:w="11900" w:h="16838" w:orient="portrait"/>
          <w:cols w:equalWidth="0" w:num="1">
            <w:col w:w="10760"/>
          </w:cols>
          <w:pgMar w:left="320" w:top="440" w:right="81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269" w:lineRule="auto"/>
        <w:rPr>
          <w:sz w:val="20"/>
          <w:szCs w:val="20"/>
          <w:color w:val="auto"/>
        </w:rPr>
      </w:pPr>
      <w:r>
        <w:rPr>
          <w:rFonts w:ascii="Arial" w:cs="Arial" w:eastAsia="Arial" w:hAnsi="Arial"/>
          <w:sz w:val="16"/>
          <w:szCs w:val="16"/>
          <w:color w:val="auto"/>
        </w:rPr>
        <w:t>occurs during the performance period. If a change in control transaction occurs during the performance period, (i) if not already achieved, the first performance goal will be deemed achieved upon the closing of the change in control transaction and the corresponding number of shares subject to the PSU awards will vest, and (ii) our market capitalization will be measured as of immediately prior to closing of the change in control transaction, based on the fair market value of the securities, cash, or other property received in such change in control transaction, and to the extent the market capitalization goals are achieved, the corresponding number of shares subject to the PSU awards will vest. In addition, if Ms. Simo, Mr. Giovanni, or Ms. Sharma experiences an involuntary termination by us without cause or a resignation for good reason, in either case, within three months prior to a change in control transaction, the PSU awards will remain outstanding following such involuntary termination as necessary to give effect to the potential vesting acceleration upon a change in control transaction.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Separation Agreement with Mr. Schaaf</w:t>
      </w:r>
    </w:p>
    <w:p>
      <w:pPr>
        <w:spacing w:after="0" w:line="108" w:lineRule="exact"/>
        <w:rPr>
          <w:sz w:val="20"/>
          <w:szCs w:val="20"/>
          <w:color w:val="auto"/>
        </w:rPr>
      </w:pPr>
    </w:p>
    <w:p>
      <w:pPr>
        <w:ind w:left="460" w:right="440" w:firstLine="413"/>
        <w:spacing w:after="0" w:line="256" w:lineRule="auto"/>
        <w:rPr>
          <w:sz w:val="20"/>
          <w:szCs w:val="20"/>
          <w:color w:val="auto"/>
        </w:rPr>
      </w:pPr>
      <w:r>
        <w:rPr>
          <w:rFonts w:ascii="Arial" w:cs="Arial" w:eastAsia="Arial" w:hAnsi="Arial"/>
          <w:sz w:val="17"/>
          <w:szCs w:val="17"/>
          <w:color w:val="auto"/>
        </w:rPr>
        <w:t>We entered into a separation agreement with Mr. Schaaf whereby we agreed to a mutual separation of Mr. Schaaf’s employment with us in September 2022. Pursuant to the separation agreement, Mr. Schaaf was entitled to receive the benefits under the Severance Plan for an involuntary termination, as described above. In addition to providing for the foregoing payments and benefits, the separation agreement also provides for a customary release of claims.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Potential Payments Table</w:t>
      </w:r>
    </w:p>
    <w:p>
      <w:pPr>
        <w:spacing w:after="0" w:line="108" w:lineRule="exact"/>
        <w:rPr>
          <w:sz w:val="20"/>
          <w:szCs w:val="20"/>
          <w:color w:val="auto"/>
        </w:rPr>
      </w:pPr>
    </w:p>
    <w:p>
      <w:pPr>
        <w:ind w:left="460" w:right="260" w:firstLine="413"/>
        <w:spacing w:after="0" w:line="296" w:lineRule="auto"/>
        <w:rPr>
          <w:sz w:val="20"/>
          <w:szCs w:val="20"/>
          <w:color w:val="auto"/>
        </w:rPr>
      </w:pPr>
      <w:r>
        <w:rPr>
          <w:rFonts w:ascii="Arial" w:cs="Arial" w:eastAsia="Arial" w:hAnsi="Arial"/>
          <w:sz w:val="15"/>
          <w:szCs w:val="15"/>
          <w:color w:val="auto"/>
        </w:rPr>
        <w:t>The following table presents information concerning estimated payments and benefits that would be provided in the circumstances described above for each of the named executive officers serving as of the end of the fiscal year ended December 31, 2022. The payments and benefits set forth below are estimated assuming that the termination or change in control event occurred on the last business day of our fiscal year ended December 31, 2022 and that the price per share of common stock was equal to $30.18 as of that date. Actual payments and benefits could be different if such events were to occur on any other date or at any other price or if any other assumptions are used to estimate potential payments and benefits.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2"/>
              </w:rPr>
              <w:t>Involuntary Termination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2"/>
              </w:rPr>
              <w:t>Involuntary Termination in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0"/>
              </w:rPr>
              <w:t>Outside a Change in Control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60" w:type="dxa"/>
            <w:vAlign w:val="bottom"/>
            <w:gridSpan w:val="5"/>
          </w:tcPr>
          <w:p>
            <w:pPr>
              <w:jc w:val="center"/>
              <w:spacing w:after="0"/>
              <w:rPr>
                <w:sz w:val="20"/>
                <w:szCs w:val="20"/>
                <w:color w:val="auto"/>
              </w:rPr>
            </w:pPr>
            <w:r>
              <w:rPr>
                <w:rFonts w:ascii="Arial" w:cs="Arial" w:eastAsia="Arial" w:hAnsi="Arial"/>
                <w:sz w:val="11"/>
                <w:szCs w:val="11"/>
                <w:b w:val="1"/>
                <w:bCs w:val="1"/>
                <w:color w:val="auto"/>
                <w:w w:val="90"/>
              </w:rPr>
              <w:t>Connection with a Change in Control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6"/>
          </w:tcPr>
          <w:p>
            <w:pPr>
              <w:jc w:val="center"/>
              <w:ind w:right="40"/>
              <w:spacing w:after="0"/>
              <w:rPr>
                <w:sz w:val="20"/>
                <w:szCs w:val="20"/>
                <w:color w:val="auto"/>
              </w:rPr>
            </w:pPr>
            <w:r>
              <w:rPr>
                <w:rFonts w:ascii="Arial" w:cs="Arial" w:eastAsia="Arial" w:hAnsi="Arial"/>
                <w:sz w:val="11"/>
                <w:szCs w:val="11"/>
                <w:b w:val="1"/>
                <w:bCs w:val="1"/>
                <w:color w:val="auto"/>
                <w:w w:val="93"/>
              </w:rPr>
              <w:t>Death or Disability of NEO</w:t>
            </w:r>
          </w:p>
        </w:tc>
        <w:tc>
          <w:tcPr>
            <w:tcW w:w="0" w:type="dxa"/>
            <w:vAlign w:val="bottom"/>
          </w:tcPr>
          <w:p>
            <w:pPr>
              <w:spacing w:after="0"/>
              <w:rPr>
                <w:sz w:val="1"/>
                <w:szCs w:val="1"/>
                <w:color w:val="auto"/>
              </w:rPr>
            </w:pPr>
          </w:p>
        </w:tc>
      </w:tr>
      <w:tr>
        <w:trPr>
          <w:trHeight w:val="111"/>
        </w:trPr>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99"/>
              </w:rPr>
              <w:t>COBRA</w:t>
            </w: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99"/>
              </w:rPr>
              <w:t>COBRA</w:t>
            </w: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0" w:type="dxa"/>
            <w:vAlign w:val="bottom"/>
            <w:gridSpan w:val="2"/>
          </w:tcPr>
          <w:p>
            <w:pPr>
              <w:jc w:val="center"/>
              <w:ind w:right="193"/>
              <w:spacing w:after="0"/>
              <w:rPr>
                <w:sz w:val="20"/>
                <w:szCs w:val="20"/>
                <w:color w:val="auto"/>
              </w:rPr>
            </w:pPr>
            <w:r>
              <w:rPr>
                <w:rFonts w:ascii="Arial" w:cs="Arial" w:eastAsia="Arial" w:hAnsi="Arial"/>
                <w:sz w:val="11"/>
                <w:szCs w:val="11"/>
                <w:b w:val="1"/>
                <w:bCs w:val="1"/>
                <w:color w:val="auto"/>
                <w:w w:val="89"/>
              </w:rPr>
              <w:t>Cash</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Premium</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89"/>
              <w:spacing w:after="0"/>
              <w:rPr>
                <w:sz w:val="20"/>
                <w:szCs w:val="20"/>
                <w:color w:val="auto"/>
              </w:rPr>
            </w:pPr>
            <w:r>
              <w:rPr>
                <w:rFonts w:ascii="Arial" w:cs="Arial" w:eastAsia="Arial" w:hAnsi="Arial"/>
                <w:sz w:val="11"/>
                <w:szCs w:val="11"/>
                <w:b w:val="1"/>
                <w:bCs w:val="1"/>
                <w:color w:val="auto"/>
                <w:w w:val="89"/>
              </w:rPr>
              <w:t>Cash</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Premium</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93"/>
              <w:spacing w:after="0"/>
              <w:rPr>
                <w:sz w:val="20"/>
                <w:szCs w:val="20"/>
                <w:color w:val="auto"/>
              </w:rPr>
            </w:pPr>
            <w:r>
              <w:rPr>
                <w:rFonts w:ascii="Arial" w:cs="Arial" w:eastAsia="Arial" w:hAnsi="Arial"/>
                <w:sz w:val="11"/>
                <w:szCs w:val="11"/>
                <w:b w:val="1"/>
                <w:bCs w:val="1"/>
                <w:color w:val="auto"/>
                <w:w w:val="81"/>
              </w:rPr>
              <w:t>Cash</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86"/>
              </w:rPr>
              <w:t>Name</w:t>
            </w:r>
          </w:p>
        </w:tc>
        <w:tc>
          <w:tcPr>
            <w:tcW w:w="1660" w:type="dxa"/>
            <w:vAlign w:val="bottom"/>
            <w:vMerge w:val="restart"/>
          </w:tcPr>
          <w:p>
            <w:pPr>
              <w:spacing w:after="0"/>
              <w:rPr>
                <w:sz w:val="11"/>
                <w:szCs w:val="11"/>
                <w:color w:val="auto"/>
              </w:rPr>
            </w:pPr>
          </w:p>
        </w:tc>
        <w:tc>
          <w:tcPr>
            <w:tcW w:w="800" w:type="dxa"/>
            <w:vAlign w:val="bottom"/>
            <w:gridSpan w:val="2"/>
          </w:tcPr>
          <w:p>
            <w:pPr>
              <w:jc w:val="center"/>
              <w:ind w:right="193"/>
              <w:spacing w:after="0"/>
              <w:rPr>
                <w:sz w:val="20"/>
                <w:szCs w:val="20"/>
                <w:color w:val="auto"/>
              </w:rPr>
            </w:pPr>
            <w:r>
              <w:rPr>
                <w:rFonts w:ascii="Arial" w:cs="Arial" w:eastAsia="Arial" w:hAnsi="Arial"/>
                <w:sz w:val="11"/>
                <w:szCs w:val="11"/>
                <w:b w:val="1"/>
                <w:bCs w:val="1"/>
                <w:color w:val="auto"/>
                <w:w w:val="87"/>
              </w:rPr>
              <w:t>Severance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6"/>
              </w:rPr>
              <w:t>Reimbursement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Acceleration</w:t>
            </w: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jc w:val="center"/>
              <w:ind w:right="189"/>
              <w:spacing w:after="0"/>
              <w:rPr>
                <w:sz w:val="20"/>
                <w:szCs w:val="20"/>
                <w:color w:val="auto"/>
              </w:rPr>
            </w:pPr>
            <w:r>
              <w:rPr>
                <w:rFonts w:ascii="Arial" w:cs="Arial" w:eastAsia="Arial" w:hAnsi="Arial"/>
                <w:sz w:val="11"/>
                <w:szCs w:val="11"/>
                <w:b w:val="1"/>
                <w:bCs w:val="1"/>
                <w:color w:val="auto"/>
                <w:w w:val="87"/>
              </w:rPr>
              <w:t>Severance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6"/>
              </w:rPr>
              <w:t>Reimbursement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Acceleration</w:t>
            </w: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tcPr>
          <w:p>
            <w:pPr>
              <w:jc w:val="center"/>
              <w:ind w:right="193"/>
              <w:spacing w:after="0"/>
              <w:rPr>
                <w:sz w:val="20"/>
                <w:szCs w:val="20"/>
                <w:color w:val="auto"/>
              </w:rPr>
            </w:pPr>
            <w:r>
              <w:rPr>
                <w:rFonts w:ascii="Arial" w:cs="Arial" w:eastAsia="Arial" w:hAnsi="Arial"/>
                <w:sz w:val="11"/>
                <w:szCs w:val="11"/>
                <w:b w:val="1"/>
                <w:bCs w:val="1"/>
                <w:color w:val="auto"/>
                <w:w w:val="83"/>
              </w:rPr>
              <w:t>Severance</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Acceleration</w:t>
            </w: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280" w:type="dxa"/>
            <w:vAlign w:val="bottom"/>
            <w:tcBorders>
              <w:bottom w:val="single" w:sz="8" w:color="auto"/>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w:t>
            </w:r>
          </w:p>
        </w:tc>
        <w:tc>
          <w:tcPr>
            <w:tcW w:w="240" w:type="dxa"/>
            <w:vAlign w:val="bottom"/>
          </w:tcPr>
          <w:p>
            <w:pPr>
              <w:spacing w:after="0"/>
              <w:rPr>
                <w:sz w:val="12"/>
                <w:szCs w:val="12"/>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6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2"/>
                <w:szCs w:val="12"/>
                <w:color w:val="auto"/>
              </w:rPr>
            </w:pPr>
          </w:p>
        </w:tc>
        <w:tc>
          <w:tcPr>
            <w:tcW w:w="600" w:type="dxa"/>
            <w:vAlign w:val="bottom"/>
          </w:tcPr>
          <w:p>
            <w:pPr>
              <w:jc w:val="right"/>
              <w:ind w:right="180"/>
              <w:spacing w:after="0" w:line="123"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w:t>
            </w:r>
          </w:p>
        </w:tc>
        <w:tc>
          <w:tcPr>
            <w:tcW w:w="240" w:type="dxa"/>
            <w:vAlign w:val="bottom"/>
          </w:tcPr>
          <w:p>
            <w:pPr>
              <w:spacing w:after="0"/>
              <w:rPr>
                <w:sz w:val="12"/>
                <w:szCs w:val="12"/>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6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2"/>
                <w:szCs w:val="12"/>
                <w:color w:val="auto"/>
              </w:rPr>
            </w:pPr>
          </w:p>
        </w:tc>
        <w:tc>
          <w:tcPr>
            <w:tcW w:w="600" w:type="dxa"/>
            <w:vAlign w:val="bottom"/>
          </w:tcPr>
          <w:p>
            <w:pPr>
              <w:jc w:val="right"/>
              <w:ind w:right="180"/>
              <w:spacing w:after="0" w:line="123"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6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2"/>
                <w:szCs w:val="12"/>
                <w:color w:val="auto"/>
              </w:rPr>
            </w:pPr>
          </w:p>
        </w:tc>
        <w:tc>
          <w:tcPr>
            <w:tcW w:w="620" w:type="dxa"/>
            <w:vAlign w:val="bottom"/>
          </w:tcPr>
          <w:p>
            <w:pPr>
              <w:jc w:val="right"/>
              <w:ind w:right="180"/>
              <w:spacing w:after="0" w:line="123"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2"/>
                <w:szCs w:val="12"/>
                <w:color w:val="auto"/>
              </w:rPr>
              <w:t>Fidji Simo</w:t>
            </w:r>
          </w:p>
        </w:tc>
        <w:tc>
          <w:tcPr>
            <w:tcW w:w="5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3"/>
              </w:rPr>
              <w:t>1,700,000</w:t>
            </w:r>
          </w:p>
        </w:tc>
        <w:tc>
          <w:tcPr>
            <w:tcW w:w="240" w:type="dxa"/>
            <w:vAlign w:val="bottom"/>
            <w:tcBorders>
              <w:top w:val="single" w:sz="8" w:color="CCEEFF"/>
            </w:tcBorders>
            <w:shd w:val="clear" w:color="auto" w:fill="CCEEFF"/>
          </w:tcPr>
          <w:p>
            <w:pPr>
              <w:jc w:val="right"/>
              <w:ind w:right="93"/>
              <w:spacing w:after="0" w:line="102" w:lineRule="exact"/>
              <w:rPr>
                <w:sz w:val="20"/>
                <w:szCs w:val="20"/>
                <w:color w:val="auto"/>
              </w:rPr>
            </w:pPr>
            <w:r>
              <w:rPr>
                <w:rFonts w:ascii="Arial" w:cs="Arial" w:eastAsia="Arial" w:hAnsi="Arial"/>
                <w:sz w:val="9"/>
                <w:szCs w:val="9"/>
                <w:color w:val="auto"/>
                <w:w w:val="72"/>
              </w:rPr>
              <w:t>(1)</w:t>
            </w: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48,883</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9"/>
              </w:rPr>
              <w:t>10,192,782</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9"/>
              </w:rPr>
              <w:t>11,941,665</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3"/>
              </w:rPr>
              <w:t>1,700,000</w:t>
            </w:r>
          </w:p>
        </w:tc>
        <w:tc>
          <w:tcPr>
            <w:tcW w:w="240" w:type="dxa"/>
            <w:vAlign w:val="bottom"/>
            <w:tcBorders>
              <w:top w:val="single" w:sz="8" w:color="CCEEFF"/>
            </w:tcBorders>
            <w:shd w:val="clear" w:color="auto" w:fill="CCEEFF"/>
          </w:tcPr>
          <w:p>
            <w:pPr>
              <w:jc w:val="right"/>
              <w:ind w:right="89"/>
              <w:spacing w:after="0" w:line="102" w:lineRule="exact"/>
              <w:rPr>
                <w:sz w:val="20"/>
                <w:szCs w:val="20"/>
                <w:color w:val="auto"/>
              </w:rPr>
            </w:pPr>
            <w:r>
              <w:rPr>
                <w:rFonts w:ascii="Arial" w:cs="Arial" w:eastAsia="Arial" w:hAnsi="Arial"/>
                <w:sz w:val="9"/>
                <w:szCs w:val="9"/>
                <w:color w:val="auto"/>
                <w:w w:val="72"/>
              </w:rPr>
              <w:t>(1)</w:t>
            </w: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48,883</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9"/>
              </w:rPr>
              <w:t>26,489,982</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9"/>
              </w:rPr>
              <w:t>28,238,865</w:t>
            </w: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7"/>
              </w:rPr>
              <w:t>700,000</w:t>
            </w:r>
          </w:p>
        </w:tc>
        <w:tc>
          <w:tcPr>
            <w:tcW w:w="260" w:type="dxa"/>
            <w:vAlign w:val="bottom"/>
            <w:tcBorders>
              <w:top w:val="single" w:sz="8" w:color="CCEEFF"/>
            </w:tcBorders>
            <w:shd w:val="clear" w:color="auto" w:fill="CCEEFF"/>
          </w:tcPr>
          <w:p>
            <w:pPr>
              <w:jc w:val="right"/>
              <w:ind w:right="93"/>
              <w:spacing w:after="0" w:line="102" w:lineRule="exact"/>
              <w:rPr>
                <w:sz w:val="20"/>
                <w:szCs w:val="20"/>
                <w:color w:val="auto"/>
              </w:rPr>
            </w:pPr>
            <w:r>
              <w:rPr>
                <w:rFonts w:ascii="Arial" w:cs="Arial" w:eastAsia="Arial" w:hAnsi="Arial"/>
                <w:sz w:val="9"/>
                <w:szCs w:val="9"/>
                <w:color w:val="auto"/>
                <w:w w:val="90"/>
              </w:rPr>
              <w:t>(1)</w:t>
            </w: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89"/>
              </w:rPr>
              <w:t>10,192,782</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2"/>
              </w:rPr>
              <w:t>10,892,782</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40" w:type="dxa"/>
            <w:vAlign w:val="bottom"/>
            <w:gridSpan w:val="2"/>
          </w:tcPr>
          <w:p>
            <w:pPr>
              <w:spacing w:after="0"/>
              <w:rPr>
                <w:sz w:val="20"/>
                <w:szCs w:val="20"/>
                <w:color w:val="auto"/>
              </w:rPr>
            </w:pPr>
            <w:r>
              <w:rPr>
                <w:rFonts w:ascii="Arial" w:cs="Arial" w:eastAsia="Arial" w:hAnsi="Arial"/>
                <w:sz w:val="12"/>
                <w:szCs w:val="12"/>
                <w:color w:val="auto"/>
              </w:rPr>
              <w:t>Nick Giovanni</w:t>
            </w:r>
          </w:p>
        </w:tc>
        <w:tc>
          <w:tcPr>
            <w:tcW w:w="800" w:type="dxa"/>
            <w:vAlign w:val="bottom"/>
            <w:gridSpan w:val="2"/>
          </w:tcPr>
          <w:p>
            <w:pPr>
              <w:jc w:val="right"/>
              <w:ind w:right="193"/>
              <w:spacing w:after="0" w:line="139" w:lineRule="exact"/>
              <w:rPr>
                <w:sz w:val="20"/>
                <w:szCs w:val="20"/>
                <w:color w:val="auto"/>
              </w:rPr>
            </w:pPr>
            <w:r>
              <w:rPr>
                <w:rFonts w:ascii="Arial" w:cs="Arial" w:eastAsia="Arial" w:hAnsi="Arial"/>
                <w:sz w:val="13"/>
                <w:szCs w:val="13"/>
                <w:color w:val="auto"/>
              </w:rPr>
              <w:t>500,000</w:t>
            </w:r>
          </w:p>
        </w:tc>
        <w:tc>
          <w:tcPr>
            <w:tcW w:w="88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24,442</w:t>
            </w:r>
          </w:p>
        </w:tc>
        <w:tc>
          <w:tcPr>
            <w:tcW w:w="74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112,134</w:t>
            </w: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636,576</w:t>
            </w:r>
          </w:p>
        </w:tc>
        <w:tc>
          <w:tcPr>
            <w:tcW w:w="800" w:type="dxa"/>
            <w:vAlign w:val="bottom"/>
            <w:gridSpan w:val="2"/>
          </w:tcPr>
          <w:p>
            <w:pPr>
              <w:jc w:val="right"/>
              <w:ind w:right="189"/>
              <w:spacing w:after="0" w:line="139" w:lineRule="exact"/>
              <w:rPr>
                <w:sz w:val="20"/>
                <w:szCs w:val="20"/>
                <w:color w:val="auto"/>
              </w:rPr>
            </w:pPr>
            <w:r>
              <w:rPr>
                <w:rFonts w:ascii="Arial" w:cs="Arial" w:eastAsia="Arial" w:hAnsi="Arial"/>
                <w:sz w:val="13"/>
                <w:szCs w:val="13"/>
                <w:color w:val="auto"/>
              </w:rPr>
              <w:t>500,000</w:t>
            </w:r>
          </w:p>
        </w:tc>
        <w:tc>
          <w:tcPr>
            <w:tcW w:w="88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24,442</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w w:val="89"/>
              </w:rPr>
              <w:t>14,457,548</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w w:val="89"/>
              </w:rPr>
              <w:t>14,981,990</w:t>
            </w:r>
          </w:p>
        </w:tc>
        <w:tc>
          <w:tcPr>
            <w:tcW w:w="74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3,140,048</w:t>
            </w: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3,140,048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Asha Sharma</w:t>
            </w:r>
          </w:p>
        </w:tc>
        <w:tc>
          <w:tcPr>
            <w:tcW w:w="800" w:type="dxa"/>
            <w:vAlign w:val="bottom"/>
            <w:gridSpan w:val="2"/>
            <w:shd w:val="clear" w:color="auto" w:fill="CCEEFF"/>
          </w:tcPr>
          <w:p>
            <w:pPr>
              <w:jc w:val="right"/>
              <w:ind w:right="193"/>
              <w:spacing w:after="0" w:line="139" w:lineRule="exact"/>
              <w:rPr>
                <w:sz w:val="20"/>
                <w:szCs w:val="20"/>
                <w:color w:val="auto"/>
              </w:rPr>
            </w:pPr>
            <w:r>
              <w:rPr>
                <w:rFonts w:ascii="Arial" w:cs="Arial" w:eastAsia="Arial" w:hAnsi="Arial"/>
                <w:sz w:val="13"/>
                <w:szCs w:val="13"/>
                <w:color w:val="auto"/>
              </w:rPr>
              <w:t>500,000</w:t>
            </w:r>
          </w:p>
        </w:tc>
        <w:tc>
          <w:tcPr>
            <w:tcW w:w="8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14,903</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7,683,255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8,198,158</w:t>
            </w:r>
          </w:p>
        </w:tc>
        <w:tc>
          <w:tcPr>
            <w:tcW w:w="800" w:type="dxa"/>
            <w:vAlign w:val="bottom"/>
            <w:gridSpan w:val="2"/>
            <w:shd w:val="clear" w:color="auto" w:fill="CCEEFF"/>
          </w:tcPr>
          <w:p>
            <w:pPr>
              <w:jc w:val="right"/>
              <w:ind w:right="189"/>
              <w:spacing w:after="0" w:line="139" w:lineRule="exact"/>
              <w:rPr>
                <w:sz w:val="20"/>
                <w:szCs w:val="20"/>
                <w:color w:val="auto"/>
              </w:rPr>
            </w:pPr>
            <w:r>
              <w:rPr>
                <w:rFonts w:ascii="Arial" w:cs="Arial" w:eastAsia="Arial" w:hAnsi="Arial"/>
                <w:sz w:val="13"/>
                <w:szCs w:val="13"/>
                <w:color w:val="auto"/>
              </w:rPr>
              <w:t>500,000</w:t>
            </w:r>
          </w:p>
        </w:tc>
        <w:tc>
          <w:tcPr>
            <w:tcW w:w="8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14,903</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9"/>
              </w:rPr>
              <w:t>26,279,960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w w:val="89"/>
              </w:rPr>
              <w:t>26,794,863</w:t>
            </w:r>
          </w:p>
        </w:tc>
        <w:tc>
          <w:tcPr>
            <w:tcW w:w="74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3,871,310</w:t>
            </w: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3,871,310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40" w:type="dxa"/>
            <w:vAlign w:val="bottom"/>
            <w:gridSpan w:val="2"/>
          </w:tcPr>
          <w:p>
            <w:pPr>
              <w:spacing w:after="0"/>
              <w:rPr>
                <w:sz w:val="20"/>
                <w:szCs w:val="20"/>
                <w:color w:val="auto"/>
              </w:rPr>
            </w:pPr>
            <w:r>
              <w:rPr>
                <w:rFonts w:ascii="Arial" w:cs="Arial" w:eastAsia="Arial" w:hAnsi="Arial"/>
                <w:sz w:val="12"/>
                <w:szCs w:val="12"/>
                <w:color w:val="auto"/>
              </w:rPr>
              <w:t>Morgan Fong</w:t>
            </w:r>
          </w:p>
        </w:tc>
        <w:tc>
          <w:tcPr>
            <w:tcW w:w="800" w:type="dxa"/>
            <w:vAlign w:val="bottom"/>
            <w:gridSpan w:val="2"/>
          </w:tcPr>
          <w:p>
            <w:pPr>
              <w:jc w:val="right"/>
              <w:ind w:right="193"/>
              <w:spacing w:after="0"/>
              <w:rPr>
                <w:sz w:val="20"/>
                <w:szCs w:val="20"/>
                <w:color w:val="auto"/>
              </w:rPr>
            </w:pPr>
            <w:r>
              <w:rPr>
                <w:rFonts w:ascii="Arial" w:cs="Arial" w:eastAsia="Arial" w:hAnsi="Arial"/>
                <w:sz w:val="13"/>
                <w:szCs w:val="13"/>
                <w:color w:val="auto"/>
              </w:rPr>
              <w:t>500,000</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14,903</w:t>
            </w:r>
          </w:p>
        </w:tc>
        <w:tc>
          <w:tcPr>
            <w:tcW w:w="600" w:type="dxa"/>
            <w:vAlign w:val="bottom"/>
          </w:tcPr>
          <w:p>
            <w:pPr>
              <w:jc w:val="right"/>
              <w:spacing w:after="0"/>
              <w:rPr>
                <w:sz w:val="20"/>
                <w:szCs w:val="20"/>
                <w:color w:val="auto"/>
              </w:rPr>
            </w:pPr>
            <w:r>
              <w:rPr>
                <w:rFonts w:ascii="Arial" w:cs="Arial" w:eastAsia="Arial" w:hAnsi="Arial"/>
                <w:sz w:val="13"/>
                <w:szCs w:val="13"/>
                <w:color w:val="auto"/>
              </w:rPr>
              <w:t>107,109</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622,012</w:t>
            </w:r>
          </w:p>
        </w:tc>
        <w:tc>
          <w:tcPr>
            <w:tcW w:w="800" w:type="dxa"/>
            <w:vAlign w:val="bottom"/>
            <w:gridSpan w:val="2"/>
          </w:tcPr>
          <w:p>
            <w:pPr>
              <w:jc w:val="right"/>
              <w:ind w:right="189"/>
              <w:spacing w:after="0"/>
              <w:rPr>
                <w:sz w:val="20"/>
                <w:szCs w:val="20"/>
                <w:color w:val="auto"/>
              </w:rPr>
            </w:pPr>
            <w:r>
              <w:rPr>
                <w:rFonts w:ascii="Arial" w:cs="Arial" w:eastAsia="Arial" w:hAnsi="Arial"/>
                <w:sz w:val="13"/>
                <w:szCs w:val="13"/>
                <w:color w:val="auto"/>
              </w:rPr>
              <w:t>500,000</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14,903</w:t>
            </w:r>
          </w:p>
        </w:tc>
        <w:tc>
          <w:tcPr>
            <w:tcW w:w="600" w:type="dxa"/>
            <w:vAlign w:val="bottom"/>
          </w:tcPr>
          <w:p>
            <w:pPr>
              <w:jc w:val="right"/>
              <w:spacing w:after="0"/>
              <w:rPr>
                <w:sz w:val="20"/>
                <w:szCs w:val="20"/>
                <w:color w:val="auto"/>
              </w:rPr>
            </w:pPr>
            <w:r>
              <w:rPr>
                <w:rFonts w:ascii="Arial" w:cs="Arial" w:eastAsia="Arial" w:hAnsi="Arial"/>
                <w:sz w:val="13"/>
                <w:szCs w:val="13"/>
                <w:color w:val="auto"/>
              </w:rPr>
              <w:t>5,042,596</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5,557,499</w:t>
            </w:r>
          </w:p>
        </w:tc>
        <w:tc>
          <w:tcPr>
            <w:tcW w:w="7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2,754,559</w:t>
            </w:r>
          </w:p>
        </w:tc>
        <w:tc>
          <w:tcPr>
            <w:tcW w:w="620" w:type="dxa"/>
            <w:vAlign w:val="bottom"/>
          </w:tcPr>
          <w:p>
            <w:pPr>
              <w:jc w:val="right"/>
              <w:spacing w:after="0"/>
              <w:rPr>
                <w:sz w:val="20"/>
                <w:szCs w:val="20"/>
                <w:color w:val="auto"/>
              </w:rPr>
            </w:pPr>
            <w:r>
              <w:rPr>
                <w:rFonts w:ascii="Arial" w:cs="Arial" w:eastAsia="Arial" w:hAnsi="Arial"/>
                <w:sz w:val="13"/>
                <w:szCs w:val="13"/>
                <w:color w:val="auto"/>
              </w:rPr>
              <w:t>2,754,559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74930</wp:posOffset>
            </wp:positionV>
            <wp:extent cx="7239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0" w:lineRule="exact"/>
        <w:rPr>
          <w:sz w:val="20"/>
          <w:szCs w:val="20"/>
          <w:color w:val="auto"/>
        </w:rPr>
      </w:pPr>
    </w:p>
    <w:p>
      <w:pPr>
        <w:ind w:left="860" w:hanging="403"/>
        <w:spacing w:after="0"/>
        <w:tabs>
          <w:tab w:leader="none" w:pos="86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The amounts disclosed include or represent, as applicable, the $700,000 portion of Ms. Simo’s cash retention award that remained unpaid as of December 31, 2022.</w:t>
      </w:r>
    </w:p>
    <w:p>
      <w:pPr>
        <w:spacing w:after="0" w:line="39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Equity Plans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2023 Equity Incentive Plan</w:t>
      </w:r>
    </w:p>
    <w:p>
      <w:pPr>
        <w:spacing w:after="0" w:line="108" w:lineRule="exact"/>
        <w:rPr>
          <w:sz w:val="20"/>
          <w:szCs w:val="20"/>
          <w:color w:val="auto"/>
        </w:rPr>
      </w:pPr>
    </w:p>
    <w:p>
      <w:pPr>
        <w:ind w:left="880"/>
        <w:spacing w:after="0"/>
        <w:tabs>
          <w:tab w:leader="none" w:pos="1700" w:val="left"/>
          <w:tab w:leader="none" w:pos="5400" w:val="left"/>
        </w:tabs>
        <w:rPr>
          <w:sz w:val="20"/>
          <w:szCs w:val="20"/>
          <w:color w:val="auto"/>
        </w:rPr>
      </w:pPr>
      <w:r>
        <w:rPr>
          <w:rFonts w:ascii="Arial" w:cs="Arial" w:eastAsia="Arial" w:hAnsi="Arial"/>
          <w:sz w:val="17"/>
          <w:szCs w:val="17"/>
          <w:color w:val="auto"/>
        </w:rPr>
        <w:t>In</w:t>
      </w:r>
      <w:r>
        <w:rPr>
          <w:sz w:val="20"/>
          <w:szCs w:val="20"/>
          <w:color w:val="auto"/>
        </w:rPr>
        <w:tab/>
      </w:r>
      <w:r>
        <w:rPr>
          <w:rFonts w:ascii="Arial" w:cs="Arial" w:eastAsia="Arial" w:hAnsi="Arial"/>
          <w:sz w:val="17"/>
          <w:szCs w:val="17"/>
          <w:color w:val="auto"/>
        </w:rPr>
        <w:t>2023, our board of directors adopted, and in</w:t>
      </w:r>
      <w:r>
        <w:rPr>
          <w:sz w:val="20"/>
          <w:szCs w:val="20"/>
          <w:color w:val="auto"/>
        </w:rPr>
        <w:tab/>
      </w:r>
      <w:r>
        <w:rPr>
          <w:rFonts w:ascii="Arial" w:cs="Arial" w:eastAsia="Arial" w:hAnsi="Arial"/>
          <w:sz w:val="15"/>
          <w:szCs w:val="15"/>
          <w:color w:val="auto"/>
        </w:rPr>
        <w:t>2023 our stockholders approved, our 2023 Plan. We expect our 2023 Plan will</w:t>
      </w:r>
    </w:p>
    <w:p>
      <w:pPr>
        <w:spacing w:after="0" w:line="19" w:lineRule="exact"/>
        <w:rPr>
          <w:sz w:val="20"/>
          <w:szCs w:val="20"/>
          <w:color w:val="auto"/>
        </w:rPr>
      </w:pPr>
    </w:p>
    <w:p>
      <w:pPr>
        <w:jc w:val="both"/>
        <w:ind w:left="460" w:right="120"/>
        <w:spacing w:after="0" w:line="253" w:lineRule="auto"/>
        <w:rPr>
          <w:sz w:val="20"/>
          <w:szCs w:val="20"/>
          <w:color w:val="auto"/>
        </w:rPr>
      </w:pPr>
      <w:r>
        <w:rPr>
          <w:rFonts w:ascii="Arial" w:cs="Arial" w:eastAsia="Arial" w:hAnsi="Arial"/>
          <w:sz w:val="17"/>
          <w:szCs w:val="17"/>
          <w:color w:val="auto"/>
        </w:rPr>
        <w:t>become effective upon the effectiveness of the registration statement of which this prospectus forms a part. Our 2023 Plan came into existence upon its adoption by our board of directors, but no grants will be made under our 2023 Plan prior to its effectiveness. Once our 2023 Plan becomes effective, no further grants will be made under the 2018 Plan.</w:t>
      </w:r>
    </w:p>
    <w:p>
      <w:pPr>
        <w:spacing w:after="0" w:line="181"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Our 2023 Plan will provide for the grant of incentive stock options, or ISOs, within the meaning of Section 422 of the Code to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employees of any parent or subsidiary, and for the grant of nonstatutory stock options, or NSOs, stock appreciation rights, restricted stock awards, RSU awards, performance awards and other forms of awards to employees, directors, and consultants, including employees and consultants of our affiliates.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265</w:t>
      </w:r>
    </w:p>
    <w:p>
      <w:pPr>
        <w:sectPr>
          <w:pgSz w:w="11900" w:h="16838" w:orient="portrait"/>
          <w:cols w:equalWidth="0" w:num="1">
            <w:col w:w="10800"/>
          </w:cols>
          <w:pgMar w:left="320" w:top="440" w:right="77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ectPr>
          <w:pgSz w:w="11900" w:h="16838" w:orient="portrait"/>
          <w:cols w:equalWidth="0" w:num="1">
            <w:col w:w="10800"/>
          </w:cols>
          <w:pgMar w:left="320" w:top="440" w:right="779" w:bottom="1440" w:gutter="0" w:footer="0" w:header="0"/>
        </w:sectPr>
      </w:pPr>
    </w:p>
    <w:p>
      <w:pPr>
        <w:spacing w:after="0" w:line="135" w:lineRule="exact"/>
        <w:rPr>
          <w:sz w:val="20"/>
          <w:szCs w:val="20"/>
          <w:color w:val="auto"/>
        </w:rPr>
      </w:pPr>
    </w:p>
    <w:p>
      <w:pPr>
        <w:ind w:left="460" w:right="480" w:firstLine="413"/>
        <w:spacing w:after="0" w:line="271"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shares of our common stock that may be issued under our 2023 Plan after it becomes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will not exceed shares of our common stock, which is the sum of (1) new shares, plus (2) shares that remain</w:t>
      </w:r>
    </w:p>
    <w:p>
      <w:pPr>
        <w:sectPr>
          <w:pgSz w:w="11900" w:h="16838" w:orient="portrait"/>
          <w:cols w:equalWidth="0" w:num="1">
            <w:col w:w="10800"/>
          </w:cols>
          <w:pgMar w:left="320" w:top="440" w:right="779" w:bottom="1440" w:gutter="0" w:footer="0" w:header="0"/>
          <w:type w:val="continuous"/>
        </w:sectPr>
      </w:pPr>
    </w:p>
    <w:p>
      <w:pPr>
        <w:spacing w:after="0" w:line="2" w:lineRule="exact"/>
        <w:rPr>
          <w:sz w:val="20"/>
          <w:szCs w:val="20"/>
          <w:color w:val="auto"/>
        </w:rPr>
      </w:pPr>
    </w:p>
    <w:p>
      <w:pPr>
        <w:ind w:left="460"/>
        <w:spacing w:after="0" w:line="281" w:lineRule="auto"/>
        <w:rPr>
          <w:sz w:val="20"/>
          <w:szCs w:val="20"/>
          <w:color w:val="auto"/>
        </w:rPr>
      </w:pPr>
      <w:r>
        <w:rPr>
          <w:rFonts w:ascii="Arial" w:cs="Arial" w:eastAsia="Arial" w:hAnsi="Arial"/>
          <w:sz w:val="15"/>
          <w:szCs w:val="15"/>
          <w:color w:val="auto"/>
        </w:rPr>
        <w:t>available for the issuance of awards under our 2018 Plan as of immediately prior to the time our 2023 Plan becomes effective, plus (3) shares of our common stock subject to outstanding stock options or other stock awards granted under our 2018 Plan or 2013 Plan that, on or after our 2023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w:t>
      </w:r>
    </w:p>
    <w:p>
      <w:pPr>
        <w:sectPr>
          <w:pgSz w:w="11900" w:h="16838" w:orient="portrait"/>
          <w:cols w:equalWidth="0" w:num="1">
            <w:col w:w="10800"/>
          </w:cols>
          <w:pgMar w:left="320" w:top="440" w:right="779" w:bottom="1440" w:gutter="0" w:footer="0" w:header="0"/>
          <w:type w:val="continuous"/>
        </w:sectPr>
      </w:pPr>
    </w:p>
    <w:p>
      <w:pPr>
        <w:spacing w:after="0" w:line="3" w:lineRule="exact"/>
        <w:rPr>
          <w:sz w:val="20"/>
          <w:szCs w:val="20"/>
          <w:color w:val="auto"/>
        </w:rPr>
      </w:pPr>
    </w:p>
    <w:p>
      <w:pPr>
        <w:ind w:left="460"/>
        <w:spacing w:after="0" w:line="281" w:lineRule="auto"/>
        <w:rPr>
          <w:sz w:val="20"/>
          <w:szCs w:val="20"/>
          <w:color w:val="auto"/>
        </w:rPr>
      </w:pPr>
      <w:r>
        <w:rPr>
          <w:rFonts w:ascii="Arial" w:cs="Arial" w:eastAsia="Arial" w:hAnsi="Arial"/>
          <w:sz w:val="15"/>
          <w:szCs w:val="15"/>
          <w:color w:val="auto"/>
        </w:rPr>
        <w:t>become available from time to time. In addition, the number of shares of our common stock reserved for issuance under our 2023 Plan will automatically increase on January 1 of each calendar year, starting on January 1, 2024 through January 1, 2033, in an amount equal to (1)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of</w:t>
      </w:r>
    </w:p>
    <w:p>
      <w:pPr>
        <w:spacing w:after="0" w:line="41" w:lineRule="exact"/>
        <w:rPr>
          <w:sz w:val="20"/>
          <w:szCs w:val="20"/>
          <w:color w:val="auto"/>
        </w:rPr>
      </w:pPr>
    </w:p>
    <w:p>
      <w:pPr>
        <w:sectPr>
          <w:pgSz w:w="11900" w:h="16838" w:orient="portrait"/>
          <w:cols w:equalWidth="0" w:num="2">
            <w:col w:w="9840" w:space="620"/>
            <w:col w:w="340"/>
          </w:cols>
          <w:pgMar w:left="320" w:top="440" w:right="779" w:bottom="1440" w:gutter="0" w:footer="0" w:header="0"/>
          <w:type w:val="continuous"/>
        </w:sectPr>
      </w:pPr>
    </w:p>
    <w:p>
      <w:pPr>
        <w:ind w:left="460" w:right="40"/>
        <w:spacing w:after="0" w:line="281" w:lineRule="auto"/>
        <w:rPr>
          <w:sz w:val="20"/>
          <w:szCs w:val="20"/>
          <w:color w:val="auto"/>
        </w:rPr>
      </w:pPr>
      <w:r>
        <w:rPr>
          <w:rFonts w:ascii="Arial" w:cs="Arial" w:eastAsia="Arial" w:hAnsi="Arial"/>
          <w:sz w:val="15"/>
          <w:szCs w:val="15"/>
          <w:color w:val="auto"/>
        </w:rPr>
        <w:t>the total number of shares of our common stock outstanding on December 31 of the year before the date of each automatic increase or (2) a lesser number of shares determined by our board of directors prior to the applicable January 1. The maximum number of shares of our common stock that may</w:t>
      </w:r>
    </w:p>
    <w:p>
      <w:pPr>
        <w:spacing w:after="0" w:line="1" w:lineRule="exact"/>
        <w:rPr>
          <w:sz w:val="20"/>
          <w:szCs w:val="20"/>
          <w:color w:val="auto"/>
        </w:rPr>
      </w:pPr>
    </w:p>
    <w:p>
      <w:pPr>
        <w:ind w:left="460"/>
        <w:spacing w:after="0"/>
        <w:tabs>
          <w:tab w:leader="none" w:pos="5280" w:val="left"/>
        </w:tabs>
        <w:rPr>
          <w:sz w:val="20"/>
          <w:szCs w:val="20"/>
          <w:color w:val="auto"/>
        </w:rPr>
      </w:pPr>
      <w:r>
        <w:rPr>
          <w:rFonts w:ascii="Arial" w:cs="Arial" w:eastAsia="Arial" w:hAnsi="Arial"/>
          <w:sz w:val="17"/>
          <w:szCs w:val="17"/>
          <w:color w:val="auto"/>
        </w:rPr>
        <w:t>be issued on the exercise of ISOs under our 2023 Plan will be</w:t>
      </w:r>
      <w:r>
        <w:rPr>
          <w:sz w:val="20"/>
          <w:szCs w:val="20"/>
          <w:color w:val="auto"/>
        </w:rPr>
        <w:tab/>
      </w:r>
      <w:r>
        <w:rPr>
          <w:rFonts w:ascii="Arial" w:cs="Arial" w:eastAsia="Arial" w:hAnsi="Arial"/>
          <w:sz w:val="14"/>
          <w:szCs w:val="14"/>
          <w:color w:val="auto"/>
        </w:rPr>
        <w:t>shares.</w:t>
      </w:r>
    </w:p>
    <w:p>
      <w:pPr>
        <w:spacing w:after="0" w:line="198" w:lineRule="exact"/>
        <w:rPr>
          <w:sz w:val="20"/>
          <w:szCs w:val="20"/>
          <w:color w:val="auto"/>
        </w:rPr>
      </w:pPr>
    </w:p>
    <w:p>
      <w:pPr>
        <w:ind w:left="460" w:right="80" w:firstLine="413"/>
        <w:spacing w:after="0" w:line="286" w:lineRule="auto"/>
        <w:rPr>
          <w:sz w:val="20"/>
          <w:szCs w:val="20"/>
          <w:color w:val="auto"/>
        </w:rPr>
      </w:pPr>
      <w:r>
        <w:rPr>
          <w:rFonts w:ascii="Arial" w:cs="Arial" w:eastAsia="Arial" w:hAnsi="Arial"/>
          <w:sz w:val="15"/>
          <w:szCs w:val="15"/>
          <w:color w:val="auto"/>
        </w:rPr>
        <w:t>Shares subject to stock awards granted under our 2023 Plan that expire or terminate without being exercised in full or that are paid out in cash rather than in shares will not reduce the number of shares available for issuance under our 2023 Plan. Shares withheld under a stock award to satisfy the exercise, strike, or purchase price of a stock award or to satisfy a tax withholding obligation will not reduce the number of shares available for issuance under our 2023 Plan. If any shares of our common stock issued pursuant to a stock award are forfeited back to or repurchased or reacquired by us</w:t>
      </w:r>
    </w:p>
    <w:p>
      <w:pPr>
        <w:jc w:val="both"/>
        <w:ind w:left="460" w:right="100" w:hanging="3"/>
        <w:spacing w:after="0" w:line="295" w:lineRule="auto"/>
        <w:tabs>
          <w:tab w:leader="none" w:pos="699" w:val="left"/>
        </w:tabs>
        <w:numPr>
          <w:ilvl w:val="0"/>
          <w:numId w:val="259"/>
        </w:numPr>
        <w:rPr>
          <w:rFonts w:ascii="Arial" w:cs="Arial" w:eastAsia="Arial" w:hAnsi="Arial"/>
          <w:sz w:val="15"/>
          <w:szCs w:val="15"/>
          <w:color w:val="auto"/>
        </w:rPr>
      </w:pPr>
      <w:r>
        <w:rPr>
          <w:rFonts w:ascii="Arial" w:cs="Arial" w:eastAsia="Arial" w:hAnsi="Arial"/>
          <w:sz w:val="15"/>
          <w:szCs w:val="15"/>
          <w:color w:val="auto"/>
        </w:rPr>
        <w:t>because of a failure to meet a contingency or condition required for the vesting of such shares, (2) to satisfy the exercise, strike, or purchase price of an award or (3) to satisfy a tax withholding obligation in connection with an award, the shares that are forfeited or repurchased or reacquired will revert to and again become available for issuance under our 2023 Plan. Any shares previously issued which are reacquired in satisfaction of tax withholding obligations or as consideration for the exercise or purchase price of a stock award will again become available for issuance under our 2023 Plan.</w:t>
      </w:r>
    </w:p>
    <w:p>
      <w:pPr>
        <w:spacing w:after="0" w:line="153"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board of directors, or a duly authorized committee of our board of directors, will administer our 2023 Plan and is</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2023 Plan, our board of directors will have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2"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plan administrator will have the power to modify outstanding awards under our 2023 Plan. Subject to the terms of our 2023 Plan, the plan administrator will have the authority to reprice any outstanding stock award, cancel and re-grant any outstanding stock award in exchange for new stock awards, cash, or other consideration or take any other action that is treated as a repricing under generally accepted accounting principles, or GAAP, with the consent of any materially impaired participant.</w:t>
      </w:r>
    </w:p>
    <w:p>
      <w:pPr>
        <w:spacing w:after="0" w:line="179"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Our 2023 Plan allows for the grant of ISOs and NSOs pursuant to stock option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will determine the exercise price for stock options, within the terms and conditions of our 2023 Plan, provided that the exercise price of a stock option generally cannot be less than 100% of the fair market value of our common stock on the date of grant for NSOs and 110% of the fair market value of the stock subject to the stock option on the date of grant for ISOs. Stock options granted under our 2023 Plan will vest at the rate specified in the stock option agreement as determined by the plan administrator.</w:t>
      </w:r>
    </w:p>
    <w:p>
      <w:pPr>
        <w:spacing w:after="0" w:line="165" w:lineRule="exact"/>
        <w:rPr>
          <w:sz w:val="20"/>
          <w:szCs w:val="20"/>
          <w:color w:val="auto"/>
        </w:rPr>
      </w:pPr>
    </w:p>
    <w:p>
      <w:pPr>
        <w:jc w:val="both"/>
        <w:ind w:left="460" w:right="20" w:firstLine="413"/>
        <w:spacing w:after="0" w:line="260" w:lineRule="auto"/>
        <w:rPr>
          <w:sz w:val="20"/>
          <w:szCs w:val="20"/>
          <w:color w:val="auto"/>
        </w:rPr>
      </w:pPr>
      <w:r>
        <w:rPr>
          <w:rFonts w:ascii="Arial" w:cs="Arial" w:eastAsia="Arial" w:hAnsi="Arial"/>
          <w:sz w:val="17"/>
          <w:szCs w:val="17"/>
          <w:color w:val="auto"/>
        </w:rPr>
        <w:t>The plan administrator will determine the term of stock options granted under our 2023 Plan, up to a maximum of 10 years. Unless the terms of an optionholder’s stock option agreement, or other written agreement between us and the recipient approved by the plan administrator, provide otherwise, if an optionholder’s service</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266</w:t>
      </w:r>
    </w:p>
    <w:p>
      <w:pPr>
        <w:sectPr>
          <w:pgSz w:w="11900" w:h="16838" w:orient="portrait"/>
          <w:cols w:equalWidth="0" w:num="1">
            <w:col w:w="10800"/>
          </w:cols>
          <w:pgMar w:left="320" w:top="440" w:right="779" w:bottom="1440" w:gutter="0" w:footer="0" w:header="0"/>
          <w:type w:val="continuous"/>
        </w:sectPr>
      </w:pPr>
    </w:p>
    <w:bookmarkStart w:id="276" w:name="page277"/>
    <w:bookmarkEnd w:id="2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color w:val="auto"/>
        </w:rPr>
        <w:t>relationship with us or any of our affiliates ceases for any reason other than disability, death, or cause, the optionholder may generally exercise any vested stock options for a period of three months following the cessation of service. This period may be extended in the event that either an exercise of the stock option or an immediate sale of shares acquired upon exercise of the stock option following such a termination of service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stock options for a period of 18 months following the date of death. If an optionholder’s service relationship with us or any of our affiliates ceases due to disability, the optionholder may generally exercise any vested stock options for a period of 12 months following the cessation of service. In the event of a termination for cause, stock options generally terminate upon the termination date. In no event may a stock option be exercised beyond the expiration of its term.</w:t>
      </w:r>
    </w:p>
    <w:p>
      <w:pPr>
        <w:spacing w:after="0" w:line="170" w:lineRule="exact"/>
        <w:rPr>
          <w:sz w:val="20"/>
          <w:szCs w:val="20"/>
          <w:color w:val="auto"/>
        </w:rPr>
      </w:pPr>
    </w:p>
    <w:p>
      <w:pPr>
        <w:ind w:left="460" w:right="160" w:firstLine="413"/>
        <w:spacing w:after="0" w:line="256" w:lineRule="auto"/>
        <w:rPr>
          <w:sz w:val="20"/>
          <w:szCs w:val="20"/>
          <w:color w:val="auto"/>
        </w:rPr>
      </w:pPr>
      <w:r>
        <w:rPr>
          <w:rFonts w:ascii="Arial" w:cs="Arial" w:eastAsia="Arial" w:hAnsi="Arial"/>
          <w:sz w:val="17"/>
          <w:szCs w:val="17"/>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stock option if it is an NSO or (5) other legal consideration approved by the plan administrator.</w:t>
      </w:r>
    </w:p>
    <w:p>
      <w:pPr>
        <w:spacing w:after="0" w:line="179" w:lineRule="exact"/>
        <w:rPr>
          <w:sz w:val="20"/>
          <w:szCs w:val="20"/>
          <w:color w:val="auto"/>
        </w:rPr>
      </w:pPr>
    </w:p>
    <w:p>
      <w:pPr>
        <w:ind w:left="460" w:right="60" w:firstLine="413"/>
        <w:spacing w:after="0" w:line="284" w:lineRule="auto"/>
        <w:rPr>
          <w:sz w:val="20"/>
          <w:szCs w:val="20"/>
          <w:color w:val="auto"/>
        </w:rPr>
      </w:pPr>
      <w:r>
        <w:rPr>
          <w:rFonts w:ascii="Arial" w:cs="Arial" w:eastAsia="Arial" w:hAnsi="Arial"/>
          <w:sz w:val="16"/>
          <w:szCs w:val="16"/>
          <w:color w:val="auto"/>
        </w:rPr>
        <w:t>Unless the plan administrator provides otherwise, stock options or stock appreciation rights generally are not transferable except by will or the laws of descent and distribution. Subject to approval of the plan administrator or a duly authorized officer, a stock option may be transferred pursuant to a domestic relations order, official marital settlement agreement or other divorce or separation instrument.</w:t>
      </w:r>
    </w:p>
    <w:p>
      <w:pPr>
        <w:spacing w:after="0" w:line="157"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i w:val="1"/>
          <w:iCs w:val="1"/>
          <w:color w:val="auto"/>
        </w:rPr>
        <w:t xml:space="preserve">Tax Limitations on ISOs. </w:t>
      </w:r>
      <w:r>
        <w:rPr>
          <w:rFonts w:ascii="Arial" w:cs="Arial" w:eastAsia="Arial" w:hAnsi="Arial"/>
          <w:sz w:val="17"/>
          <w:szCs w:val="17"/>
          <w:color w:val="auto"/>
        </w:rPr>
        <w:t>The aggregate fair market value, determined at the time of grant, of our common stock with respect to ISOs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for the first time by an award holder during any calendar year under all of our stock plans may not exceed $100,000. Stock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stock option exercise price is at least 110% of the fair market value of the stock subject to the stock option on the date of grant and (2) the term of the ISO does not exceed five years from the date of grant.</w:t>
      </w:r>
    </w:p>
    <w:p>
      <w:pPr>
        <w:spacing w:after="0" w:line="182"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Our 2023 Plan allows for the grant of RSU awards pursuant to restricted stock unit award agreements adopted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RSU awards may be granted in consideration for any form of legal consideration that may be acceptable to our board of directors and permissible under applicable law.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Except as otherwise provided in the applicable award agreement or other written agreement between us and the recipient approved by the plan administrator, RSU awards that have not vested will be forfeited once the participant’s continuous service ends for any reason.</w:t>
      </w:r>
    </w:p>
    <w:p>
      <w:pPr>
        <w:spacing w:after="0" w:line="184"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Our 2023 Plan allows for the grant of restricted stock awards pursuant to restricted stock award agreements adopted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A restricted stock award may be awarded in consideration for cash, check, bank draft, or money order, past or future services to us or any other form of legal consideration that may be acceptable to our board of directors and permissible under applicable law. The plan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267</w:t>
      </w:r>
    </w:p>
    <w:p>
      <w:pPr>
        <w:sectPr>
          <w:pgSz w:w="11900" w:h="16838" w:orient="portrait"/>
          <w:cols w:equalWidth="0" w:num="1">
            <w:col w:w="10780"/>
          </w:cols>
          <w:pgMar w:left="320" w:top="440" w:right="79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Our 2023 Plan allows for the grant of stock appreciation rights pursuant to stock appreciation right agreements adopted</w:t>
      </w:r>
      <w:r>
        <w:rPr>
          <w:rFonts w:ascii="Arial" w:cs="Arial" w:eastAsia="Arial" w:hAnsi="Arial"/>
          <w:sz w:val="15"/>
          <w:szCs w:val="15"/>
          <w:i w:val="1"/>
          <w:iCs w:val="1"/>
          <w:color w:val="auto"/>
        </w:rPr>
        <w:t xml:space="preserve"> </w:t>
      </w:r>
      <w:r>
        <w:rPr>
          <w:rFonts w:ascii="Arial" w:cs="Arial" w:eastAsia="Arial" w:hAnsi="Arial"/>
          <w:sz w:val="15"/>
          <w:szCs w:val="15"/>
          <w:color w:val="auto"/>
        </w:rPr>
        <w:t>by the plan administrator. The plan administrator will determine the purchase price or strike price for a stock appreciation right, which generally will not be less than 100% of the fair market value of our common stock on the date of grant. A stock appreciation right granted under our 2023 Plan will vest at the rate specified in the stock appreciation right agreement as determined by the plan administrator. Stock appreciation rights may be settled in cash or shares of common stock or in any other form of payment as determined by our board of directors and specified in the stock appreciation right agreement.</w:t>
      </w:r>
    </w:p>
    <w:p>
      <w:pPr>
        <w:spacing w:after="0" w:line="152" w:lineRule="exact"/>
        <w:rPr>
          <w:sz w:val="20"/>
          <w:szCs w:val="20"/>
          <w:color w:val="auto"/>
        </w:rPr>
      </w:pPr>
    </w:p>
    <w:p>
      <w:pPr>
        <w:ind w:left="460" w:right="40" w:firstLine="413"/>
        <w:spacing w:after="0" w:line="251" w:lineRule="auto"/>
        <w:rPr>
          <w:sz w:val="20"/>
          <w:szCs w:val="20"/>
          <w:color w:val="auto"/>
        </w:rPr>
      </w:pPr>
      <w:r>
        <w:rPr>
          <w:rFonts w:ascii="Arial" w:cs="Arial" w:eastAsia="Arial" w:hAnsi="Arial"/>
          <w:sz w:val="17"/>
          <w:szCs w:val="17"/>
          <w:color w:val="auto"/>
        </w:rPr>
        <w:t>The plan administrator will determine the term of stock appreciation rights granted under our 2023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6" w:lineRule="exact"/>
        <w:rPr>
          <w:sz w:val="20"/>
          <w:szCs w:val="20"/>
          <w:color w:val="auto"/>
        </w:rPr>
      </w:pPr>
    </w:p>
    <w:p>
      <w:pPr>
        <w:ind w:left="460" w:right="860" w:firstLine="413"/>
        <w:spacing w:after="0" w:line="271"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2023 Plan will permit the grant of performance awards that may be settled in stock, cash, or other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awards may be structured so that the stock or cash will be issued or paid only following the achievement of</w:t>
      </w:r>
    </w:p>
    <w:p>
      <w:pPr>
        <w:spacing w:after="0" w:line="2" w:lineRule="exact"/>
        <w:rPr>
          <w:sz w:val="20"/>
          <w:szCs w:val="20"/>
          <w:color w:val="auto"/>
        </w:rPr>
      </w:pPr>
    </w:p>
    <w:p>
      <w:pPr>
        <w:ind w:left="460" w:right="80"/>
        <w:spacing w:after="0" w:line="257" w:lineRule="auto"/>
        <w:rPr>
          <w:sz w:val="20"/>
          <w:szCs w:val="20"/>
          <w:color w:val="auto"/>
        </w:rPr>
      </w:pPr>
      <w:r>
        <w:rPr>
          <w:rFonts w:ascii="Arial" w:cs="Arial" w:eastAsia="Arial" w:hAnsi="Arial"/>
          <w:sz w:val="17"/>
          <w:szCs w:val="17"/>
          <w:color w:val="auto"/>
        </w:rPr>
        <w:t>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77" w:lineRule="exact"/>
        <w:rPr>
          <w:sz w:val="20"/>
          <w:szCs w:val="20"/>
          <w:color w:val="auto"/>
        </w:rPr>
      </w:pPr>
    </w:p>
    <w:p>
      <w:pPr>
        <w:jc w:val="both"/>
        <w:ind w:left="460" w:right="60" w:firstLine="413"/>
        <w:spacing w:after="0" w:line="290" w:lineRule="auto"/>
        <w:rPr>
          <w:sz w:val="20"/>
          <w:szCs w:val="20"/>
          <w:color w:val="auto"/>
        </w:rPr>
      </w:pPr>
      <w:r>
        <w:rPr>
          <w:rFonts w:ascii="Arial" w:cs="Arial" w:eastAsia="Arial" w:hAnsi="Arial"/>
          <w:sz w:val="15"/>
          <w:szCs w:val="15"/>
          <w:color w:val="auto"/>
        </w:rPr>
        <w:t>Unless specified otherwise by our board of directors at the time the performance award is granted, our board of directors will appropriately make adjustments in the method of calculating the attainment of performance goals as follows: (1) to exclude restructuring and/or other nonrecurring charges;</w:t>
      </w:r>
    </w:p>
    <w:p>
      <w:pPr>
        <w:ind w:left="460" w:right="60" w:hanging="3"/>
        <w:spacing w:after="0" w:line="267" w:lineRule="auto"/>
        <w:tabs>
          <w:tab w:leader="none" w:pos="69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to exclude exchange rate effects; (3) to exclude the effects of changes to GAAP; (4) to exclude the effects of any statutory adjustments to corporate tax rates; (5) to exclude the effects of items that are “unusual” in nature or occur “infrequently” as determined under GAAP;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GAAP; and (11) to exclude the goodwill and intangible asset impairment charges that are required to be recorded under GAAP.</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 xml:space="preserve">Other Stock Awards. </w:t>
      </w:r>
      <w:r>
        <w:rPr>
          <w:rFonts w:ascii="Arial" w:cs="Arial" w:eastAsia="Arial" w:hAnsi="Arial"/>
          <w:sz w:val="15"/>
          <w:szCs w:val="15"/>
          <w:color w:val="auto"/>
        </w:rPr>
        <w:t>The plan administrator will be permitted to grant other awards based in whole or in part by reference to our common stock.</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plan administrator will set the number of shares under the stock award (or cash equivalent) and all other terms and conditions of such awards.</w:t>
      </w:r>
    </w:p>
    <w:p>
      <w:pPr>
        <w:spacing w:after="0" w:line="221" w:lineRule="exact"/>
        <w:rPr>
          <w:sz w:val="20"/>
          <w:szCs w:val="20"/>
          <w:color w:val="auto"/>
        </w:rPr>
      </w:pPr>
    </w:p>
    <w:p>
      <w:pPr>
        <w:jc w:val="both"/>
        <w:ind w:left="460" w:right="40" w:firstLine="413"/>
        <w:spacing w:after="0" w:line="287" w:lineRule="auto"/>
        <w:rPr>
          <w:sz w:val="20"/>
          <w:szCs w:val="20"/>
          <w:color w:val="auto"/>
        </w:rPr>
      </w:pPr>
      <w:r>
        <w:rPr>
          <w:rFonts w:ascii="Arial" w:cs="Arial" w:eastAsia="Arial" w:hAnsi="Arial"/>
          <w:sz w:val="15"/>
          <w:szCs w:val="15"/>
          <w:i w:val="1"/>
          <w:iCs w:val="1"/>
          <w:color w:val="auto"/>
        </w:rPr>
        <w:t xml:space="preserve">Non-Employee Director Compensation Limit. </w:t>
      </w:r>
      <w:r>
        <w:rPr>
          <w:rFonts w:ascii="Arial" w:cs="Arial" w:eastAsia="Arial" w:hAnsi="Arial"/>
          <w:sz w:val="15"/>
          <w:szCs w:val="15"/>
          <w:color w:val="auto"/>
        </w:rPr>
        <w:t>The aggregate value of all compensation granted or paid to any non-employee director with respect</w:t>
      </w:r>
      <w:r>
        <w:rPr>
          <w:rFonts w:ascii="Arial" w:cs="Arial" w:eastAsia="Arial" w:hAnsi="Arial"/>
          <w:sz w:val="15"/>
          <w:szCs w:val="15"/>
          <w:i w:val="1"/>
          <w:iCs w:val="1"/>
          <w:color w:val="auto"/>
        </w:rPr>
        <w:t xml:space="preserve"> </w:t>
      </w:r>
      <w:r>
        <w:rPr>
          <w:rFonts w:ascii="Arial" w:cs="Arial" w:eastAsia="Arial" w:hAnsi="Arial"/>
          <w:sz w:val="15"/>
          <w:szCs w:val="15"/>
          <w:color w:val="auto"/>
        </w:rPr>
        <w:t>to any period commencing on the date of our annual meeting of stockholders for a particular year and ending on the day immediately prior to the date of the meeting for the next subsequent year, including stock awards granted and cash fees paid by us to such non-employee director, will not exceed</w:t>
      </w:r>
    </w:p>
    <w:p>
      <w:pPr>
        <w:spacing w:after="0" w:line="1" w:lineRule="exact"/>
        <w:rPr>
          <w:sz w:val="20"/>
          <w:szCs w:val="20"/>
          <w:color w:val="auto"/>
        </w:rPr>
      </w:pPr>
    </w:p>
    <w:p>
      <w:pPr>
        <w:ind w:left="460" w:right="120"/>
        <w:spacing w:after="0" w:line="257" w:lineRule="auto"/>
        <w:rPr>
          <w:sz w:val="20"/>
          <w:szCs w:val="20"/>
          <w:color w:val="auto"/>
        </w:rPr>
      </w:pPr>
      <w:r>
        <w:rPr>
          <w:rFonts w:ascii="Arial" w:cs="Arial" w:eastAsia="Arial" w:hAnsi="Arial"/>
          <w:sz w:val="17"/>
          <w:szCs w:val="17"/>
          <w:color w:val="auto"/>
        </w:rPr>
        <w:t>$ in total value, or with respect to such period in which a non-employee director is first appointed or elected to our board, $ in total value (in each case, calculating the value of any such stock awards based on their grant date fair value for financial reporting purposes).</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268</w:t>
      </w:r>
    </w:p>
    <w:p>
      <w:pPr>
        <w:sectPr>
          <w:pgSz w:w="11900" w:h="16838" w:orient="portrait"/>
          <w:cols w:equalWidth="0" w:num="1">
            <w:col w:w="10780"/>
          </w:cols>
          <w:pgMar w:left="320" w:top="440" w:right="799" w:bottom="1440" w:gutter="0" w:footer="0" w:header="0"/>
        </w:sectPr>
      </w:pPr>
    </w:p>
    <w:bookmarkStart w:id="278" w:name="page279"/>
    <w:bookmarkEnd w:id="2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(1) the class and maximum number of shares reserved for issuance under our 2023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81" w:lineRule="exact"/>
        <w:rPr>
          <w:sz w:val="20"/>
          <w:szCs w:val="20"/>
          <w:color w:val="auto"/>
        </w:rPr>
      </w:pPr>
    </w:p>
    <w:p>
      <w:pPr>
        <w:ind w:left="460" w:right="40" w:firstLine="413"/>
        <w:spacing w:after="0" w:line="267"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a corporate transaction, unless otherwise provided in a participant’s stock award agreement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agreement with us or one of our affiliates or unless otherwise expressly provided by the plan administrator at the time of grant, any stock awards outstanding under our 2023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(1)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(2)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76"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per share amount payable to holders of common stock in connection with the corporate transaction, over (2)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common stock.</w:t>
      </w:r>
    </w:p>
    <w:p>
      <w:pPr>
        <w:spacing w:after="0" w:line="152" w:lineRule="exact"/>
        <w:rPr>
          <w:sz w:val="20"/>
          <w:szCs w:val="20"/>
          <w:color w:val="auto"/>
        </w:rPr>
      </w:pPr>
    </w:p>
    <w:p>
      <w:pPr>
        <w:jc w:val="both"/>
        <w:ind w:left="460" w:right="20" w:firstLine="413"/>
        <w:spacing w:after="0" w:line="256" w:lineRule="auto"/>
        <w:rPr>
          <w:sz w:val="20"/>
          <w:szCs w:val="20"/>
          <w:color w:val="auto"/>
        </w:rPr>
      </w:pPr>
      <w:r>
        <w:rPr>
          <w:rFonts w:ascii="Arial" w:cs="Arial" w:eastAsia="Arial" w:hAnsi="Arial"/>
          <w:sz w:val="17"/>
          <w:szCs w:val="17"/>
          <w:color w:val="auto"/>
        </w:rPr>
        <w:t>Under our 2023 Plan, a corporate transaction is generally defined as the consummation of: (1) a sale of all or substantially all of our assets, (2) the sale or disposition of at least 50% of our outstanding securities, (3) a merger or consolidation where we do not survive the transaction or (4) a merger or consolidation where we do survive the transaction but the shares of our common stock outstanding immediately before such transaction are converted or exchanged into other property by virtue of the transaction.</w:t>
      </w:r>
    </w:p>
    <w:p>
      <w:pPr>
        <w:spacing w:after="0" w:line="179" w:lineRule="exact"/>
        <w:rPr>
          <w:sz w:val="20"/>
          <w:szCs w:val="20"/>
          <w:color w:val="auto"/>
        </w:rPr>
      </w:pPr>
    </w:p>
    <w:p>
      <w:pPr>
        <w:ind w:left="460" w:right="260" w:firstLine="413"/>
        <w:spacing w:after="0" w:line="340"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Awards granted under our 2023 Plan may be subject to acceleration of vesting and exercisability upon or after a change in</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as may be provided in the applicable stock award agreement or in any other written agreement between us or any affiliate and the participant.</w:t>
      </w:r>
    </w:p>
    <w:p>
      <w:pPr>
        <w:spacing w:after="0" w:line="119"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Under our 2023 Plan, a change in control is generally defined as: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269</w:t>
      </w:r>
    </w:p>
    <w:p>
      <w:pPr>
        <w:sectPr>
          <w:pgSz w:w="11900" w:h="16838" w:orient="portrait"/>
          <w:cols w:equalWidth="0" w:num="1">
            <w:col w:w="10780"/>
          </w:cols>
          <w:pgMar w:left="320" w:top="440" w:right="79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individuals who were not serving on our board of directors on the date our 2023 Plan was adopted by our board of directors, or the incumbent board, or whose nomination, appointment, or election was not approved by a majority of the incumbent board still in office.</w:t>
      </w:r>
    </w:p>
    <w:p>
      <w:pPr>
        <w:spacing w:after="0" w:line="165"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2023 Plan, provided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2023 Plan. No stock awards may be granted under our 2023 Plan while it is suspended or after it is terminated.</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2013 Equity Incentive Plan and 2018 Equity Incentive Plan</w:t>
      </w:r>
    </w:p>
    <w:p>
      <w:pPr>
        <w:spacing w:after="0" w:line="108"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Our board of directors adopted, and our stockholders approved, our 2013 Plan in January 2013, which was amended from time to time and was terminated in August 2018, except with respect to any outstanding awards previously granted thereunder. As of December 31, 2022, stock options covering 21,508,439 shares of our common stock were outstanding under our 2013 Plan.</w:t>
      </w:r>
    </w:p>
    <w:p>
      <w:pPr>
        <w:spacing w:after="0" w:line="175" w:lineRule="exact"/>
        <w:rPr>
          <w:sz w:val="20"/>
          <w:szCs w:val="20"/>
          <w:color w:val="auto"/>
        </w:rPr>
      </w:pPr>
    </w:p>
    <w:p>
      <w:pPr>
        <w:ind w:left="460" w:right="100" w:firstLine="413"/>
        <w:spacing w:after="0" w:line="296" w:lineRule="auto"/>
        <w:rPr>
          <w:sz w:val="20"/>
          <w:szCs w:val="20"/>
          <w:color w:val="auto"/>
        </w:rPr>
      </w:pPr>
      <w:r>
        <w:rPr>
          <w:rFonts w:ascii="Arial" w:cs="Arial" w:eastAsia="Arial" w:hAnsi="Arial"/>
          <w:sz w:val="15"/>
          <w:szCs w:val="15"/>
          <w:color w:val="auto"/>
        </w:rPr>
        <w:t>Our board of directors adopted, and our stockholders approved, our 2018 Plan in February 2018. As of December 31, 2022, there were 3,627,728 shares of common stock remaining available for the future grant of awards under our 2018 Plan. As of December 31, 2022, stock options covering 8,524,539 shares of our common stock and RSU awards covering 57,015,125 shares of our common stock were outstanding under our 2018 Plan. We expect that any shares of common stock remaining available for issuance under our 2018 Plan immediately prior to the effectiveness of the registration statement of which this prospectus forms a part will become shares of common stock available for issuance under our 2023 Plan.</w:t>
      </w:r>
    </w:p>
    <w:p>
      <w:pPr>
        <w:spacing w:after="0" w:line="15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Our 2013 Plan provided and our 2018 Plan provides for the grant of ISOs to our employees, and for the grant of NSOs, stock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restricted or unrestricted stock awards, RSU awards, and cash-based awards or other incentives payable in cash, shares of our common stock to such employees, officers, directors, consultants, agents, advisors, or independent contractors engaged by us or by any companies directly or indirectly in control of, controlled by, or under common control with us.</w:t>
      </w:r>
    </w:p>
    <w:p>
      <w:pPr>
        <w:spacing w:after="0" w:line="179"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i w:val="1"/>
          <w:iCs w:val="1"/>
          <w:color w:val="auto"/>
        </w:rPr>
        <w:t>Plan Administration</w:t>
      </w:r>
      <w:r>
        <w:rPr>
          <w:rFonts w:ascii="Arial" w:cs="Arial" w:eastAsia="Arial" w:hAnsi="Arial"/>
          <w:sz w:val="15"/>
          <w:szCs w:val="15"/>
          <w:color w:val="auto"/>
        </w:rPr>
        <w:t>. Our compensation committee administers and interprets the provisions of our 2013 Plan and our 2018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administrator may delegate ministerial authority under our 2013 Plan and our 2018 Plan to specified employees. Under our 2013 Plan and our 2018 Plan, the administrator has the authority to, among other things, (i) determine award recipients, (ii) determine the numbers and types of awards to be granted, (iii) determine the terms and conditions of awards, (iv) approve the forms of award notices and agreements, (v) determine whether (and to what extent and under what circumstances) awards may be settled in cash, shares of our common stock, or other property, (vi) establish rules and regulations, and (vii) make any other determination and take any other action it deems appropriate for the administration of the applicable plan.</w:t>
      </w:r>
    </w:p>
    <w:p>
      <w:pPr>
        <w:spacing w:after="0" w:line="155"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of any stock dividend, stock split, spin-off, combination or exchange of shares, recapitalization,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distribution to stockholders other than a normal cash dividend, or other change in our corporate or capital structure that results in (i) our common stock or any securities exchanged therefor or received in their place being exchanged for a different number or kind of securities or (ii) new, different, or additional securities being received by the holders of shares of our common stock, the administrator will adjust the number and kind of securities available for issuance, the maximum number and kind of securities issuable upon exercise of ISOs, the number and kind of securities subject to outstanding awards, and the purchase price of such securities.</w:t>
      </w:r>
    </w:p>
    <w:p>
      <w:pPr>
        <w:spacing w:after="0" w:line="167"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officers, directors, consultants, agents, advisors, or independent contractors engaged by us or by any companies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in control of, controlled by, or under common control with us, are eligible to participate in our 2013 Plan or our 2018 Plan, although, a grant of ISOs may only be made to a person who, on the effective date of the grant, is an employee.</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270</w:t>
      </w:r>
    </w:p>
    <w:p>
      <w:pPr>
        <w:sectPr>
          <w:pgSz w:w="11900" w:h="16838" w:orient="portrait"/>
          <w:cols w:equalWidth="0" w:num="1">
            <w:col w:w="10780"/>
          </w:cols>
          <w:pgMar w:left="320" w:top="440" w:right="799" w:bottom="1440" w:gutter="0" w:footer="0" w:header="0"/>
        </w:sectPr>
      </w:pPr>
    </w:p>
    <w:bookmarkStart w:id="280" w:name="page281"/>
    <w:bookmarkEnd w:id="2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Upon the occurrence of a change of control (as defined in our 2013 Plan or our 2018 Plan, as applicable),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determines otherwise with respect to a particular award in an agreement between us (or a related company) and the participant, awards that are not converted, assumed, substituted for, or replaced will become fully vested and exercisable or payable, and then terminate, upon effectiveness of the change of control. Notwithstanding the foregoing, the administrator may provide that awards may be terminated upon or immediately prior to the change of control in exchange for a cash payment equal to amount by which the acquisition price (as defined in our 2013 Plan or our 2018 Plan, as applicable) exceeds, if applicable, the award’s exercise or purchase price, multiplied by the number of shares subject to the award that are subject to such treatment.</w:t>
      </w:r>
    </w:p>
    <w:p>
      <w:pPr>
        <w:spacing w:after="0" w:line="184"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The administrator may at any time amend, suspend, or terminate our 2018 Plan, provided that such action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materially adversely affect any rights under any award without the participant’s consent. Certain amendments, or the suspension or termination of our 2018 Plan may require the consent of holders of outstanding awards. Certain amendments also require the approval of our stockholders. No new awards were granted under our 2013 Plan following adoption of our 2018 Plan, and our board of directors terminated our 2013 Plan in August 2018. No new awards will be granted under our 2018 Plan once our 2023 Plan becomes effective.</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2023 Employee Stock Purchase Plan</w:t>
      </w:r>
    </w:p>
    <w:p>
      <w:pPr>
        <w:spacing w:after="0" w:line="108" w:lineRule="exact"/>
        <w:rPr>
          <w:sz w:val="20"/>
          <w:szCs w:val="20"/>
          <w:color w:val="auto"/>
        </w:rPr>
      </w:pPr>
    </w:p>
    <w:p>
      <w:pPr>
        <w:ind w:left="880"/>
        <w:spacing w:after="0"/>
        <w:tabs>
          <w:tab w:leader="none" w:pos="1700" w:val="left"/>
          <w:tab w:leader="none" w:pos="5400" w:val="left"/>
        </w:tabs>
        <w:rPr>
          <w:sz w:val="20"/>
          <w:szCs w:val="20"/>
          <w:color w:val="auto"/>
        </w:rPr>
      </w:pPr>
      <w:r>
        <w:rPr>
          <w:rFonts w:ascii="Arial" w:cs="Arial" w:eastAsia="Arial" w:hAnsi="Arial"/>
          <w:sz w:val="17"/>
          <w:szCs w:val="17"/>
          <w:color w:val="auto"/>
        </w:rPr>
        <w:t>In</w:t>
      </w:r>
      <w:r>
        <w:rPr>
          <w:sz w:val="20"/>
          <w:szCs w:val="20"/>
          <w:color w:val="auto"/>
        </w:rPr>
        <w:tab/>
      </w:r>
      <w:r>
        <w:rPr>
          <w:rFonts w:ascii="Arial" w:cs="Arial" w:eastAsia="Arial" w:hAnsi="Arial"/>
          <w:sz w:val="17"/>
          <w:szCs w:val="17"/>
          <w:color w:val="auto"/>
        </w:rPr>
        <w:t>2023, our board of directors adopted, and in</w:t>
      </w:r>
      <w:r>
        <w:rPr>
          <w:sz w:val="20"/>
          <w:szCs w:val="20"/>
          <w:color w:val="auto"/>
        </w:rPr>
        <w:tab/>
      </w:r>
      <w:r>
        <w:rPr>
          <w:rFonts w:ascii="Arial" w:cs="Arial" w:eastAsia="Arial" w:hAnsi="Arial"/>
          <w:sz w:val="15"/>
          <w:szCs w:val="15"/>
          <w:color w:val="auto"/>
        </w:rPr>
        <w:t>2023 our stockholders approved, our ESPP. Our ESPP will become effective</w:t>
      </w:r>
    </w:p>
    <w:p>
      <w:pPr>
        <w:spacing w:after="0" w:line="19" w:lineRule="exact"/>
        <w:rPr>
          <w:sz w:val="20"/>
          <w:szCs w:val="20"/>
          <w:color w:val="auto"/>
        </w:rPr>
      </w:pPr>
    </w:p>
    <w:p>
      <w:pPr>
        <w:ind w:left="460" w:right="80"/>
        <w:spacing w:after="0" w:line="250" w:lineRule="auto"/>
        <w:rPr>
          <w:sz w:val="20"/>
          <w:szCs w:val="20"/>
          <w:color w:val="auto"/>
        </w:rPr>
      </w:pPr>
      <w:r>
        <w:rPr>
          <w:rFonts w:ascii="Arial" w:cs="Arial" w:eastAsia="Arial" w:hAnsi="Arial"/>
          <w:sz w:val="17"/>
          <w:szCs w:val="17"/>
          <w:color w:val="auto"/>
        </w:rPr>
        <w:t>immediately prior to and contingent upon the effectiveness of the registration statement of which this prospectus forms a part. The purpose of our ESPP will be to secure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w:t>
      </w:r>
    </w:p>
    <w:p>
      <w:pPr>
        <w:spacing w:after="0" w:line="184" w:lineRule="exact"/>
        <w:rPr>
          <w:sz w:val="20"/>
          <w:szCs w:val="20"/>
          <w:color w:val="auto"/>
        </w:rPr>
      </w:pPr>
    </w:p>
    <w:p>
      <w:pPr>
        <w:ind w:left="460" w:right="400" w:firstLine="413"/>
        <w:spacing w:after="0" w:line="290" w:lineRule="auto"/>
        <w:rPr>
          <w:sz w:val="20"/>
          <w:szCs w:val="20"/>
          <w:color w:val="auto"/>
        </w:rPr>
      </w:pPr>
      <w:r>
        <w:rPr>
          <w:rFonts w:ascii="Arial" w:cs="Arial" w:eastAsia="Arial" w:hAnsi="Arial"/>
          <w:sz w:val="15"/>
          <w:szCs w:val="15"/>
          <w:i w:val="1"/>
          <w:iCs w:val="1"/>
          <w:color w:val="auto"/>
        </w:rPr>
        <w:t>Share Reserve</w:t>
      </w:r>
      <w:r>
        <w:rPr>
          <w:rFonts w:ascii="Arial" w:cs="Arial" w:eastAsia="Arial" w:hAnsi="Arial"/>
          <w:sz w:val="15"/>
          <w:szCs w:val="15"/>
          <w:color w:val="auto"/>
        </w:rPr>
        <w:t>. Following this offering, the ESPP will authorize the issuance of shares of our common stock under purchase rights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our employees or to employees of any of our designated affiliates. The number of shares of our common stock reserved for issuance will</w:t>
      </w:r>
    </w:p>
    <w:p>
      <w:pPr>
        <w:ind w:left="460" w:right="40"/>
        <w:spacing w:after="0" w:line="264" w:lineRule="auto"/>
        <w:rPr>
          <w:sz w:val="20"/>
          <w:szCs w:val="20"/>
          <w:color w:val="auto"/>
        </w:rPr>
      </w:pPr>
      <w:r>
        <w:rPr>
          <w:rFonts w:ascii="Arial" w:cs="Arial" w:eastAsia="Arial" w:hAnsi="Arial"/>
          <w:sz w:val="16"/>
          <w:szCs w:val="16"/>
          <w:color w:val="auto"/>
        </w:rPr>
        <w:t>automatically increase on January 1 of each calendar year, beginning on January 1, 2024 through January 1, 2033, by the lesser of (1) % of the total number of shares of our common stock outstanding on the last day of the year before the date of the automatic increase and (2) shares;</w:t>
      </w:r>
    </w:p>
    <w:p>
      <w:pPr>
        <w:ind w:left="460" w:right="440"/>
        <w:spacing w:after="0" w:line="257" w:lineRule="auto"/>
        <w:rPr>
          <w:sz w:val="20"/>
          <w:szCs w:val="20"/>
          <w:color w:val="auto"/>
        </w:rPr>
      </w:pPr>
      <w:r>
        <w:rPr>
          <w:rFonts w:ascii="Arial" w:cs="Arial" w:eastAsia="Arial" w:hAnsi="Arial"/>
          <w:sz w:val="17"/>
          <w:szCs w:val="17"/>
          <w:color w:val="auto"/>
        </w:rPr>
        <w:t>provided that before the date of any such increase, our board of directors may determine that such increase will be less than the amount set forth in clauses (1) and (2).</w:t>
      </w:r>
    </w:p>
    <w:p>
      <w:pPr>
        <w:spacing w:after="0" w:line="177" w:lineRule="exact"/>
        <w:rPr>
          <w:sz w:val="20"/>
          <w:szCs w:val="20"/>
          <w:color w:val="auto"/>
        </w:rPr>
      </w:pPr>
    </w:p>
    <w:p>
      <w:pPr>
        <w:ind w:left="460" w:right="140" w:firstLine="413"/>
        <w:spacing w:after="0" w:line="25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will administer the ESPP and may delegate its authority to administer the ESPP to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The ESPP will be implemented through a series of offerings under which eligible employees are granted purchase rights to purchase shares of our common stock on specified dates during such offerings. Under the ESPP, our board of directors will be permitted to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 xml:space="preserve">Payroll Deductions. </w:t>
      </w:r>
      <w:r>
        <w:rPr>
          <w:rFonts w:ascii="Arial" w:cs="Arial" w:eastAsia="Arial" w:hAnsi="Arial"/>
          <w:sz w:val="15"/>
          <w:szCs w:val="15"/>
          <w:color w:val="auto"/>
        </w:rPr>
        <w:t>Generally, all regular employees, including executive officers, employed by us or by any of our designated affiliates, will be</w:t>
      </w:r>
    </w:p>
    <w:p>
      <w:pPr>
        <w:spacing w:after="0" w:line="42"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eligible to participate in the ESPP and may contribute, normally through payroll deductions, up to % of their earnings (as defined in the ESPP) for the purchase of our common stock under the ESPP. Unless otherwise determined by our board of directors, common stock will be purchased</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271</w:t>
      </w:r>
    </w:p>
    <w:p>
      <w:pPr>
        <w:sectPr>
          <w:pgSz w:w="11900" w:h="16838" w:orient="portrait"/>
          <w:cols w:equalWidth="0" w:num="1">
            <w:col w:w="10800"/>
          </w:cols>
          <w:pgMar w:left="320" w:top="440" w:right="779" w:bottom="1440" w:gutter="0" w:footer="0" w:header="0"/>
        </w:sectPr>
      </w:pPr>
    </w:p>
    <w:bookmarkStart w:id="281" w:name="page282"/>
    <w:bookmarkEnd w:id="2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0"/>
        <w:spacing w:after="0" w:line="340" w:lineRule="auto"/>
        <w:rPr>
          <w:sz w:val="20"/>
          <w:szCs w:val="20"/>
          <w:color w:val="auto"/>
        </w:rPr>
      </w:pPr>
      <w:r>
        <w:rPr>
          <w:rFonts w:ascii="Arial" w:cs="Arial" w:eastAsia="Arial" w:hAnsi="Arial"/>
          <w:sz w:val="15"/>
          <w:szCs w:val="15"/>
          <w:color w:val="auto"/>
        </w:rPr>
        <w:t>for the accounts of employees participating in the ESPP at a price per share that is at least the lesser of (1) 85% of the fair market value of a share of our common stock on the first date of an offering or (2) 85% of the fair market value of a share of our common stock on the date of purchase.</w:t>
      </w:r>
    </w:p>
    <w:p>
      <w:pPr>
        <w:spacing w:after="0" w:line="119"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i w:val="1"/>
          <w:iCs w:val="1"/>
          <w:color w:val="auto"/>
        </w:rPr>
        <w:t xml:space="preserve">Limitations. </w:t>
      </w:r>
      <w:r>
        <w:rPr>
          <w:rFonts w:ascii="Arial" w:cs="Arial" w:eastAsia="Arial" w:hAnsi="Arial"/>
          <w:sz w:val="16"/>
          <w:szCs w:val="16"/>
          <w:color w:val="auto"/>
        </w:rPr>
        <w:t>Employees may have to satisfy one or more of the following service requirements before participating in the ESPP,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will be permitted to purchase shares under the ESPP at a rate in excess of $25,000 worth of our common stock based on the fair market value per share of our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72" w:lineRule="exact"/>
        <w:rPr>
          <w:sz w:val="20"/>
          <w:szCs w:val="20"/>
          <w:color w:val="auto"/>
        </w:rPr>
      </w:pPr>
    </w:p>
    <w:p>
      <w:pPr>
        <w:ind w:left="460" w:right="80" w:firstLine="413"/>
        <w:spacing w:after="0" w:line="293" w:lineRule="auto"/>
        <w:rPr>
          <w:sz w:val="20"/>
          <w:szCs w:val="20"/>
          <w:color w:val="auto"/>
        </w:rPr>
      </w:pPr>
      <w:r>
        <w:rPr>
          <w:rFonts w:ascii="Arial" w:cs="Arial" w:eastAsia="Arial" w:hAnsi="Arial"/>
          <w:sz w:val="15"/>
          <w:szCs w:val="15"/>
          <w:i w:val="1"/>
          <w:iCs w:val="1"/>
          <w:color w:val="auto"/>
        </w:rPr>
        <w:t xml:space="preserve">Changes to Capital Structure. </w:t>
      </w:r>
      <w:r>
        <w:rPr>
          <w:rFonts w:ascii="Arial" w:cs="Arial" w:eastAsia="Arial" w:hAnsi="Arial"/>
          <w:sz w:val="15"/>
          <w:szCs w:val="15"/>
          <w:color w:val="auto"/>
        </w:rPr>
        <w:t>In the event that there occurs a change in our capital structure through such actions as a stock split, merger,</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consolidation, reorganization, recapitalization, reincorporation, stock dividend, dividend in property other than cash, large nonrecurring cash dividend, liquidating dividend, combination or exchange of shares, change in corporate structure, or similar transaction, our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55"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of certain significant corporate transactions, any then-outstanding rights to purchase our stock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 after such purchase.</w:t>
      </w:r>
    </w:p>
    <w:p>
      <w:pPr>
        <w:spacing w:after="0" w:line="181"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common stock outstanding immediately before such transaction are converted or exchanged into other property by virtue of the transaction.</w:t>
      </w:r>
    </w:p>
    <w:p>
      <w:pPr>
        <w:spacing w:after="0" w:line="179" w:lineRule="exact"/>
        <w:rPr>
          <w:sz w:val="20"/>
          <w:szCs w:val="20"/>
          <w:color w:val="auto"/>
        </w:rPr>
      </w:pPr>
    </w:p>
    <w:p>
      <w:pPr>
        <w:jc w:val="both"/>
        <w:ind w:left="460" w:right="100" w:firstLine="413"/>
        <w:spacing w:after="0" w:line="284" w:lineRule="auto"/>
        <w:rPr>
          <w:sz w:val="20"/>
          <w:szCs w:val="20"/>
          <w:color w:val="auto"/>
        </w:rPr>
      </w:pPr>
      <w:r>
        <w:rPr>
          <w:rFonts w:ascii="Arial" w:cs="Arial" w:eastAsia="Arial" w:hAnsi="Arial"/>
          <w:sz w:val="16"/>
          <w:szCs w:val="16"/>
          <w:i w:val="1"/>
          <w:iCs w:val="1"/>
          <w:color w:val="auto"/>
        </w:rPr>
        <w:t xml:space="preserve">ESPP Amendment or Termination. </w:t>
      </w:r>
      <w:r>
        <w:rPr>
          <w:rFonts w:ascii="Arial" w:cs="Arial" w:eastAsia="Arial" w:hAnsi="Arial"/>
          <w:sz w:val="16"/>
          <w:szCs w:val="16"/>
          <w:color w:val="auto"/>
        </w:rPr>
        <w:t>Our board of directors will have the authority to amend or terminate our ESPP, provided that except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272</w:t>
      </w:r>
    </w:p>
    <w:p>
      <w:pPr>
        <w:sectPr>
          <w:pgSz w:w="11900" w:h="16838" w:orient="portrait"/>
          <w:cols w:equalWidth="0" w:num="1">
            <w:col w:w="10760"/>
          </w:cols>
          <w:pgMar w:left="320" w:top="440" w:right="81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4"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Other than compensation arrangements for our directors and executive officers, which are described elsewhere in this prospectus, we describe below transactions since January 1, 2020 and each currently proposed transaction in which:</w:t>
      </w:r>
    </w:p>
    <w:p>
      <w:pPr>
        <w:spacing w:after="0" w:line="76" w:lineRule="exact"/>
        <w:rPr>
          <w:sz w:val="20"/>
          <w:szCs w:val="20"/>
          <w:color w:val="auto"/>
        </w:rPr>
      </w:pPr>
    </w:p>
    <w:p>
      <w:pPr>
        <w:ind w:left="1360" w:hanging="498"/>
        <w:spacing w:after="0"/>
        <w:tabs>
          <w:tab w:leader="none" w:pos="13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1" w:lineRule="exact"/>
        <w:rPr>
          <w:rFonts w:ascii="Arial" w:cs="Arial" w:eastAsia="Arial" w:hAnsi="Arial"/>
          <w:sz w:val="17"/>
          <w:szCs w:val="17"/>
          <w:color w:val="auto"/>
        </w:rPr>
      </w:pPr>
    </w:p>
    <w:p>
      <w:pPr>
        <w:ind w:left="1360" w:right="140" w:hanging="498"/>
        <w:spacing w:after="0" w:line="340" w:lineRule="auto"/>
        <w:tabs>
          <w:tab w:leader="none" w:pos="13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9" w:lineRule="exact"/>
        <w:rPr>
          <w:sz w:val="20"/>
          <w:szCs w:val="20"/>
          <w:color w:val="auto"/>
        </w:rPr>
      </w:pPr>
    </w:p>
    <w:p>
      <w:pPr>
        <w:ind w:left="460" w:right="180" w:firstLine="413"/>
        <w:spacing w:after="0" w:line="303" w:lineRule="auto"/>
        <w:rPr>
          <w:sz w:val="20"/>
          <w:szCs w:val="20"/>
          <w:color w:val="auto"/>
        </w:rPr>
      </w:pPr>
      <w:r>
        <w:rPr>
          <w:rFonts w:ascii="Arial" w:cs="Arial" w:eastAsia="Arial" w:hAnsi="Arial"/>
          <w:sz w:val="16"/>
          <w:szCs w:val="16"/>
          <w:color w:val="auto"/>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spacing w:after="0" w:line="34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Series G Preferred Stock Financing</w:t>
      </w:r>
    </w:p>
    <w:p>
      <w:pPr>
        <w:spacing w:after="0" w:line="214"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In June 2020 and July 2020, we sold an aggregate of 6,757,893 shares of our Series G redeemable convertible preferred stock at a purchase price of $48.0919 per share, for an aggregate purchase price of approximately $325 million. The following table summarizes purchases of our Series G redeemable convertible preferred stock by the related party: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89"/>
              </w:rPr>
              <w:t>Shares of Series G</w:t>
            </w: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Total Series G</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50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w w:val="93"/>
              </w:rPr>
              <w:t>Redeemable</w:t>
            </w:r>
          </w:p>
        </w:tc>
        <w:tc>
          <w:tcPr>
            <w:tcW w:w="11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3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0"/>
              </w:rPr>
              <w:t>Stockholder</w:t>
            </w:r>
          </w:p>
        </w:tc>
        <w:tc>
          <w:tcPr>
            <w:tcW w:w="7040" w:type="dxa"/>
            <w:vAlign w:val="bottom"/>
            <w:vMerge w:val="restart"/>
          </w:tcPr>
          <w:p>
            <w:pPr>
              <w:spacing w:after="0"/>
              <w:rPr>
                <w:sz w:val="12"/>
                <w:szCs w:val="12"/>
                <w:color w:val="auto"/>
              </w:rPr>
            </w:pPr>
          </w:p>
        </w:tc>
        <w:tc>
          <w:tcPr>
            <w:tcW w:w="150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11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Preferred Stock</w:t>
            </w:r>
          </w:p>
        </w:tc>
        <w:tc>
          <w:tcPr>
            <w:tcW w:w="0" w:type="dxa"/>
            <w:vAlign w:val="bottom"/>
          </w:tcPr>
          <w:p>
            <w:pPr>
              <w:spacing w:after="0"/>
              <w:rPr>
                <w:sz w:val="1"/>
                <w:szCs w:val="1"/>
                <w:color w:val="auto"/>
              </w:rPr>
            </w:pPr>
          </w:p>
        </w:tc>
      </w:tr>
      <w:tr>
        <w:trPr>
          <w:trHeight w:val="167"/>
        </w:trPr>
        <w:tc>
          <w:tcPr>
            <w:tcW w:w="700" w:type="dxa"/>
            <w:vAlign w:val="bottom"/>
            <w:tcBorders>
              <w:bottom w:val="single" w:sz="8" w:color="auto"/>
            </w:tcBorders>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3"/>
                <w:szCs w:val="13"/>
                <w:b w:val="1"/>
                <w:bCs w:val="1"/>
                <w:color w:val="auto"/>
                <w:w w:val="94"/>
              </w:rPr>
              <w:t>Preferred Stock</w:t>
            </w:r>
          </w:p>
        </w:tc>
        <w:tc>
          <w:tcPr>
            <w:tcW w:w="1100" w:type="dxa"/>
            <w:vAlign w:val="bottom"/>
            <w:gridSpan w:val="2"/>
          </w:tcPr>
          <w:p>
            <w:pPr>
              <w:jc w:val="center"/>
              <w:ind w:right="80"/>
              <w:spacing w:after="0" w:line="147" w:lineRule="exact"/>
              <w:rPr>
                <w:sz w:val="20"/>
                <w:szCs w:val="20"/>
                <w:color w:val="auto"/>
              </w:rPr>
            </w:pPr>
            <w:r>
              <w:rPr>
                <w:rFonts w:ascii="Arial" w:cs="Arial" w:eastAsia="Arial" w:hAnsi="Arial"/>
                <w:sz w:val="13"/>
                <w:szCs w:val="13"/>
                <w:b w:val="1"/>
                <w:bCs w:val="1"/>
                <w:color w:val="auto"/>
                <w:w w:val="91"/>
              </w:rPr>
              <w:t>Purchase Price</w:t>
            </w:r>
          </w:p>
        </w:tc>
        <w:tc>
          <w:tcPr>
            <w:tcW w:w="0" w:type="dxa"/>
            <w:vAlign w:val="bottom"/>
          </w:tcPr>
          <w:p>
            <w:pPr>
              <w:spacing w:after="0"/>
              <w:rPr>
                <w:sz w:val="1"/>
                <w:szCs w:val="1"/>
                <w:color w:val="auto"/>
              </w:rPr>
            </w:pPr>
          </w:p>
        </w:tc>
      </w:tr>
      <w:tr>
        <w:trPr>
          <w:trHeight w:val="188"/>
        </w:trPr>
        <w:tc>
          <w:tcPr>
            <w:tcW w:w="77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5"/>
                <w:szCs w:val="15"/>
                <w:color w:val="auto"/>
              </w:rPr>
              <w:t>Entities affiliated with D1 Capital Partners</w:t>
            </w:r>
            <w:r>
              <w:rPr>
                <w:rFonts w:ascii="Arial" w:cs="Arial" w:eastAsia="Arial" w:hAnsi="Arial"/>
                <w:sz w:val="21"/>
                <w:szCs w:val="21"/>
                <w:color w:val="auto"/>
                <w:vertAlign w:val="superscript"/>
              </w:rPr>
              <w:t>(1)</w:t>
            </w:r>
          </w:p>
        </w:tc>
        <w:tc>
          <w:tcPr>
            <w:tcW w:w="10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1,039,675</w:t>
            </w:r>
          </w:p>
        </w:tc>
        <w:tc>
          <w:tcPr>
            <w:tcW w:w="4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8"/>
              </w:rPr>
              <w:t>$  49,999,946</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jc w:val="both"/>
        <w:ind w:left="860" w:right="180" w:hanging="403"/>
        <w:spacing w:after="0" w:line="241" w:lineRule="auto"/>
        <w:tabs>
          <w:tab w:leader="none" w:pos="8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Entities affiliated with D1 Capital Partners holding our securities whose shares are aggregated for purposes of reporting share ownership information are D1 Iconoclast Holdings LP, D1 Master Holdco I LLC, GCM Grosvenor IC SPV, LLC, and GCM Grosvenor IC SPV 2, LLC. These entities beneficially own more than 5% of our outstanding capital stock, and Daniel Sundheim, a member of our board of directors, is the Founder and Chief Investment Officer of D1 Capital Partners.</w:t>
      </w:r>
    </w:p>
    <w:p>
      <w:pPr>
        <w:spacing w:after="0" w:line="37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2020 Tender Offer</w:t>
      </w:r>
    </w:p>
    <w:p>
      <w:pPr>
        <w:spacing w:after="0" w:line="214" w:lineRule="exact"/>
        <w:rPr>
          <w:sz w:val="20"/>
          <w:szCs w:val="20"/>
          <w:color w:val="auto"/>
        </w:rPr>
      </w:pPr>
    </w:p>
    <w:p>
      <w:pPr>
        <w:ind w:left="460" w:right="120" w:firstLine="413"/>
        <w:spacing w:after="0" w:line="269" w:lineRule="auto"/>
        <w:rPr>
          <w:sz w:val="20"/>
          <w:szCs w:val="20"/>
          <w:color w:val="auto"/>
        </w:rPr>
      </w:pPr>
      <w:r>
        <w:rPr>
          <w:rFonts w:ascii="Arial" w:cs="Arial" w:eastAsia="Arial" w:hAnsi="Arial"/>
          <w:sz w:val="16"/>
          <w:szCs w:val="16"/>
          <w:color w:val="auto"/>
        </w:rPr>
        <w:t>In July 2020, we entered into a letter agreement with entities affiliated with D1 Capital Partners, a holder of greater than 5% of our capital stock and affiliate of our director, Daniel Sundheim, and several other purchasers, pursuant to which we agreed to waive certain transfer restrictions in connection with, and assist in the administration of, a tender offer that such entities proposed to commence. In July 2020, these entities commenced a tender offer to purchase shares of our voting common stock and non-voting common stock from certain of our stockholders at a price of $46.30 per share, pursuant to an offer to purchase to which we were not a party. An aggregate of 2,944,239 shares of our voting common stock and 153,813 shares of our non-voting common stock were tendered for an aggregate purchase price of approximately $143 million. Apoorva Mehta, our Chief Executive Officer at the time of such transaction, Sagar Sanghvi, our Chief Financial Officer at the time of such transaction, Nilam Ganenthiran, our President at the time of such transaction, Morgan Fong, our General Counsel, and certain other of our employees sold shares of our voting common stock and non-voting common stock in the tender offer.</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273</w:t>
      </w:r>
    </w:p>
    <w:p>
      <w:pPr>
        <w:sectPr>
          <w:pgSz w:w="11900" w:h="16838" w:orient="portrait"/>
          <w:cols w:equalWidth="0" w:num="1">
            <w:col w:w="10800"/>
          </w:cols>
          <w:pgMar w:left="320" w:top="440" w:right="77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Series H Preferred Stock Financing</w:t>
      </w:r>
    </w:p>
    <w:p>
      <w:pPr>
        <w:spacing w:after="0" w:line="214" w:lineRule="exact"/>
        <w:rPr>
          <w:sz w:val="20"/>
          <w:szCs w:val="20"/>
          <w:color w:val="auto"/>
        </w:rPr>
      </w:pPr>
    </w:p>
    <w:p>
      <w:pPr>
        <w:ind w:left="460" w:right="280" w:firstLine="413"/>
        <w:spacing w:after="0" w:line="260" w:lineRule="auto"/>
        <w:rPr>
          <w:sz w:val="20"/>
          <w:szCs w:val="20"/>
          <w:color w:val="auto"/>
        </w:rPr>
      </w:pPr>
      <w:r>
        <w:rPr>
          <w:rFonts w:ascii="Arial" w:cs="Arial" w:eastAsia="Arial" w:hAnsi="Arial"/>
          <w:sz w:val="17"/>
          <w:szCs w:val="17"/>
          <w:color w:val="auto"/>
        </w:rPr>
        <w:t>In October 2020 and November 2020, we sold an aggregate of 4,999,999 shares of our Series H redeemable convertible preferred stock at a purchase price of $60.00 per share, for an aggregate purchase price of approximately $300 million. The following table summarizes purchases of our Series H redeemable convertible preferred stock by related parties: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620" w:type="dxa"/>
            <w:vAlign w:val="bottom"/>
            <w:gridSpan w:val="2"/>
            <w:vMerge w:val="restart"/>
          </w:tcPr>
          <w:p>
            <w:pPr>
              <w:jc w:val="center"/>
              <w:ind w:right="560"/>
              <w:spacing w:after="0"/>
              <w:rPr>
                <w:sz w:val="20"/>
                <w:szCs w:val="20"/>
                <w:color w:val="auto"/>
              </w:rPr>
            </w:pPr>
            <w:r>
              <w:rPr>
                <w:rFonts w:ascii="Arial" w:cs="Arial" w:eastAsia="Arial" w:hAnsi="Arial"/>
                <w:sz w:val="13"/>
                <w:szCs w:val="13"/>
                <w:b w:val="1"/>
                <w:bCs w:val="1"/>
                <w:color w:val="auto"/>
                <w:w w:val="92"/>
              </w:rPr>
              <w:t>Shares of Series H</w:t>
            </w: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Total Series H</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620" w:type="dxa"/>
            <w:vAlign w:val="bottom"/>
            <w:gridSpan w:val="2"/>
          </w:tcPr>
          <w:p>
            <w:pPr>
              <w:jc w:val="center"/>
              <w:ind w:right="560"/>
              <w:spacing w:after="0" w:line="139" w:lineRule="exact"/>
              <w:rPr>
                <w:sz w:val="20"/>
                <w:szCs w:val="20"/>
                <w:color w:val="auto"/>
              </w:rPr>
            </w:pPr>
            <w:r>
              <w:rPr>
                <w:rFonts w:ascii="Arial" w:cs="Arial" w:eastAsia="Arial" w:hAnsi="Arial"/>
                <w:sz w:val="13"/>
                <w:szCs w:val="13"/>
                <w:b w:val="1"/>
                <w:bCs w:val="1"/>
                <w:color w:val="auto"/>
                <w:w w:val="91"/>
              </w:rPr>
              <w:t>Redeemable</w:t>
            </w:r>
          </w:p>
        </w:tc>
        <w:tc>
          <w:tcPr>
            <w:tcW w:w="10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3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0"/>
              </w:rPr>
              <w:t>Stockholder</w:t>
            </w:r>
          </w:p>
        </w:tc>
        <w:tc>
          <w:tcPr>
            <w:tcW w:w="6940" w:type="dxa"/>
            <w:vAlign w:val="bottom"/>
            <w:vMerge w:val="restart"/>
          </w:tcPr>
          <w:p>
            <w:pPr>
              <w:spacing w:after="0"/>
              <w:rPr>
                <w:sz w:val="12"/>
                <w:szCs w:val="12"/>
                <w:color w:val="auto"/>
              </w:rPr>
            </w:pPr>
          </w:p>
        </w:tc>
        <w:tc>
          <w:tcPr>
            <w:tcW w:w="162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108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2"/>
              </w:rPr>
              <w:t>Preferred Stock</w:t>
            </w:r>
          </w:p>
        </w:tc>
        <w:tc>
          <w:tcPr>
            <w:tcW w:w="0" w:type="dxa"/>
            <w:vAlign w:val="bottom"/>
          </w:tcPr>
          <w:p>
            <w:pPr>
              <w:spacing w:after="0"/>
              <w:rPr>
                <w:sz w:val="1"/>
                <w:szCs w:val="1"/>
                <w:color w:val="auto"/>
              </w:rPr>
            </w:pPr>
          </w:p>
        </w:tc>
      </w:tr>
      <w:tr>
        <w:trPr>
          <w:trHeight w:val="167"/>
        </w:trPr>
        <w:tc>
          <w:tcPr>
            <w:tcW w:w="700" w:type="dxa"/>
            <w:vAlign w:val="bottom"/>
            <w:tcBorders>
              <w:bottom w:val="single" w:sz="8" w:color="auto"/>
            </w:tcBorders>
            <w:vMerge w:val="continue"/>
          </w:tcPr>
          <w:p>
            <w:pPr>
              <w:spacing w:after="0"/>
              <w:rPr>
                <w:sz w:val="14"/>
                <w:szCs w:val="14"/>
                <w:color w:val="auto"/>
              </w:rPr>
            </w:pPr>
          </w:p>
        </w:tc>
        <w:tc>
          <w:tcPr>
            <w:tcW w:w="6940" w:type="dxa"/>
            <w:vAlign w:val="bottom"/>
            <w:vMerge w:val="continue"/>
          </w:tcPr>
          <w:p>
            <w:pPr>
              <w:spacing w:after="0"/>
              <w:rPr>
                <w:sz w:val="14"/>
                <w:szCs w:val="14"/>
                <w:color w:val="auto"/>
              </w:rPr>
            </w:pPr>
          </w:p>
        </w:tc>
        <w:tc>
          <w:tcPr>
            <w:tcW w:w="1620" w:type="dxa"/>
            <w:vAlign w:val="bottom"/>
            <w:gridSpan w:val="2"/>
          </w:tcPr>
          <w:p>
            <w:pPr>
              <w:jc w:val="center"/>
              <w:ind w:right="560"/>
              <w:spacing w:after="0" w:line="147" w:lineRule="exact"/>
              <w:rPr>
                <w:sz w:val="20"/>
                <w:szCs w:val="20"/>
                <w:color w:val="auto"/>
              </w:rPr>
            </w:pPr>
            <w:r>
              <w:rPr>
                <w:rFonts w:ascii="Arial" w:cs="Arial" w:eastAsia="Arial" w:hAnsi="Arial"/>
                <w:sz w:val="13"/>
                <w:szCs w:val="13"/>
                <w:b w:val="1"/>
                <w:bCs w:val="1"/>
                <w:color w:val="auto"/>
                <w:w w:val="92"/>
              </w:rPr>
              <w:t>Preferred Stock</w:t>
            </w:r>
          </w:p>
        </w:tc>
        <w:tc>
          <w:tcPr>
            <w:tcW w:w="108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1"/>
              </w:rPr>
              <w:t>Purchase Price</w:t>
            </w:r>
          </w:p>
        </w:tc>
        <w:tc>
          <w:tcPr>
            <w:tcW w:w="0" w:type="dxa"/>
            <w:vAlign w:val="bottom"/>
          </w:tcPr>
          <w:p>
            <w:pPr>
              <w:spacing w:after="0"/>
              <w:rPr>
                <w:sz w:val="1"/>
                <w:szCs w:val="1"/>
                <w:color w:val="auto"/>
              </w:rPr>
            </w:pPr>
          </w:p>
        </w:tc>
      </w:tr>
      <w:tr>
        <w:trPr>
          <w:trHeight w:val="188"/>
        </w:trPr>
        <w:tc>
          <w:tcPr>
            <w:tcW w:w="76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5"/>
                <w:szCs w:val="15"/>
                <w:color w:val="auto"/>
              </w:rPr>
              <w:t>Entities affiliated with D1 Capital Partners</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500,000</w:t>
            </w:r>
          </w:p>
        </w:tc>
        <w:tc>
          <w:tcPr>
            <w:tcW w:w="5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7"/>
                <w:szCs w:val="17"/>
                <w:color w:val="auto"/>
                <w:w w:val="98"/>
              </w:rPr>
              <w:t>$  30,000,000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jc w:val="both"/>
        <w:ind w:left="860" w:right="180" w:hanging="403"/>
        <w:spacing w:after="0" w:line="241" w:lineRule="auto"/>
        <w:tabs>
          <w:tab w:leader="none" w:pos="86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Entities affiliated with D1 Capital Partners holding our securities whose shares are aggregated for purposes of reporting share ownership information are D1 Iconoclast Holdings LP, D1 Master Holdco I LLC, GCM Grosvenor IC SPV, LLC, and GCM Grosvenor IC SPV 2, LLC. These entities beneficially own more than 5% of our outstanding capital stock, and Daniel Sundheim, a member of our board of directors, is the Founder and Chief Investment Officer of D1 Capital Partners.</w:t>
      </w:r>
    </w:p>
    <w:p>
      <w:pPr>
        <w:spacing w:after="0" w:line="37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2021 Director Equity Investments</w:t>
      </w:r>
    </w:p>
    <w:p>
      <w:pPr>
        <w:spacing w:after="0" w:line="214"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In January 2021, we issued and sold an aggregate of 83,332 shares of our non-voting common stock to entities affiliated with certain members of our board of directors, at a purchase price of $60.00 per share, for an aggregate purchase price of approximately $5 million. The following table summarizes the purchases of our non-voting common stock in this transaction by related parties: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0"/>
              </w:rPr>
              <w:t>Shares of Non-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 Non-</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13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0"/>
              </w:rPr>
              <w:t>Stockholder</w:t>
            </w:r>
          </w:p>
        </w:tc>
        <w:tc>
          <w:tcPr>
            <w:tcW w:w="7040" w:type="dxa"/>
            <w:vAlign w:val="bottom"/>
            <w:vMerge w:val="restart"/>
          </w:tcPr>
          <w:p>
            <w:pPr>
              <w:spacing w:after="0"/>
              <w:rPr>
                <w:sz w:val="12"/>
                <w:szCs w:val="12"/>
                <w:color w:val="auto"/>
              </w:rPr>
            </w:pPr>
          </w:p>
        </w:tc>
        <w:tc>
          <w:tcPr>
            <w:tcW w:w="128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w w:val="93"/>
              </w:rPr>
              <w:t>Voting Common</w:t>
            </w:r>
          </w:p>
        </w:tc>
        <w:tc>
          <w:tcPr>
            <w:tcW w:w="320" w:type="dxa"/>
            <w:vAlign w:val="bottom"/>
          </w:tcPr>
          <w:p>
            <w:pPr>
              <w:spacing w:after="0"/>
              <w:rPr>
                <w:sz w:val="12"/>
                <w:szCs w:val="12"/>
                <w:color w:val="auto"/>
              </w:rPr>
            </w:pPr>
          </w:p>
        </w:tc>
        <w:tc>
          <w:tcPr>
            <w:tcW w:w="100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Common Stock</w:t>
            </w:r>
          </w:p>
        </w:tc>
        <w:tc>
          <w:tcPr>
            <w:tcW w:w="0" w:type="dxa"/>
            <w:vAlign w:val="bottom"/>
          </w:tcPr>
          <w:p>
            <w:pPr>
              <w:spacing w:after="0"/>
              <w:rPr>
                <w:sz w:val="1"/>
                <w:szCs w:val="1"/>
                <w:color w:val="auto"/>
              </w:rPr>
            </w:pPr>
          </w:p>
        </w:tc>
      </w:tr>
      <w:tr>
        <w:trPr>
          <w:trHeight w:val="167"/>
        </w:trPr>
        <w:tc>
          <w:tcPr>
            <w:tcW w:w="700" w:type="dxa"/>
            <w:vAlign w:val="bottom"/>
            <w:tcBorders>
              <w:bottom w:val="single" w:sz="8" w:color="auto"/>
            </w:tcBorders>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1280" w:type="dxa"/>
            <w:vAlign w:val="bottom"/>
            <w:gridSpan w:val="2"/>
          </w:tcPr>
          <w:p>
            <w:pPr>
              <w:jc w:val="center"/>
              <w:ind w:right="320"/>
              <w:spacing w:after="0" w:line="147" w:lineRule="exact"/>
              <w:rPr>
                <w:sz w:val="20"/>
                <w:szCs w:val="20"/>
                <w:color w:val="auto"/>
              </w:rPr>
            </w:pPr>
            <w:r>
              <w:rPr>
                <w:rFonts w:ascii="Arial" w:cs="Arial" w:eastAsia="Arial" w:hAnsi="Arial"/>
                <w:sz w:val="13"/>
                <w:szCs w:val="13"/>
                <w:b w:val="1"/>
                <w:bCs w:val="1"/>
                <w:color w:val="auto"/>
                <w:w w:val="90"/>
              </w:rPr>
              <w:t>Stock</w:t>
            </w:r>
          </w:p>
        </w:tc>
        <w:tc>
          <w:tcPr>
            <w:tcW w:w="320" w:type="dxa"/>
            <w:vAlign w:val="bottom"/>
          </w:tcPr>
          <w:p>
            <w:pPr>
              <w:spacing w:after="0"/>
              <w:rPr>
                <w:sz w:val="14"/>
                <w:szCs w:val="14"/>
                <w:color w:val="auto"/>
              </w:rPr>
            </w:pPr>
          </w:p>
        </w:tc>
        <w:tc>
          <w:tcPr>
            <w:tcW w:w="1000" w:type="dxa"/>
            <w:vAlign w:val="bottom"/>
            <w:gridSpan w:val="3"/>
          </w:tcPr>
          <w:p>
            <w:pPr>
              <w:jc w:val="center"/>
              <w:ind w:right="60"/>
              <w:spacing w:after="0" w:line="147" w:lineRule="exact"/>
              <w:rPr>
                <w:sz w:val="20"/>
                <w:szCs w:val="20"/>
                <w:color w:val="auto"/>
              </w:rPr>
            </w:pPr>
            <w:r>
              <w:rPr>
                <w:rFonts w:ascii="Arial" w:cs="Arial" w:eastAsia="Arial" w:hAnsi="Arial"/>
                <w:sz w:val="13"/>
                <w:szCs w:val="13"/>
                <w:b w:val="1"/>
                <w:bCs w:val="1"/>
                <w:color w:val="auto"/>
                <w:w w:val="91"/>
              </w:rPr>
              <w:t>Purchase Price</w:t>
            </w:r>
          </w:p>
        </w:tc>
        <w:tc>
          <w:tcPr>
            <w:tcW w:w="0" w:type="dxa"/>
            <w:vAlign w:val="bottom"/>
          </w:tcPr>
          <w:p>
            <w:pPr>
              <w:spacing w:after="0"/>
              <w:rPr>
                <w:sz w:val="1"/>
                <w:szCs w:val="1"/>
                <w:color w:val="auto"/>
              </w:rPr>
            </w:pPr>
          </w:p>
        </w:tc>
      </w:tr>
      <w:tr>
        <w:trPr>
          <w:trHeight w:val="188"/>
        </w:trPr>
        <w:tc>
          <w:tcPr>
            <w:tcW w:w="77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5"/>
                <w:szCs w:val="15"/>
                <w:color w:val="auto"/>
              </w:rPr>
              <w:t>Invisible Hand Ventures, LLC</w:t>
            </w:r>
            <w:r>
              <w:rPr>
                <w:rFonts w:ascii="Arial" w:cs="Arial" w:eastAsia="Arial" w:hAnsi="Arial"/>
                <w:sz w:val="21"/>
                <w:szCs w:val="21"/>
                <w:color w:val="auto"/>
                <w:vertAlign w:val="superscript"/>
              </w:rPr>
              <w:t>(1)</w:t>
            </w:r>
          </w:p>
        </w:tc>
        <w:tc>
          <w:tcPr>
            <w:tcW w:w="9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16,666</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999,960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6"/>
                <w:szCs w:val="16"/>
                <w:color w:val="auto"/>
              </w:rPr>
              <w:t>Rivers Cross Trust</w:t>
            </w:r>
            <w:r>
              <w:rPr>
                <w:rFonts w:ascii="Arial" w:cs="Arial" w:eastAsia="Arial" w:hAnsi="Arial"/>
                <w:sz w:val="23"/>
                <w:szCs w:val="23"/>
                <w:color w:val="auto"/>
                <w:vertAlign w:val="superscript"/>
              </w:rPr>
              <w:t>(2)</w:t>
            </w: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33,333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1,999,980</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Simo Miralles Family Trust</w:t>
            </w:r>
            <w:r>
              <w:rPr>
                <w:rFonts w:ascii="Arial" w:cs="Arial" w:eastAsia="Arial" w:hAnsi="Arial"/>
                <w:sz w:val="23"/>
                <w:szCs w:val="23"/>
                <w:color w:val="auto"/>
                <w:vertAlign w:val="superscript"/>
              </w:rPr>
              <w:t>(3)</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33,333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1,999,980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9" w:lineRule="exact"/>
        <w:rPr>
          <w:sz w:val="20"/>
          <w:szCs w:val="20"/>
          <w:color w:val="auto"/>
        </w:rPr>
      </w:pPr>
    </w:p>
    <w:p>
      <w:pPr>
        <w:ind w:left="860" w:hanging="403"/>
        <w:spacing w:after="0"/>
        <w:tabs>
          <w:tab w:leader="none" w:pos="86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Frank Slootman, a member of our board of directors, is the manager of, and has sole voting and dispositive power over, Invisible Hand Ventures, LLC.</w:t>
      </w:r>
    </w:p>
    <w:p>
      <w:pPr>
        <w:spacing w:after="0" w:line="1" w:lineRule="exact"/>
        <w:rPr>
          <w:rFonts w:ascii="Arial" w:cs="Arial" w:eastAsia="Arial" w:hAnsi="Arial"/>
          <w:sz w:val="13"/>
          <w:szCs w:val="13"/>
          <w:color w:val="auto"/>
        </w:rPr>
      </w:pPr>
    </w:p>
    <w:p>
      <w:pPr>
        <w:ind w:left="860" w:hanging="403"/>
        <w:spacing w:after="0" w:line="223" w:lineRule="auto"/>
        <w:tabs>
          <w:tab w:leader="none" w:pos="86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Barry McCarthy, a member of our board of directors, is trustee of, and has sole voting and dispositive power over, Rivers Cross Trust.</w:t>
      </w:r>
    </w:p>
    <w:p>
      <w:pPr>
        <w:ind w:left="860" w:right="60" w:hanging="403"/>
        <w:spacing w:after="0"/>
        <w:tabs>
          <w:tab w:leader="none" w:pos="86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Fidji Simo, our Chief Executive Officer and a member of our board of directors, is co-trustee of the Simo Miralles Family Trust and shares voting and dispositive power over the Simo Miralles Family Trust with her spouse.</w:t>
      </w:r>
    </w:p>
    <w:p>
      <w:pPr>
        <w:spacing w:after="0" w:line="37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Series I Preferred Stock Financing</w:t>
      </w:r>
    </w:p>
    <w:p>
      <w:pPr>
        <w:spacing w:after="0" w:line="214"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In February 2021, we sold an aggregate of 2,120,000 shares of our Series I redeemable convertible preferred stock at a purchase price of $125.00 per share, for an aggregate purchase price of $265 million. The following table summarizes purchases of our Series I redeemable convertible preferred stock by related parties: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Shares of Series I</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Total Series I</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Redeemable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39"/>
        </w:trPr>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0"/>
              </w:rPr>
              <w:t>Stockholder</w:t>
            </w:r>
          </w:p>
        </w:tc>
        <w:tc>
          <w:tcPr>
            <w:tcW w:w="7080" w:type="dxa"/>
            <w:vAlign w:val="bottom"/>
            <w:gridSpan w:val="2"/>
            <w:vMerge w:val="restart"/>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Convertible</w:t>
            </w:r>
          </w:p>
        </w:tc>
        <w:tc>
          <w:tcPr>
            <w:tcW w:w="56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w w:val="99"/>
              </w:rPr>
              <w:t>Preferred Stock</w:t>
            </w:r>
          </w:p>
        </w:tc>
        <w:tc>
          <w:tcPr>
            <w:tcW w:w="0" w:type="dxa"/>
            <w:vAlign w:val="bottom"/>
          </w:tcPr>
          <w:p>
            <w:pPr>
              <w:spacing w:after="0"/>
              <w:rPr>
                <w:sz w:val="1"/>
                <w:szCs w:val="1"/>
                <w:color w:val="auto"/>
              </w:rPr>
            </w:pPr>
          </w:p>
        </w:tc>
      </w:tr>
      <w:tr>
        <w:trPr>
          <w:trHeight w:val="167"/>
        </w:trPr>
        <w:tc>
          <w:tcPr>
            <w:tcW w:w="700" w:type="dxa"/>
            <w:vAlign w:val="bottom"/>
            <w:tcBorders>
              <w:bottom w:val="single" w:sz="8" w:color="auto"/>
            </w:tcBorders>
            <w:gridSpan w:val="2"/>
            <w:vMerge w:val="continue"/>
          </w:tcPr>
          <w:p>
            <w:pPr>
              <w:spacing w:after="0"/>
              <w:rPr>
                <w:sz w:val="14"/>
                <w:szCs w:val="14"/>
                <w:color w:val="auto"/>
              </w:rPr>
            </w:pPr>
          </w:p>
        </w:tc>
        <w:tc>
          <w:tcPr>
            <w:tcW w:w="7080" w:type="dxa"/>
            <w:vAlign w:val="bottom"/>
            <w:gridSpan w:val="2"/>
            <w:vMerge w:val="continue"/>
          </w:tcPr>
          <w:p>
            <w:pPr>
              <w:spacing w:after="0"/>
              <w:rPr>
                <w:sz w:val="14"/>
                <w:szCs w:val="14"/>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4"/>
              </w:rPr>
              <w:t>Preferred Stock</w:t>
            </w:r>
          </w:p>
        </w:tc>
        <w:tc>
          <w:tcPr>
            <w:tcW w:w="560" w:type="dxa"/>
            <w:vAlign w:val="bottom"/>
          </w:tcPr>
          <w:p>
            <w:pPr>
              <w:spacing w:after="0"/>
              <w:rPr>
                <w:sz w:val="14"/>
                <w:szCs w:val="14"/>
                <w:color w:val="auto"/>
              </w:rPr>
            </w:pPr>
          </w:p>
        </w:tc>
        <w:tc>
          <w:tcPr>
            <w:tcW w:w="1000" w:type="dxa"/>
            <w:vAlign w:val="bottom"/>
            <w:gridSpan w:val="3"/>
          </w:tcPr>
          <w:p>
            <w:pPr>
              <w:jc w:val="center"/>
              <w:ind w:right="60"/>
              <w:spacing w:after="0" w:line="147" w:lineRule="exact"/>
              <w:rPr>
                <w:sz w:val="20"/>
                <w:szCs w:val="20"/>
                <w:color w:val="auto"/>
              </w:rPr>
            </w:pPr>
            <w:r>
              <w:rPr>
                <w:rFonts w:ascii="Arial" w:cs="Arial" w:eastAsia="Arial" w:hAnsi="Arial"/>
                <w:sz w:val="13"/>
                <w:szCs w:val="13"/>
                <w:b w:val="1"/>
                <w:bCs w:val="1"/>
                <w:color w:val="auto"/>
                <w:w w:val="91"/>
              </w:rPr>
              <w:t>Purchase Price</w:t>
            </w:r>
          </w:p>
        </w:tc>
        <w:tc>
          <w:tcPr>
            <w:tcW w:w="0" w:type="dxa"/>
            <w:vAlign w:val="bottom"/>
          </w:tcPr>
          <w:p>
            <w:pPr>
              <w:spacing w:after="0"/>
              <w:rPr>
                <w:sz w:val="1"/>
                <w:szCs w:val="1"/>
                <w:color w:val="auto"/>
              </w:rPr>
            </w:pPr>
          </w:p>
        </w:tc>
      </w:tr>
      <w:tr>
        <w:trPr>
          <w:trHeight w:val="188"/>
        </w:trPr>
        <w:tc>
          <w:tcPr>
            <w:tcW w:w="7780" w:type="dxa"/>
            <w:vAlign w:val="bottom"/>
            <w:tcBorders>
              <w:top w:val="single" w:sz="8" w:color="CCEEFF"/>
            </w:tcBorders>
            <w:gridSpan w:val="4"/>
            <w:shd w:val="clear" w:color="auto" w:fill="CCEEFF"/>
          </w:tcPr>
          <w:p>
            <w:pPr>
              <w:spacing w:after="0" w:line="188" w:lineRule="exact"/>
              <w:rPr>
                <w:sz w:val="20"/>
                <w:szCs w:val="20"/>
                <w:color w:val="auto"/>
              </w:rPr>
            </w:pPr>
            <w:r>
              <w:rPr>
                <w:rFonts w:ascii="Arial" w:cs="Arial" w:eastAsia="Arial" w:hAnsi="Arial"/>
                <w:sz w:val="15"/>
                <w:szCs w:val="15"/>
                <w:color w:val="auto"/>
              </w:rPr>
              <w:t>Entities affiliated with Andreessen Horowitz</w:t>
            </w:r>
            <w:r>
              <w:rPr>
                <w:rFonts w:ascii="Arial" w:cs="Arial" w:eastAsia="Arial" w:hAnsi="Arial"/>
                <w:sz w:val="21"/>
                <w:szCs w:val="21"/>
                <w:color w:val="auto"/>
                <w:vertAlign w:val="superscript"/>
              </w:rPr>
              <w:t>(1)</w:t>
            </w: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400,000</w:t>
            </w:r>
          </w:p>
        </w:tc>
        <w:tc>
          <w:tcPr>
            <w:tcW w:w="5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w w:val="98"/>
              </w:rPr>
              <w:t>50,000,000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80" w:type="dxa"/>
            <w:vAlign w:val="bottom"/>
            <w:gridSpan w:val="4"/>
          </w:tcPr>
          <w:p>
            <w:pPr>
              <w:spacing w:after="0" w:line="202" w:lineRule="exact"/>
              <w:rPr>
                <w:sz w:val="20"/>
                <w:szCs w:val="20"/>
                <w:color w:val="auto"/>
              </w:rPr>
            </w:pPr>
            <w:r>
              <w:rPr>
                <w:rFonts w:ascii="Arial" w:cs="Arial" w:eastAsia="Arial" w:hAnsi="Arial"/>
                <w:sz w:val="16"/>
                <w:szCs w:val="16"/>
                <w:color w:val="auto"/>
              </w:rPr>
              <w:t>Entities affiliated with Sequoia Capital</w:t>
            </w:r>
            <w:r>
              <w:rPr>
                <w:rFonts w:ascii="Arial" w:cs="Arial" w:eastAsia="Arial" w:hAnsi="Arial"/>
                <w:sz w:val="23"/>
                <w:szCs w:val="23"/>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7"/>
                <w:szCs w:val="17"/>
                <w:color w:val="auto"/>
              </w:rPr>
              <w:t>400,000</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50,000,000</w:t>
            </w:r>
          </w:p>
        </w:tc>
        <w:tc>
          <w:tcPr>
            <w:tcW w:w="0" w:type="dxa"/>
            <w:vAlign w:val="bottom"/>
          </w:tcPr>
          <w:p>
            <w:pPr>
              <w:spacing w:after="0"/>
              <w:rPr>
                <w:sz w:val="1"/>
                <w:szCs w:val="1"/>
                <w:color w:val="auto"/>
              </w:rPr>
            </w:pPr>
          </w:p>
        </w:tc>
      </w:tr>
      <w:tr>
        <w:trPr>
          <w:trHeight w:val="203"/>
        </w:trPr>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Entities affiliated with D1 Capital Partners</w:t>
            </w:r>
            <w:r>
              <w:rPr>
                <w:rFonts w:ascii="Arial" w:cs="Arial" w:eastAsia="Arial" w:hAnsi="Arial"/>
                <w:sz w:val="23"/>
                <w:szCs w:val="23"/>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15,000,000</w:t>
            </w:r>
          </w:p>
        </w:tc>
        <w:tc>
          <w:tcPr>
            <w:tcW w:w="0" w:type="dxa"/>
            <w:vAlign w:val="bottom"/>
          </w:tcPr>
          <w:p>
            <w:pPr>
              <w:spacing w:after="0"/>
              <w:rPr>
                <w:sz w:val="1"/>
                <w:szCs w:val="1"/>
                <w:color w:val="auto"/>
              </w:rPr>
            </w:pPr>
          </w:p>
        </w:tc>
      </w:tr>
      <w:tr>
        <w:trPr>
          <w:trHeight w:val="139"/>
        </w:trPr>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20"/>
                <w:szCs w:val="20"/>
                <w:color w:val="auto"/>
              </w:rPr>
            </w:pPr>
            <w:r>
              <w:rPr>
                <w:rFonts w:ascii="Arial" w:cs="Arial" w:eastAsia="Arial" w:hAnsi="Arial"/>
                <w:sz w:val="13"/>
                <w:szCs w:val="13"/>
                <w:color w:val="auto"/>
              </w:rPr>
              <w:t>(1)</w:t>
            </w:r>
          </w:p>
        </w:tc>
        <w:tc>
          <w:tcPr>
            <w:tcW w:w="7500" w:type="dxa"/>
            <w:vAlign w:val="bottom"/>
            <w:gridSpan w:val="3"/>
          </w:tcPr>
          <w:p>
            <w:pPr>
              <w:jc w:val="right"/>
              <w:ind w:right="2020"/>
              <w:spacing w:after="0"/>
              <w:rPr>
                <w:sz w:val="20"/>
                <w:szCs w:val="20"/>
                <w:color w:val="auto"/>
              </w:rPr>
            </w:pPr>
            <w:r>
              <w:rPr>
                <w:rFonts w:ascii="Arial" w:cs="Arial" w:eastAsia="Arial" w:hAnsi="Arial"/>
                <w:sz w:val="13"/>
                <w:szCs w:val="13"/>
                <w:color w:val="auto"/>
                <w:w w:val="95"/>
              </w:rPr>
              <w:t>Jeffrey Jordan, a member of our board of directors, is a Managing Partner of Andreessen Horowitz.</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80" w:type="dxa"/>
            <w:vAlign w:val="bottom"/>
          </w:tcPr>
          <w:p>
            <w:pPr>
              <w:spacing w:after="0"/>
              <w:rPr>
                <w:sz w:val="24"/>
                <w:szCs w:val="24"/>
                <w:color w:val="auto"/>
              </w:rPr>
            </w:pPr>
          </w:p>
        </w:tc>
        <w:tc>
          <w:tcPr>
            <w:tcW w:w="7500" w:type="dxa"/>
            <w:vAlign w:val="bottom"/>
            <w:gridSpan w:val="3"/>
          </w:tcPr>
          <w:p>
            <w:pPr>
              <w:jc w:val="right"/>
              <w:ind w:right="2480"/>
              <w:spacing w:after="0"/>
              <w:rPr>
                <w:sz w:val="20"/>
                <w:szCs w:val="20"/>
                <w:color w:val="auto"/>
              </w:rPr>
            </w:pPr>
            <w:r>
              <w:rPr>
                <w:rFonts w:ascii="Arial" w:cs="Arial" w:eastAsia="Arial" w:hAnsi="Arial"/>
                <w:sz w:val="17"/>
                <w:szCs w:val="17"/>
                <w:color w:val="auto"/>
              </w:rPr>
              <w:t>274</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29" w:lineRule="exact"/>
        <w:rPr>
          <w:sz w:val="20"/>
          <w:szCs w:val="20"/>
          <w:color w:val="auto"/>
        </w:rPr>
      </w:pPr>
    </w:p>
    <w:p>
      <w:pPr>
        <w:ind w:left="860" w:hanging="403"/>
        <w:spacing w:after="0" w:line="227" w:lineRule="auto"/>
        <w:tabs>
          <w:tab w:leader="none" w:pos="86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Entities affiliated with Sequoia Capital holding our securities whose shares are aggregated for purposes of reporting share ownership information are Sequoia Capital USV XIV Holdco, Ltd., Sequoia Capital U.S. Growth Fund VI, L.P., Sequoia Capital U.S. Growth VI Principals Fund, L.P., Sequoia Capital U.S. Growth Fund VII, L.P., Sequoia Capital U.S. Growth VII Principals Fund, L.P., Sequoia Capital Global Growth Fund II, L.P., Sequoia Capital Global Growth II Principals Fund, L.P. and Sequoia Capital Global Growth Fund III— Endurance Partners, L.P. These entities beneficially own more than 5% of our outstanding capital stock, and Michael Moritz, a member of our board of directors, was formerly a Managing Member of Sequoia Capital.</w:t>
      </w:r>
    </w:p>
    <w:p>
      <w:pPr>
        <w:spacing w:after="0" w:line="1" w:lineRule="exact"/>
        <w:rPr>
          <w:rFonts w:ascii="Arial" w:cs="Arial" w:eastAsia="Arial" w:hAnsi="Arial"/>
          <w:sz w:val="13"/>
          <w:szCs w:val="13"/>
          <w:color w:val="auto"/>
        </w:rPr>
      </w:pPr>
    </w:p>
    <w:p>
      <w:pPr>
        <w:ind w:left="860" w:right="160" w:hanging="403"/>
        <w:spacing w:after="0" w:line="234" w:lineRule="auto"/>
        <w:tabs>
          <w:tab w:leader="none" w:pos="86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Entities affiliated with D1 Capital Partners holding our securities whose shares are aggregated for purposes of reporting share ownership information are D1 Iconoclast Holdings LP, D1 Master Holdco I LLC, GCMGrosvenor IC SPV, LLC, and GCM Grosvenor IC SPV 2, LLC. These entities beneficially own more than 5% of our outstanding capital stock, and Daniel Sundheim, a member of our board of directors, is the Founder and Chief Investment Officer of D1 Capital Partners.</w:t>
      </w: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Relationship with Snowflake Inc.</w:t>
      </w:r>
    </w:p>
    <w:p>
      <w:pPr>
        <w:spacing w:after="0" w:line="214" w:lineRule="exact"/>
        <w:rPr>
          <w:sz w:val="20"/>
          <w:szCs w:val="20"/>
          <w:color w:val="auto"/>
        </w:rPr>
      </w:pPr>
    </w:p>
    <w:p>
      <w:pPr>
        <w:ind w:left="460" w:right="220" w:firstLine="413"/>
        <w:spacing w:after="0" w:line="287" w:lineRule="auto"/>
        <w:rPr>
          <w:sz w:val="20"/>
          <w:szCs w:val="20"/>
          <w:color w:val="auto"/>
        </w:rPr>
      </w:pPr>
      <w:r>
        <w:rPr>
          <w:rFonts w:ascii="Arial" w:cs="Arial" w:eastAsia="Arial" w:hAnsi="Arial"/>
          <w:sz w:val="15"/>
          <w:szCs w:val="15"/>
          <w:color w:val="auto"/>
        </w:rPr>
        <w:t>Mr. Slootman, a member of our board of directors, is currently the Chief Executive Officer and Chairman of Snowflake Inc., or Snowflake. Pursuant to our customer agreement with Snowflake, we made payments to Snowflake of approximately $13 million, approximately $28 million, and approximately $51 million during the years ended December 31, 2020, 2021, and 2022, respectively, for cloud-based data warehousing services. In</w:t>
      </w:r>
    </w:p>
    <w:p>
      <w:pPr>
        <w:spacing w:after="0" w:line="1" w:lineRule="exact"/>
        <w:rPr>
          <w:sz w:val="20"/>
          <w:szCs w:val="20"/>
          <w:color w:val="auto"/>
        </w:rPr>
      </w:pPr>
    </w:p>
    <w:p>
      <w:pPr>
        <w:ind w:left="460" w:right="900"/>
        <w:spacing w:after="0" w:line="257" w:lineRule="auto"/>
        <w:rPr>
          <w:sz w:val="20"/>
          <w:szCs w:val="20"/>
          <w:color w:val="auto"/>
        </w:rPr>
      </w:pPr>
      <w:r>
        <w:rPr>
          <w:rFonts w:ascii="Arial" w:cs="Arial" w:eastAsia="Arial" w:hAnsi="Arial"/>
          <w:sz w:val="17"/>
          <w:szCs w:val="17"/>
          <w:color w:val="auto"/>
        </w:rPr>
        <w:t>addition, we anticipate we will pay Snowflake approximately $ for cloud-based data warehousing services during the year ending December 31, 2023.</w:t>
      </w: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Investors’ Rights Agreement</w:t>
      </w:r>
    </w:p>
    <w:p>
      <w:pPr>
        <w:spacing w:after="0" w:line="214"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We are party to an amended and restated investors’ rights agreement, or investors’ rights agreement, with certain holders of our capital stock, including the Chairperson of our board of directors, Apoorva Mehta; entities affiliated with D1 Capital Partners, which hold greater than 5% of our outstanding capital stock and are affiliated with our director, Mr. Sundheim; entities affiliated with Sequoia Capital, which hold greater than 5% of our outstanding capital stock and were at such time affiliated with our director, Mr. Moritz; and entities affiliated with our director, Mr. Jordan. The investors’ rights agreement provides certain holders of our capital stock with certain registration rights, including the right to demand that we file a registration statement or request that their shares be covered by a registration statement that we are otherwise filing. The investors’ rights agreement also provides certain of these stockholders with information rights, which will terminate immediately prior to the closing of this offering, and a right of first refusal with regard to certain issuances of our capital stock, which will not apply to, and will terminate immediately prior to the closing of, this offering. For a description of these registration rights, see the section titled “Description of Capital Stock—Registration Rights.”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Voting Agreement</w:t>
      </w:r>
    </w:p>
    <w:p>
      <w:pPr>
        <w:spacing w:after="0" w:line="214"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color w:val="auto"/>
        </w:rPr>
        <w:t>We are party to an amended and restated voting agreement under which certain holders of our capital stock, including the Chairperson of our board of directors, Apoorva Mehta; entities affiliated with D1 Capital Partners, which hold greater than 5% of our outstanding capital stock and are affiliated with our director, Mr. Sundheim; entities affiliated with Sequoia Capital, which hold greater than 5% of our outstanding capital stock and were at such time affiliated with our director, Mr. Moritz; and entities affiliated with our director, Mr. Jordan, have agreed as to the manner in which they will vote their shares of our capital stock on certain matters, including with respect to the election of directors. This agreement will terminate upon the closing of this offering, and thereafter none of our stockholders will have any special rights regarding the election or designation of members of our board of directors.</w:t>
      </w:r>
    </w:p>
    <w:p>
      <w:pPr>
        <w:spacing w:after="0" w:line="38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Right of First Refusal</w:t>
      </w:r>
    </w:p>
    <w:p>
      <w:pPr>
        <w:spacing w:after="0" w:line="214"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Pursuant to our equity compensation plan and certain agreements with our stockholders, including a right of first refusal and co-sale agreement with certain holders of our capital stock, including the Chairperson of our</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275</w:t>
      </w:r>
    </w:p>
    <w:p>
      <w:pPr>
        <w:sectPr>
          <w:pgSz w:w="11900" w:h="16838" w:orient="portrait"/>
          <w:cols w:equalWidth="0" w:num="1">
            <w:col w:w="10780"/>
          </w:cols>
          <w:pgMar w:left="320" w:top="440" w:right="799" w:bottom="1440" w:gutter="0" w:footer="0" w:header="0"/>
        </w:sectPr>
      </w:pPr>
    </w:p>
    <w:bookmarkStart w:id="285" w:name="page286"/>
    <w:bookmarkEnd w:id="2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color w:val="auto"/>
        </w:rPr>
        <w:t>board of directors, Apoorva Mehta; entities affiliated with D1 Capital Partners, which hold greater than 5% of our outstanding capital stock and are affiliated with our director, Mr. Sundheim; entities affiliated with Sequoia Capital, which hold greater than 5% of our outstanding capital stock and were at such time affiliated with our director, Mr. Moritz; and entities affiliated with our director, Mr. Jordan, we or our assignees and certain holders of our capital stock have a right to purchase shares of our capital stock that stockholders propose to sell in certain circumstances to other parties. These rights and the right of first refusal and co-sale agreement will terminate immediately prior to the closing of this offering. We have waived our right of first refusal in connection with the sale of certain shares of our capital stock, including sales by certain of our executive officers, resulting in the purchase of such shares by certain of our stockholders, including related persons.</w:t>
      </w:r>
    </w:p>
    <w:p>
      <w:pPr>
        <w:spacing w:after="0" w:line="37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Indemnification Agreements</w:t>
      </w:r>
    </w:p>
    <w:p>
      <w:pPr>
        <w:spacing w:after="0" w:line="214"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Our amended and restated certificate of incorporation that will be in effect immediately prior to the closing of this offering will contain provisions limiting the liability of directors and officers, and our amended and restated bylaws that will be in effect immediately prior to the closing of this offering will provide that we will indemnify each of our directors and executive officers to the fullest extent permitted under Delaware law. Our amended and restated certificate of incorporation and amended and restated bylaws that will each be in effect immediately prior to the closing of this offering will also provide our board of directors with discretion to indemnify our other officers, employees, and agents when determined appropriate by the board. In addition, we have entered or will enter into an indemnification agreement with each of our directors and executive officers, which requires us to indemnify them in certain circumstances. For more information regarding these agreements, see the section titled “Management—Limitations of Liability and Indemnification Matters.”</w:t>
      </w:r>
    </w:p>
    <w:p>
      <w:pPr>
        <w:spacing w:after="0" w:line="38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214" w:lineRule="exact"/>
        <w:rPr>
          <w:sz w:val="20"/>
          <w:szCs w:val="20"/>
          <w:color w:val="auto"/>
        </w:rPr>
      </w:pPr>
    </w:p>
    <w:p>
      <w:pPr>
        <w:ind w:left="460" w:right="60" w:firstLine="413"/>
        <w:spacing w:after="0" w:line="269" w:lineRule="auto"/>
        <w:rPr>
          <w:sz w:val="20"/>
          <w:szCs w:val="20"/>
          <w:color w:val="auto"/>
        </w:rPr>
      </w:pPr>
      <w:r>
        <w:rPr>
          <w:rFonts w:ascii="Arial" w:cs="Arial" w:eastAsia="Arial" w:hAnsi="Arial"/>
          <w:sz w:val="16"/>
          <w:szCs w:val="16"/>
          <w:color w:val="auto"/>
        </w:rPr>
        <w:t>Prior to the closing of this offering, our board of directors will adopt a related person transactions policy setting forth the policies and procedures for the identification,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0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276</w:t>
      </w:r>
    </w:p>
    <w:p>
      <w:pPr>
        <w:sectPr>
          <w:pgSz w:w="11900" w:h="16838" w:orient="portrait"/>
          <w:cols w:equalWidth="0" w:num="1">
            <w:col w:w="10780"/>
          </w:cols>
          <w:pgMar w:left="320" w:top="440" w:right="799" w:bottom="1440" w:gutter="0" w:footer="0" w:header="0"/>
        </w:sectPr>
      </w:pPr>
    </w:p>
    <w:bookmarkStart w:id="286" w:name="page287"/>
    <w:bookmarkEnd w:id="28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PRINCIPAL AND SELLING STOCKHOLDERS</w:t>
      </w:r>
    </w:p>
    <w:p>
      <w:pPr>
        <w:spacing w:after="0" w:line="214" w:lineRule="exact"/>
        <w:rPr>
          <w:sz w:val="20"/>
          <w:szCs w:val="20"/>
          <w:color w:val="auto"/>
        </w:rPr>
      </w:pPr>
    </w:p>
    <w:p>
      <w:pPr>
        <w:ind w:left="880"/>
        <w:spacing w:after="0"/>
        <w:tabs>
          <w:tab w:leader="none" w:pos="9180" w:val="left"/>
        </w:tabs>
        <w:rPr>
          <w:sz w:val="20"/>
          <w:szCs w:val="20"/>
          <w:color w:val="auto"/>
        </w:rPr>
      </w:pPr>
      <w:r>
        <w:rPr>
          <w:rFonts w:ascii="Arial" w:cs="Arial" w:eastAsia="Arial" w:hAnsi="Arial"/>
          <w:sz w:val="17"/>
          <w:szCs w:val="17"/>
          <w:color w:val="auto"/>
        </w:rPr>
        <w:t>The following table sets forth certain information with respect to the beneficial ownership of our capital stock as of</w:t>
      </w:r>
      <w:r>
        <w:rPr>
          <w:sz w:val="20"/>
          <w:szCs w:val="20"/>
          <w:color w:val="auto"/>
        </w:rPr>
        <w:tab/>
      </w:r>
      <w:r>
        <w:rPr>
          <w:rFonts w:ascii="Arial" w:cs="Arial" w:eastAsia="Arial" w:hAnsi="Arial"/>
          <w:sz w:val="15"/>
          <w:szCs w:val="15"/>
          <w:color w:val="auto"/>
        </w:rPr>
        <w:t>, 2023 for:</w:t>
      </w:r>
    </w:p>
    <w:p>
      <w:pPr>
        <w:spacing w:after="0" w:line="121" w:lineRule="exact"/>
        <w:rPr>
          <w:sz w:val="20"/>
          <w:szCs w:val="20"/>
          <w:color w:val="auto"/>
        </w:rPr>
      </w:pPr>
    </w:p>
    <w:p>
      <w:pPr>
        <w:ind w:left="2400" w:hanging="600"/>
        <w:spacing w:after="0"/>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1" w:lineRule="exact"/>
        <w:rPr>
          <w:rFonts w:ascii="Arial" w:cs="Arial" w:eastAsia="Arial" w:hAnsi="Arial"/>
          <w:sz w:val="17"/>
          <w:szCs w:val="17"/>
          <w:color w:val="auto"/>
        </w:rPr>
      </w:pPr>
    </w:p>
    <w:p>
      <w:pPr>
        <w:ind w:left="2400" w:hanging="600"/>
        <w:spacing w:after="0"/>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21" w:lineRule="exact"/>
        <w:rPr>
          <w:rFonts w:ascii="Arial" w:cs="Arial" w:eastAsia="Arial" w:hAnsi="Arial"/>
          <w:sz w:val="17"/>
          <w:szCs w:val="17"/>
          <w:color w:val="auto"/>
        </w:rPr>
      </w:pPr>
    </w:p>
    <w:p>
      <w:pPr>
        <w:ind w:left="2400" w:hanging="600"/>
        <w:spacing w:after="0"/>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21" w:lineRule="exact"/>
        <w:rPr>
          <w:rFonts w:ascii="Arial" w:cs="Arial" w:eastAsia="Arial" w:hAnsi="Arial"/>
          <w:sz w:val="17"/>
          <w:szCs w:val="17"/>
          <w:color w:val="auto"/>
        </w:rPr>
      </w:pPr>
    </w:p>
    <w:p>
      <w:pPr>
        <w:ind w:left="2400" w:hanging="600"/>
        <w:spacing w:after="0"/>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of the selling stockholders; and</w:t>
      </w:r>
    </w:p>
    <w:p>
      <w:pPr>
        <w:spacing w:after="0" w:line="121" w:lineRule="exact"/>
        <w:rPr>
          <w:rFonts w:ascii="Arial" w:cs="Arial" w:eastAsia="Arial" w:hAnsi="Arial"/>
          <w:sz w:val="17"/>
          <w:szCs w:val="17"/>
          <w:color w:val="auto"/>
        </w:rPr>
      </w:pPr>
    </w:p>
    <w:p>
      <w:pPr>
        <w:ind w:left="2400" w:right="560" w:hanging="600"/>
        <w:spacing w:after="0" w:line="272" w:lineRule="auto"/>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any class of our voting securities.</w:t>
      </w:r>
    </w:p>
    <w:p>
      <w:pPr>
        <w:spacing w:after="0" w:line="165"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79" w:lineRule="exact"/>
        <w:rPr>
          <w:sz w:val="20"/>
          <w:szCs w:val="20"/>
          <w:color w:val="auto"/>
        </w:rPr>
      </w:pPr>
    </w:p>
    <w:p>
      <w:pPr>
        <w:ind w:left="460" w:right="580" w:firstLine="413"/>
        <w:spacing w:after="0" w:line="256" w:lineRule="auto"/>
        <w:rPr>
          <w:sz w:val="20"/>
          <w:szCs w:val="20"/>
          <w:color w:val="auto"/>
        </w:rPr>
      </w:pPr>
      <w:r>
        <w:rPr>
          <w:rFonts w:ascii="Arial" w:cs="Arial" w:eastAsia="Arial" w:hAnsi="Arial"/>
          <w:sz w:val="17"/>
          <w:szCs w:val="17"/>
          <w:color w:val="auto"/>
        </w:rPr>
        <w:t>Applicable percentage ownership is based on shares of common stock outstanding as of , 2023 assuming (i) the automatic exchange of all outstanding exchangeable shares of our subsidiary, Aspen, outstanding as of , 2023 into shares of our non-voting</w:t>
      </w:r>
    </w:p>
    <w:p>
      <w:pPr>
        <w:ind w:left="460" w:right="260"/>
        <w:spacing w:after="0" w:line="280" w:lineRule="auto"/>
        <w:rPr>
          <w:sz w:val="20"/>
          <w:szCs w:val="20"/>
          <w:color w:val="auto"/>
        </w:rPr>
      </w:pPr>
      <w:r>
        <w:rPr>
          <w:rFonts w:ascii="Arial" w:cs="Arial" w:eastAsia="Arial" w:hAnsi="Arial"/>
          <w:sz w:val="15"/>
          <w:szCs w:val="15"/>
          <w:color w:val="auto"/>
        </w:rPr>
        <w:t>common stock; (ii) the conversion of all outstanding shares of our non-voting common stock and shares of our non-voting common stock underlying outstanding equity awards, warrants, and exchangeable shares into an equivalent number of shares of our voting common stock; (iii) the automatic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right="280"/>
        <w:spacing w:after="0" w:line="271" w:lineRule="auto"/>
        <w:rPr>
          <w:sz w:val="20"/>
          <w:szCs w:val="20"/>
          <w:color w:val="auto"/>
        </w:rPr>
      </w:pPr>
      <w:r>
        <w:rPr>
          <w:rFonts w:ascii="Arial" w:cs="Arial" w:eastAsia="Arial" w:hAnsi="Arial"/>
          <w:sz w:val="16"/>
          <w:szCs w:val="16"/>
          <w:color w:val="auto"/>
        </w:rPr>
        <w:t>conversion of shares of our redeemable convertible preferred stock outstanding as of , 2023 into shares of our voting common stock; (iv) the net issuance of shares of our non-voting common stock in connection with the vesting and settlement of certain outstanding RSUs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service-based, market-based, and/or liquidity event-based vesting conditions for which the service-based vesting condition and the market-</w:t>
      </w:r>
    </w:p>
    <w:p>
      <w:pPr>
        <w:spacing w:after="0" w:line="30" w:lineRule="exact"/>
        <w:rPr>
          <w:sz w:val="20"/>
          <w:szCs w:val="20"/>
          <w:color w:val="auto"/>
        </w:rPr>
      </w:pPr>
    </w:p>
    <w:p>
      <w:pPr>
        <w:ind w:left="460" w:right="120"/>
        <w:spacing w:after="0" w:line="281" w:lineRule="auto"/>
        <w:rPr>
          <w:sz w:val="20"/>
          <w:szCs w:val="20"/>
          <w:color w:val="auto"/>
        </w:rPr>
      </w:pPr>
      <w:r>
        <w:rPr>
          <w:rFonts w:ascii="Arial" w:cs="Arial" w:eastAsia="Arial" w:hAnsi="Arial"/>
          <w:sz w:val="15"/>
          <w:szCs w:val="15"/>
          <w:color w:val="auto"/>
        </w:rPr>
        <w:t>based vesting condition, as applicable, are expected to have been fully or partially satisfied on or before , 2023, and for which the effectiveness of the registration statement of which this prospectus forms a part will satisfy the liquidity event-based vesting condition, assuming that effectiveness</w:t>
      </w:r>
    </w:p>
    <w:p>
      <w:pPr>
        <w:spacing w:after="0" w:line="1" w:lineRule="exact"/>
        <w:rPr>
          <w:sz w:val="20"/>
          <w:szCs w:val="20"/>
          <w:color w:val="auto"/>
        </w:rPr>
      </w:pPr>
    </w:p>
    <w:p>
      <w:pPr>
        <w:ind w:left="460" w:right="100"/>
        <w:spacing w:after="0" w:line="1187" w:lineRule="auto"/>
        <w:rPr>
          <w:sz w:val="20"/>
          <w:szCs w:val="20"/>
          <w:color w:val="auto"/>
        </w:rPr>
      </w:pPr>
      <w:r>
        <w:rPr>
          <w:rFonts w:ascii="Arial" w:cs="Arial" w:eastAsia="Arial" w:hAnsi="Arial"/>
          <w:sz w:val="16"/>
          <w:szCs w:val="16"/>
          <w:color w:val="auto"/>
        </w:rPr>
        <w:t>occurs on and any remaining vesting continues through such date, after giving effect to the withholding of shares of common stock underlying such RSUs to satisfy the associated estimated tax withholding and remittance obligations (based on the assumed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spacing w:after="0" w:line="286" w:lineRule="auto"/>
        <w:rPr>
          <w:sz w:val="20"/>
          <w:szCs w:val="20"/>
          <w:color w:val="auto"/>
        </w:rPr>
      </w:pPr>
      <w:r>
        <w:rPr>
          <w:rFonts w:ascii="Arial" w:cs="Arial" w:eastAsia="Arial" w:hAnsi="Arial"/>
          <w:sz w:val="15"/>
          <w:szCs w:val="15"/>
          <w:color w:val="auto"/>
        </w:rPr>
        <w:t>of $ per share, the midpoint of the price range set forth on the cover page of this prospectus, and an assumed % tax withholding rate); (v) the cancellation of shares of our outstanding restricted stock to satisfy the associated estimated tax withholding and remittance obligations (based on the assumed initial public offering price of $ per share, the midpoint of the price range set forth on the cover page of this prospectus, and an assumed % tax withholding rate) due upon the vesting of such restricted stock, which will occur upon the effectiveness of the registration statement of</w:t>
      </w:r>
    </w:p>
    <w:p>
      <w:pPr>
        <w:ind w:left="460" w:right="20"/>
        <w:spacing w:after="0" w:line="1408" w:lineRule="auto"/>
        <w:rPr>
          <w:sz w:val="20"/>
          <w:szCs w:val="20"/>
          <w:color w:val="auto"/>
        </w:rPr>
      </w:pPr>
      <w:r>
        <w:rPr>
          <w:rFonts w:ascii="Arial" w:cs="Arial" w:eastAsia="Arial" w:hAnsi="Arial"/>
          <w:sz w:val="15"/>
          <w:szCs w:val="15"/>
          <w:color w:val="auto"/>
        </w:rPr>
        <w:t>which this prospectus forms a part; and (vi) the reclassification of all outstanding shares of our voting common stock and shares of our voting common stock underlying outstanding equity awards, after giving effect to the conversions described above, into an equivalent number of shares of common stock. In computing the number of shares beneficially owned by a person and the percentage ownership of such person, we deemed to be outstanding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shares subject to options held by the person that are currently exercisable, or exercisable within 60 days of , 2023, or issuable pursuant to RSUs that are subject to vesting and settlement conditions expected to occur within 60 days of , 2023. However, except as described above, we did not deem such shares outstanding for the purpose of computing the percentage ownership of any other person.</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277</w:t>
      </w:r>
    </w:p>
    <w:p>
      <w:pPr>
        <w:sectPr>
          <w:pgSz w:w="11900" w:h="16838" w:orient="portrait"/>
          <w:cols w:equalWidth="0" w:num="1">
            <w:col w:w="10780"/>
          </w:cols>
          <w:pgMar w:left="320" w:top="440" w:right="79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Unless otherwise indicated, the address of each beneficial owner listed below is c/o Maplebear Inc., 50 Beale Street, Suite 600, San Francisco, California 94105.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60" w:type="dxa"/>
            <w:vAlign w:val="bottom"/>
          </w:tcPr>
          <w:p>
            <w:pPr>
              <w:jc w:val="center"/>
              <w:ind w:left="133"/>
              <w:spacing w:after="0"/>
              <w:rPr>
                <w:sz w:val="20"/>
                <w:szCs w:val="20"/>
                <w:color w:val="auto"/>
              </w:rPr>
            </w:pPr>
            <w:r>
              <w:rPr>
                <w:rFonts w:ascii="Arial" w:cs="Arial" w:eastAsia="Arial" w:hAnsi="Arial"/>
                <w:sz w:val="13"/>
                <w:szCs w:val="13"/>
                <w:b w:val="1"/>
                <w:bCs w:val="1"/>
                <w:color w:val="auto"/>
                <w:w w:val="90"/>
              </w:rPr>
              <w:t>Shares Beneficially</w:t>
            </w:r>
          </w:p>
        </w:tc>
        <w:tc>
          <w:tcPr>
            <w:tcW w:w="2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91"/>
              </w:rPr>
              <w:t>Shares of</w:t>
            </w:r>
          </w:p>
        </w:tc>
        <w:tc>
          <w:tcPr>
            <w:tcW w:w="1380" w:type="dxa"/>
            <w:vAlign w:val="bottom"/>
          </w:tcPr>
          <w:p>
            <w:pPr>
              <w:jc w:val="center"/>
              <w:ind w:left="153"/>
              <w:spacing w:after="0"/>
              <w:rPr>
                <w:sz w:val="20"/>
                <w:szCs w:val="20"/>
                <w:color w:val="auto"/>
              </w:rPr>
            </w:pPr>
            <w:r>
              <w:rPr>
                <w:rFonts w:ascii="Arial" w:cs="Arial" w:eastAsia="Arial" w:hAnsi="Arial"/>
                <w:sz w:val="13"/>
                <w:szCs w:val="13"/>
                <w:b w:val="1"/>
                <w:bCs w:val="1"/>
                <w:color w:val="auto"/>
                <w:w w:val="90"/>
              </w:rPr>
              <w:t>Shares Beneficially</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60" w:type="dxa"/>
            <w:vAlign w:val="bottom"/>
          </w:tcPr>
          <w:p>
            <w:pPr>
              <w:jc w:val="center"/>
              <w:ind w:left="133"/>
              <w:spacing w:after="0"/>
              <w:rPr>
                <w:sz w:val="20"/>
                <w:szCs w:val="20"/>
                <w:color w:val="auto"/>
              </w:rPr>
            </w:pPr>
            <w:r>
              <w:rPr>
                <w:rFonts w:ascii="Arial" w:cs="Arial" w:eastAsia="Arial" w:hAnsi="Arial"/>
                <w:sz w:val="13"/>
                <w:szCs w:val="13"/>
                <w:b w:val="1"/>
                <w:bCs w:val="1"/>
                <w:color w:val="auto"/>
                <w:w w:val="98"/>
              </w:rPr>
              <w:t>Owned Prior</w:t>
            </w:r>
          </w:p>
        </w:tc>
        <w:tc>
          <w:tcPr>
            <w:tcW w:w="2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92"/>
              </w:rPr>
              <w:t>Common Stock</w:t>
            </w:r>
          </w:p>
        </w:tc>
        <w:tc>
          <w:tcPr>
            <w:tcW w:w="1380" w:type="dxa"/>
            <w:vAlign w:val="bottom"/>
          </w:tcPr>
          <w:p>
            <w:pPr>
              <w:jc w:val="center"/>
              <w:ind w:left="153"/>
              <w:spacing w:after="0"/>
              <w:rPr>
                <w:sz w:val="20"/>
                <w:szCs w:val="20"/>
                <w:color w:val="auto"/>
              </w:rPr>
            </w:pPr>
            <w:r>
              <w:rPr>
                <w:rFonts w:ascii="Arial" w:cs="Arial" w:eastAsia="Arial" w:hAnsi="Arial"/>
                <w:sz w:val="13"/>
                <w:szCs w:val="13"/>
                <w:b w:val="1"/>
                <w:bCs w:val="1"/>
                <w:color w:val="auto"/>
                <w:w w:val="92"/>
              </w:rPr>
              <w:t>Owned Following</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52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 of Beneficial Owner</w:t>
            </w:r>
          </w:p>
        </w:tc>
        <w:tc>
          <w:tcPr>
            <w:tcW w:w="3440" w:type="dxa"/>
            <w:vAlign w:val="bottom"/>
          </w:tcPr>
          <w:p>
            <w:pPr>
              <w:spacing w:after="0"/>
              <w:rPr>
                <w:sz w:val="12"/>
                <w:szCs w:val="12"/>
                <w:color w:val="auto"/>
              </w:rPr>
            </w:pPr>
          </w:p>
        </w:tc>
        <w:tc>
          <w:tcPr>
            <w:tcW w:w="1360" w:type="dxa"/>
            <w:vAlign w:val="bottom"/>
            <w:tcBorders>
              <w:bottom w:val="single" w:sz="8" w:color="auto"/>
            </w:tcBorders>
          </w:tcPr>
          <w:p>
            <w:pPr>
              <w:jc w:val="center"/>
              <w:ind w:left="133"/>
              <w:spacing w:after="0" w:line="119" w:lineRule="exact"/>
              <w:rPr>
                <w:sz w:val="20"/>
                <w:szCs w:val="20"/>
                <w:color w:val="auto"/>
              </w:rPr>
            </w:pPr>
            <w:r>
              <w:rPr>
                <w:rFonts w:ascii="Arial" w:cs="Arial" w:eastAsia="Arial" w:hAnsi="Arial"/>
                <w:sz w:val="13"/>
                <w:szCs w:val="13"/>
                <w:b w:val="1"/>
                <w:bCs w:val="1"/>
                <w:color w:val="auto"/>
                <w:w w:val="94"/>
              </w:rPr>
              <w:t>to this Offering</w:t>
            </w:r>
          </w:p>
        </w:tc>
        <w:tc>
          <w:tcPr>
            <w:tcW w:w="200" w:type="dxa"/>
            <w:vAlign w:val="bottom"/>
            <w:tcBorders>
              <w:bottom w:val="single" w:sz="8" w:color="auto"/>
            </w:tcBorders>
          </w:tcPr>
          <w:p>
            <w:pPr>
              <w:spacing w:after="0"/>
              <w:rPr>
                <w:sz w:val="12"/>
                <w:szCs w:val="12"/>
                <w:color w:val="auto"/>
              </w:rPr>
            </w:pPr>
          </w:p>
        </w:tc>
        <w:tc>
          <w:tcPr>
            <w:tcW w:w="2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8"/>
              </w:rPr>
              <w:t>Being</w:t>
            </w:r>
          </w:p>
        </w:tc>
        <w:tc>
          <w:tcPr>
            <w:tcW w:w="1380" w:type="dxa"/>
            <w:vAlign w:val="bottom"/>
            <w:tcBorders>
              <w:bottom w:val="single" w:sz="8" w:color="auto"/>
            </w:tcBorders>
          </w:tcPr>
          <w:p>
            <w:pPr>
              <w:jc w:val="center"/>
              <w:ind w:left="173"/>
              <w:spacing w:after="0" w:line="119" w:lineRule="exact"/>
              <w:rPr>
                <w:sz w:val="20"/>
                <w:szCs w:val="20"/>
                <w:color w:val="auto"/>
              </w:rPr>
            </w:pPr>
            <w:r>
              <w:rPr>
                <w:rFonts w:ascii="Arial" w:cs="Arial" w:eastAsia="Arial" w:hAnsi="Arial"/>
                <w:sz w:val="13"/>
                <w:szCs w:val="13"/>
                <w:b w:val="1"/>
                <w:bCs w:val="1"/>
                <w:color w:val="auto"/>
                <w:w w:val="95"/>
              </w:rPr>
              <w:t>this Offering</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20" w:type="dxa"/>
            <w:vAlign w:val="bottom"/>
            <w:tcBorders>
              <w:bottom w:val="single" w:sz="8" w:color="auto"/>
            </w:tcBorders>
            <w:vMerge w:val="continue"/>
          </w:tcPr>
          <w:p>
            <w:pPr>
              <w:spacing w:after="0"/>
              <w:rPr>
                <w:sz w:val="11"/>
                <w:szCs w:val="11"/>
                <w:color w:val="auto"/>
              </w:rPr>
            </w:pPr>
          </w:p>
        </w:tc>
        <w:tc>
          <w:tcPr>
            <w:tcW w:w="3440" w:type="dxa"/>
            <w:vAlign w:val="bottom"/>
          </w:tcPr>
          <w:p>
            <w:pPr>
              <w:spacing w:after="0"/>
              <w:rPr>
                <w:sz w:val="11"/>
                <w:szCs w:val="11"/>
                <w:color w:val="auto"/>
              </w:rPr>
            </w:pPr>
          </w:p>
        </w:tc>
        <w:tc>
          <w:tcPr>
            <w:tcW w:w="1360" w:type="dxa"/>
            <w:vAlign w:val="bottom"/>
          </w:tcPr>
          <w:p>
            <w:pPr>
              <w:ind w:left="200"/>
              <w:spacing w:after="0" w:line="132" w:lineRule="exact"/>
              <w:rPr>
                <w:sz w:val="20"/>
                <w:szCs w:val="20"/>
                <w:color w:val="auto"/>
              </w:rPr>
            </w:pPr>
            <w:r>
              <w:rPr>
                <w:rFonts w:ascii="Arial" w:cs="Arial" w:eastAsia="Arial" w:hAnsi="Arial"/>
                <w:sz w:val="13"/>
                <w:szCs w:val="13"/>
                <w:b w:val="1"/>
                <w:bCs w:val="1"/>
                <w:color w:val="auto"/>
              </w:rPr>
              <w:t>Shares</w:t>
            </w:r>
          </w:p>
        </w:tc>
        <w:tc>
          <w:tcPr>
            <w:tcW w:w="200" w:type="dxa"/>
            <w:vAlign w:val="bottom"/>
          </w:tcPr>
          <w:p>
            <w:pPr>
              <w:jc w:val="right"/>
              <w:spacing w:after="0" w:line="132" w:lineRule="exact"/>
              <w:rPr>
                <w:sz w:val="20"/>
                <w:szCs w:val="20"/>
                <w:color w:val="auto"/>
              </w:rPr>
            </w:pPr>
            <w:r>
              <w:rPr>
                <w:rFonts w:ascii="Arial" w:cs="Arial" w:eastAsia="Arial" w:hAnsi="Arial"/>
                <w:sz w:val="13"/>
                <w:szCs w:val="13"/>
                <w:b w:val="1"/>
                <w:bCs w:val="1"/>
                <w:u w:val="single" w:color="auto"/>
                <w:color w:val="auto"/>
              </w:rPr>
              <w:t>%</w:t>
            </w:r>
          </w:p>
        </w:tc>
        <w:tc>
          <w:tcPr>
            <w:tcW w:w="21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5"/>
              </w:rPr>
              <w:t>Offered</w:t>
            </w:r>
          </w:p>
        </w:tc>
        <w:tc>
          <w:tcPr>
            <w:tcW w:w="1380" w:type="dxa"/>
            <w:vAlign w:val="bottom"/>
          </w:tcPr>
          <w:p>
            <w:pPr>
              <w:ind w:left="140"/>
              <w:spacing w:after="0" w:line="13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jc w:val="right"/>
              <w:spacing w:after="0" w:line="132"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b w:val="1"/>
          <w:bCs w:val="1"/>
          <w:i w:val="1"/>
          <w:iCs w:val="1"/>
          <w:color w:val="auto"/>
        </w:rPr>
        <w:t>5% Stockholders</w:t>
      </w:r>
    </w:p>
    <w:p>
      <w:pPr>
        <w:ind w:left="460"/>
        <w:spacing w:after="0" w:line="183" w:lineRule="auto"/>
        <w:rPr>
          <w:sz w:val="20"/>
          <w:szCs w:val="20"/>
          <w:color w:val="auto"/>
        </w:rPr>
      </w:pPr>
      <w:r>
        <w:rPr>
          <w:rFonts w:ascii="Arial" w:cs="Arial" w:eastAsia="Arial" w:hAnsi="Arial"/>
          <w:sz w:val="16"/>
          <w:szCs w:val="16"/>
          <w:color w:val="auto"/>
        </w:rPr>
        <w:t>Entities affiliated with Sequoia Capital</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Entities affiliated with D1 Capital Partners</w:t>
      </w:r>
      <w:r>
        <w:rPr>
          <w:rFonts w:ascii="Arial" w:cs="Arial" w:eastAsia="Arial" w:hAnsi="Arial"/>
          <w:sz w:val="23"/>
          <w:szCs w:val="23"/>
          <w:color w:val="auto"/>
          <w:vertAlign w:val="superscript"/>
        </w:rPr>
        <w:t>(2)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Named Executive Officers and Directors</w:t>
      </w:r>
    </w:p>
    <w:p>
      <w:pPr>
        <w:ind w:left="460"/>
        <w:spacing w:after="0" w:line="182" w:lineRule="auto"/>
        <w:rPr>
          <w:sz w:val="20"/>
          <w:szCs w:val="20"/>
          <w:color w:val="auto"/>
        </w:rPr>
      </w:pPr>
      <w:r>
        <w:rPr>
          <w:rFonts w:ascii="Arial" w:cs="Arial" w:eastAsia="Arial" w:hAnsi="Arial"/>
          <w:sz w:val="16"/>
          <w:szCs w:val="16"/>
          <w:color w:val="auto"/>
        </w:rPr>
        <w:t>Fidji Simo</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-128905</wp:posOffset>
            </wp:positionV>
            <wp:extent cx="6562090" cy="1289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3" w:lineRule="auto"/>
        <w:rPr>
          <w:sz w:val="20"/>
          <w:szCs w:val="20"/>
          <w:color w:val="auto"/>
        </w:rPr>
      </w:pPr>
      <w:r>
        <w:rPr>
          <w:rFonts w:ascii="Arial" w:cs="Arial" w:eastAsia="Arial" w:hAnsi="Arial"/>
          <w:sz w:val="16"/>
          <w:szCs w:val="16"/>
          <w:color w:val="auto"/>
        </w:rPr>
        <w:t>Nick Giovanni</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Asha Sharma</w:t>
      </w:r>
      <w:r>
        <w:rPr>
          <w:rFonts w:ascii="Arial" w:cs="Arial" w:eastAsia="Arial" w:hAnsi="Arial"/>
          <w:sz w:val="23"/>
          <w:szCs w:val="23"/>
          <w:color w:val="auto"/>
          <w:vertAlign w:val="superscript"/>
        </w:rPr>
        <w:t>(5)</w:t>
      </w:r>
    </w:p>
    <w:p>
      <w:pPr>
        <w:ind w:left="460"/>
        <w:spacing w:after="0" w:line="180" w:lineRule="auto"/>
        <w:rPr>
          <w:sz w:val="20"/>
          <w:szCs w:val="20"/>
          <w:color w:val="auto"/>
        </w:rPr>
      </w:pPr>
      <w:r>
        <w:rPr>
          <w:rFonts w:ascii="Arial" w:cs="Arial" w:eastAsia="Arial" w:hAnsi="Arial"/>
          <w:sz w:val="17"/>
          <w:szCs w:val="17"/>
          <w:color w:val="auto"/>
        </w:rPr>
        <w:t>Morgan Fong</w:t>
      </w:r>
      <w:r>
        <w:rPr>
          <w:rFonts w:ascii="Arial" w:cs="Arial" w:eastAsia="Arial" w:hAnsi="Arial"/>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Mark Schaaf</w:t>
      </w:r>
      <w:r>
        <w:rPr>
          <w:rFonts w:ascii="Arial" w:cs="Arial" w:eastAsia="Arial" w:hAnsi="Arial"/>
          <w:sz w:val="23"/>
          <w:szCs w:val="23"/>
          <w:color w:val="auto"/>
          <w:vertAlign w:val="superscript"/>
        </w:rPr>
        <w:t>(7)</w:t>
      </w:r>
    </w:p>
    <w:p>
      <w:pPr>
        <w:ind w:left="460"/>
        <w:spacing w:after="0" w:line="184" w:lineRule="auto"/>
        <w:rPr>
          <w:sz w:val="20"/>
          <w:szCs w:val="20"/>
          <w:color w:val="auto"/>
        </w:rPr>
      </w:pPr>
      <w:r>
        <w:rPr>
          <w:rFonts w:ascii="Arial" w:cs="Arial" w:eastAsia="Arial" w:hAnsi="Arial"/>
          <w:sz w:val="16"/>
          <w:szCs w:val="16"/>
          <w:color w:val="auto"/>
        </w:rPr>
        <w:t>Jeffrey Jordan</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Meredith Kopit Levien</w:t>
      </w:r>
      <w:r>
        <w:rPr>
          <w:rFonts w:ascii="Arial" w:cs="Arial" w:eastAsia="Arial" w:hAnsi="Arial"/>
          <w:sz w:val="23"/>
          <w:szCs w:val="23"/>
          <w:color w:val="auto"/>
          <w:vertAlign w:val="superscript"/>
        </w:rPr>
        <w:t>(9)</w:t>
      </w:r>
    </w:p>
    <w:p>
      <w:pPr>
        <w:ind w:left="460"/>
        <w:spacing w:after="0" w:line="183" w:lineRule="auto"/>
        <w:rPr>
          <w:sz w:val="20"/>
          <w:szCs w:val="20"/>
          <w:color w:val="auto"/>
        </w:rPr>
      </w:pPr>
      <w:r>
        <w:rPr>
          <w:rFonts w:ascii="Arial" w:cs="Arial" w:eastAsia="Arial" w:hAnsi="Arial"/>
          <w:sz w:val="16"/>
          <w:szCs w:val="16"/>
          <w:color w:val="auto"/>
        </w:rPr>
        <w:t>Barry McCarthy</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Apoorva Mehta</w:t>
      </w:r>
      <w:r>
        <w:rPr>
          <w:rFonts w:ascii="Arial" w:cs="Arial" w:eastAsia="Arial" w:hAnsi="Arial"/>
          <w:sz w:val="23"/>
          <w:szCs w:val="23"/>
          <w:color w:val="auto"/>
          <w:vertAlign w:val="superscript"/>
        </w:rPr>
        <w:t>(11)</w:t>
      </w:r>
    </w:p>
    <w:p>
      <w:pPr>
        <w:ind w:left="460"/>
        <w:spacing w:after="0" w:line="184" w:lineRule="auto"/>
        <w:rPr>
          <w:sz w:val="20"/>
          <w:szCs w:val="20"/>
          <w:color w:val="auto"/>
        </w:rPr>
      </w:pPr>
      <w:r>
        <w:rPr>
          <w:rFonts w:ascii="Arial" w:cs="Arial" w:eastAsia="Arial" w:hAnsi="Arial"/>
          <w:sz w:val="16"/>
          <w:szCs w:val="16"/>
          <w:color w:val="auto"/>
        </w:rPr>
        <w:t>Michael Moritz</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Lily Sarafan</w:t>
      </w:r>
      <w:r>
        <w:rPr>
          <w:rFonts w:ascii="Arial" w:cs="Arial" w:eastAsia="Arial" w:hAnsi="Arial"/>
          <w:sz w:val="23"/>
          <w:szCs w:val="23"/>
          <w:color w:val="auto"/>
          <w:vertAlign w:val="superscript"/>
        </w:rPr>
        <w:t>(13)</w:t>
      </w:r>
    </w:p>
    <w:p>
      <w:pPr>
        <w:ind w:left="460"/>
        <w:spacing w:after="0" w:line="184" w:lineRule="auto"/>
        <w:rPr>
          <w:sz w:val="20"/>
          <w:szCs w:val="20"/>
          <w:color w:val="auto"/>
        </w:rPr>
      </w:pPr>
      <w:r>
        <w:rPr>
          <w:rFonts w:ascii="Arial" w:cs="Arial" w:eastAsia="Arial" w:hAnsi="Arial"/>
          <w:sz w:val="16"/>
          <w:szCs w:val="16"/>
          <w:color w:val="auto"/>
        </w:rPr>
        <w:t>Frank Slootman</w:t>
      </w:r>
      <w:r>
        <w:rPr>
          <w:rFonts w:ascii="Arial" w:cs="Arial" w:eastAsia="Arial" w:hAnsi="Arial"/>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line="184" w:lineRule="auto"/>
        <w:rPr>
          <w:sz w:val="20"/>
          <w:szCs w:val="20"/>
          <w:color w:val="auto"/>
        </w:rPr>
      </w:pPr>
      <w:r>
        <w:rPr>
          <w:rFonts w:ascii="Arial" w:cs="Arial" w:eastAsia="Arial" w:hAnsi="Arial"/>
          <w:sz w:val="16"/>
          <w:szCs w:val="16"/>
          <w:color w:val="auto"/>
        </w:rPr>
        <w:t>Daniel Sundheim</w:t>
      </w:r>
      <w:r>
        <w:rPr>
          <w:rFonts w:ascii="Arial" w:cs="Arial" w:eastAsia="Arial" w:hAnsi="Arial"/>
          <w:sz w:val="23"/>
          <w:szCs w:val="23"/>
          <w:color w:val="auto"/>
          <w:vertAlign w:val="superscript"/>
        </w:rPr>
        <w:t>(15)</w:t>
      </w:r>
    </w:p>
    <w:p>
      <w:pPr>
        <w:ind w:left="460"/>
        <w:spacing w:after="0" w:line="184" w:lineRule="auto"/>
        <w:rPr>
          <w:sz w:val="20"/>
          <w:szCs w:val="20"/>
          <w:color w:val="auto"/>
        </w:rPr>
      </w:pPr>
      <w:r>
        <w:rPr>
          <w:rFonts w:ascii="Arial" w:cs="Arial" w:eastAsia="Arial" w:hAnsi="Arial"/>
          <w:sz w:val="16"/>
          <w:szCs w:val="16"/>
          <w:color w:val="auto"/>
        </w:rPr>
        <w:t>All directors and executive officers as a group (12 persons)</w:t>
      </w:r>
      <w:r>
        <w:rPr>
          <w:rFonts w:ascii="Arial" w:cs="Arial" w:eastAsia="Arial" w:hAnsi="Arial"/>
          <w:sz w:val="23"/>
          <w:szCs w:val="23"/>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0</wp:posOffset>
            </wp:positionV>
            <wp:extent cx="6562090" cy="1289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56209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b w:val="1"/>
          <w:bCs w:val="1"/>
          <w:i w:val="1"/>
          <w:i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92075</wp:posOffset>
            </wp:positionV>
            <wp:extent cx="7239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7" w:lineRule="exact"/>
        <w:rPr>
          <w:sz w:val="20"/>
          <w:szCs w:val="20"/>
          <w:color w:val="auto"/>
        </w:rPr>
      </w:pPr>
    </w:p>
    <w:p>
      <w:pPr>
        <w:ind w:left="860" w:hanging="403"/>
        <w:spacing w:after="0"/>
        <w:tabs>
          <w:tab w:leader="none" w:pos="86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tbl>
      <w:tblPr>
        <w:tblLayout w:type="fixed"/>
        <w:tblInd w:w="460" w:type="dxa"/>
        <w:tblCellMar>
          <w:top w:w="0" w:type="dxa"/>
          <w:left w:w="0" w:type="dxa"/>
          <w:bottom w:w="0" w:type="dxa"/>
          <w:right w:w="0" w:type="dxa"/>
        </w:tblCellMar>
      </w:tblPr>
      <w:tr>
        <w:trPr>
          <w:trHeight w:val="129"/>
        </w:trPr>
        <w:tc>
          <w:tcPr>
            <w:tcW w:w="280" w:type="dxa"/>
            <w:vAlign w:val="bottom"/>
          </w:tcPr>
          <w:p>
            <w:pPr>
              <w:jc w:val="right"/>
              <w:ind w:right="53"/>
              <w:spacing w:after="0" w:line="129" w:lineRule="exact"/>
              <w:rPr>
                <w:sz w:val="20"/>
                <w:szCs w:val="20"/>
                <w:color w:val="auto"/>
              </w:rPr>
            </w:pPr>
            <w:r>
              <w:rPr>
                <w:rFonts w:ascii="Arial" w:cs="Arial" w:eastAsia="Arial" w:hAnsi="Arial"/>
                <w:sz w:val="13"/>
                <w:szCs w:val="13"/>
                <w:color w:val="auto"/>
                <w:w w:val="87"/>
              </w:rPr>
              <w:t>(1)</w:t>
            </w:r>
          </w:p>
        </w:tc>
        <w:tc>
          <w:tcPr>
            <w:tcW w:w="940" w:type="dxa"/>
            <w:vAlign w:val="bottom"/>
          </w:tcPr>
          <w:p>
            <w:pPr>
              <w:ind w:left="120"/>
              <w:spacing w:after="0" w:line="129" w:lineRule="exact"/>
              <w:rPr>
                <w:sz w:val="20"/>
                <w:szCs w:val="20"/>
                <w:color w:val="auto"/>
              </w:rPr>
            </w:pPr>
            <w:r>
              <w:rPr>
                <w:rFonts w:ascii="Arial" w:cs="Arial" w:eastAsia="Arial" w:hAnsi="Arial"/>
                <w:sz w:val="13"/>
                <w:szCs w:val="13"/>
                <w:color w:val="auto"/>
              </w:rPr>
              <w:t>Consists of (i)</w:t>
            </w:r>
          </w:p>
        </w:tc>
        <w:tc>
          <w:tcPr>
            <w:tcW w:w="5920" w:type="dxa"/>
            <w:vAlign w:val="bottom"/>
            <w:gridSpan w:val="3"/>
          </w:tcPr>
          <w:p>
            <w:pPr>
              <w:ind w:left="420"/>
              <w:spacing w:after="0" w:line="129" w:lineRule="exact"/>
              <w:rPr>
                <w:sz w:val="20"/>
                <w:szCs w:val="20"/>
                <w:color w:val="auto"/>
              </w:rPr>
            </w:pPr>
            <w:r>
              <w:rPr>
                <w:rFonts w:ascii="Arial" w:cs="Arial" w:eastAsia="Arial" w:hAnsi="Arial"/>
                <w:sz w:val="13"/>
                <w:szCs w:val="13"/>
                <w:color w:val="auto"/>
              </w:rPr>
              <w:t>shares of our common stock held by Sequoia Capital USV XIV Holdco, Ltd., or XIV Holdco; (ii)</w:t>
            </w:r>
          </w:p>
        </w:tc>
        <w:tc>
          <w:tcPr>
            <w:tcW w:w="3180" w:type="dxa"/>
            <w:vAlign w:val="bottom"/>
            <w:gridSpan w:val="2"/>
          </w:tcPr>
          <w:p>
            <w:pPr>
              <w:jc w:val="right"/>
              <w:ind w:right="33"/>
              <w:spacing w:after="0" w:line="129" w:lineRule="exact"/>
              <w:rPr>
                <w:sz w:val="20"/>
                <w:szCs w:val="20"/>
                <w:color w:val="auto"/>
              </w:rPr>
            </w:pPr>
            <w:r>
              <w:rPr>
                <w:rFonts w:ascii="Arial" w:cs="Arial" w:eastAsia="Arial" w:hAnsi="Arial"/>
                <w:sz w:val="13"/>
                <w:szCs w:val="13"/>
                <w:color w:val="auto"/>
              </w:rPr>
              <w:t>shares of our common stock held by Sequoia Capital</w:t>
            </w:r>
          </w:p>
        </w:tc>
      </w:tr>
      <w:tr>
        <w:trPr>
          <w:trHeight w:val="139"/>
        </w:trPr>
        <w:tc>
          <w:tcPr>
            <w:tcW w:w="280" w:type="dxa"/>
            <w:vAlign w:val="bottom"/>
          </w:tcPr>
          <w:p>
            <w:pPr>
              <w:spacing w:after="0"/>
              <w:rPr>
                <w:sz w:val="12"/>
                <w:szCs w:val="12"/>
                <w:color w:val="auto"/>
              </w:rPr>
            </w:pPr>
          </w:p>
        </w:tc>
        <w:tc>
          <w:tcPr>
            <w:tcW w:w="264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U.S. Growth Fund VI, L.P., or GF VI; (iii)</w:t>
            </w:r>
          </w:p>
        </w:tc>
        <w:tc>
          <w:tcPr>
            <w:tcW w:w="5760" w:type="dxa"/>
            <w:vAlign w:val="bottom"/>
            <w:gridSpan w:val="3"/>
          </w:tcPr>
          <w:p>
            <w:pPr>
              <w:ind w:left="240"/>
              <w:spacing w:after="0" w:line="139" w:lineRule="exact"/>
              <w:rPr>
                <w:sz w:val="20"/>
                <w:szCs w:val="20"/>
                <w:color w:val="auto"/>
              </w:rPr>
            </w:pPr>
            <w:r>
              <w:rPr>
                <w:rFonts w:ascii="Arial" w:cs="Arial" w:eastAsia="Arial" w:hAnsi="Arial"/>
                <w:sz w:val="13"/>
                <w:szCs w:val="13"/>
                <w:color w:val="auto"/>
                <w:w w:val="99"/>
              </w:rPr>
              <w:t>shares of our common stock held by Sequoia Capital Global Growth Fund II, L.P., or GGF II; (iv)</w:t>
            </w:r>
          </w:p>
        </w:tc>
        <w:tc>
          <w:tcPr>
            <w:tcW w:w="1640" w:type="dxa"/>
            <w:vAlign w:val="bottom"/>
          </w:tcPr>
          <w:p>
            <w:pPr>
              <w:jc w:val="right"/>
              <w:ind w:right="53"/>
              <w:spacing w:after="0" w:line="139" w:lineRule="exact"/>
              <w:rPr>
                <w:sz w:val="20"/>
                <w:szCs w:val="20"/>
                <w:color w:val="auto"/>
              </w:rPr>
            </w:pPr>
            <w:r>
              <w:rPr>
                <w:rFonts w:ascii="Arial" w:cs="Arial" w:eastAsia="Arial" w:hAnsi="Arial"/>
                <w:sz w:val="13"/>
                <w:szCs w:val="13"/>
                <w:color w:val="auto"/>
              </w:rPr>
              <w:t>shares of our stock held</w:t>
            </w:r>
          </w:p>
        </w:tc>
      </w:tr>
      <w:tr>
        <w:trPr>
          <w:trHeight w:val="139"/>
        </w:trPr>
        <w:tc>
          <w:tcPr>
            <w:tcW w:w="280" w:type="dxa"/>
            <w:vAlign w:val="bottom"/>
          </w:tcPr>
          <w:p>
            <w:pPr>
              <w:spacing w:after="0"/>
              <w:rPr>
                <w:sz w:val="12"/>
                <w:szCs w:val="12"/>
                <w:color w:val="auto"/>
              </w:rPr>
            </w:pPr>
          </w:p>
        </w:tc>
        <w:tc>
          <w:tcPr>
            <w:tcW w:w="3660" w:type="dxa"/>
            <w:vAlign w:val="bottom"/>
            <w:gridSpan w:val="3"/>
          </w:tcPr>
          <w:p>
            <w:pPr>
              <w:ind w:left="120"/>
              <w:spacing w:after="0" w:line="139" w:lineRule="exact"/>
              <w:rPr>
                <w:sz w:val="20"/>
                <w:szCs w:val="20"/>
                <w:color w:val="auto"/>
              </w:rPr>
            </w:pPr>
            <w:r>
              <w:rPr>
                <w:rFonts w:ascii="Arial" w:cs="Arial" w:eastAsia="Arial" w:hAnsi="Arial"/>
                <w:sz w:val="13"/>
                <w:szCs w:val="13"/>
                <w:color w:val="auto"/>
              </w:rPr>
              <w:t>by Sequoia Capital U.S. Growth Fund VII, L.P., or GF VII; (v)</w:t>
            </w:r>
          </w:p>
        </w:tc>
        <w:tc>
          <w:tcPr>
            <w:tcW w:w="6380" w:type="dxa"/>
            <w:vAlign w:val="bottom"/>
            <w:gridSpan w:val="3"/>
          </w:tcPr>
          <w:p>
            <w:pPr>
              <w:jc w:val="right"/>
              <w:spacing w:after="0" w:line="139" w:lineRule="exact"/>
              <w:rPr>
                <w:sz w:val="20"/>
                <w:szCs w:val="20"/>
                <w:color w:val="auto"/>
              </w:rPr>
            </w:pPr>
            <w:r>
              <w:rPr>
                <w:rFonts w:ascii="Arial" w:cs="Arial" w:eastAsia="Arial" w:hAnsi="Arial"/>
                <w:sz w:val="13"/>
                <w:szCs w:val="13"/>
                <w:color w:val="auto"/>
                <w:w w:val="99"/>
              </w:rPr>
              <w:t>shares of our common stock held by Sequoia Capital Global Growth Fund III–Endurance Partners, L.P., or GGF</w:t>
            </w:r>
          </w:p>
        </w:tc>
      </w:tr>
      <w:tr>
        <w:trPr>
          <w:trHeight w:val="139"/>
        </w:trPr>
        <w:tc>
          <w:tcPr>
            <w:tcW w:w="280" w:type="dxa"/>
            <w:vAlign w:val="bottom"/>
          </w:tcPr>
          <w:p>
            <w:pPr>
              <w:spacing w:after="0"/>
              <w:rPr>
                <w:sz w:val="12"/>
                <w:szCs w:val="12"/>
                <w:color w:val="auto"/>
              </w:rPr>
            </w:pPr>
          </w:p>
        </w:tc>
        <w:tc>
          <w:tcPr>
            <w:tcW w:w="940" w:type="dxa"/>
            <w:vAlign w:val="bottom"/>
          </w:tcPr>
          <w:p>
            <w:pPr>
              <w:ind w:left="120"/>
              <w:spacing w:after="0" w:line="139" w:lineRule="exact"/>
              <w:rPr>
                <w:sz w:val="20"/>
                <w:szCs w:val="20"/>
                <w:color w:val="auto"/>
              </w:rPr>
            </w:pPr>
            <w:r>
              <w:rPr>
                <w:rFonts w:ascii="Arial" w:cs="Arial" w:eastAsia="Arial" w:hAnsi="Arial"/>
                <w:sz w:val="13"/>
                <w:szCs w:val="13"/>
                <w:color w:val="auto"/>
              </w:rPr>
              <w:t>III; (vi)</w:t>
            </w:r>
          </w:p>
        </w:tc>
        <w:tc>
          <w:tcPr>
            <w:tcW w:w="9100" w:type="dxa"/>
            <w:vAlign w:val="bottom"/>
            <w:gridSpan w:val="5"/>
          </w:tcPr>
          <w:p>
            <w:pPr>
              <w:jc w:val="right"/>
              <w:ind w:right="133"/>
              <w:spacing w:after="0" w:line="139" w:lineRule="exact"/>
              <w:rPr>
                <w:sz w:val="20"/>
                <w:szCs w:val="20"/>
                <w:color w:val="auto"/>
              </w:rPr>
            </w:pPr>
            <w:r>
              <w:rPr>
                <w:rFonts w:ascii="Arial" w:cs="Arial" w:eastAsia="Arial" w:hAnsi="Arial"/>
                <w:sz w:val="13"/>
                <w:szCs w:val="13"/>
                <w:color w:val="auto"/>
                <w:w w:val="95"/>
              </w:rPr>
              <w:t>shares of our common stock held by Sequoia Capital U.S. Growth VI Principals Fund, L.P., or GF VI PF; (vii) shares of our common stock held by Sequoia Capital</w:t>
            </w:r>
          </w:p>
        </w:tc>
      </w:tr>
      <w:tr>
        <w:trPr>
          <w:trHeight w:val="151"/>
        </w:trPr>
        <w:tc>
          <w:tcPr>
            <w:tcW w:w="280" w:type="dxa"/>
            <w:vAlign w:val="bottom"/>
          </w:tcPr>
          <w:p>
            <w:pPr>
              <w:spacing w:after="0"/>
              <w:rPr>
                <w:sz w:val="13"/>
                <w:szCs w:val="13"/>
                <w:color w:val="auto"/>
              </w:rPr>
            </w:pPr>
          </w:p>
        </w:tc>
        <w:tc>
          <w:tcPr>
            <w:tcW w:w="3660" w:type="dxa"/>
            <w:vAlign w:val="bottom"/>
            <w:gridSpan w:val="3"/>
          </w:tcPr>
          <w:p>
            <w:pPr>
              <w:ind w:left="120"/>
              <w:spacing w:after="0"/>
              <w:rPr>
                <w:sz w:val="20"/>
                <w:szCs w:val="20"/>
                <w:color w:val="auto"/>
              </w:rPr>
            </w:pPr>
            <w:r>
              <w:rPr>
                <w:rFonts w:ascii="Arial" w:cs="Arial" w:eastAsia="Arial" w:hAnsi="Arial"/>
                <w:sz w:val="13"/>
                <w:szCs w:val="13"/>
                <w:color w:val="auto"/>
              </w:rPr>
              <w:t>U.S. Growth VII Principals Fund, L.P., or GF VII PF; (viii)</w:t>
            </w:r>
          </w:p>
        </w:tc>
        <w:tc>
          <w:tcPr>
            <w:tcW w:w="6380" w:type="dxa"/>
            <w:vAlign w:val="bottom"/>
            <w:gridSpan w:val="3"/>
          </w:tcPr>
          <w:p>
            <w:pPr>
              <w:jc w:val="right"/>
              <w:ind w:right="33"/>
              <w:spacing w:after="0"/>
              <w:rPr>
                <w:sz w:val="20"/>
                <w:szCs w:val="20"/>
                <w:color w:val="auto"/>
              </w:rPr>
            </w:pPr>
            <w:r>
              <w:rPr>
                <w:rFonts w:ascii="Arial" w:cs="Arial" w:eastAsia="Arial" w:hAnsi="Arial"/>
                <w:sz w:val="13"/>
                <w:szCs w:val="13"/>
                <w:color w:val="auto"/>
                <w:w w:val="97"/>
              </w:rPr>
              <w:t>shares of our common stock held by SCGGF III – U.S./India Management, L.P., or GGF III US IND MGMT; and</w:t>
            </w:r>
          </w:p>
        </w:tc>
      </w:tr>
    </w:tbl>
    <w:p>
      <w:pPr>
        <w:ind w:left="860" w:firstLine="2"/>
        <w:spacing w:after="0" w:line="242" w:lineRule="auto"/>
        <w:tabs>
          <w:tab w:leader="none" w:pos="1527" w:val="left"/>
        </w:tabs>
        <w:numPr>
          <w:ilvl w:val="0"/>
          <w:numId w:val="268"/>
        </w:numPr>
        <w:rPr>
          <w:rFonts w:ascii="Arial" w:cs="Arial" w:eastAsia="Arial" w:hAnsi="Arial"/>
          <w:sz w:val="12"/>
          <w:szCs w:val="12"/>
          <w:color w:val="auto"/>
        </w:rPr>
      </w:pPr>
      <w:r>
        <w:rPr>
          <w:rFonts w:ascii="Arial" w:cs="Arial" w:eastAsia="Arial" w:hAnsi="Arial"/>
          <w:sz w:val="12"/>
          <w:szCs w:val="12"/>
          <w:color w:val="auto"/>
        </w:rPr>
        <w:t>shares of our common stock held by Sequoia Capital Global Growth II Principals Fund, L.P., or GGF II PF. SC US (TTGP), Ltd. is (i) the general partner of SC U.S. Venture XIV Management, L.P., which is the general partner of each of Sequoia Capital U.S. Venture Fund XIV, L.P., Sequoia Capital U.S. Venture Partners Fund XIV, L.P., and Sequoia Capital U.S. Venture Partners Fund XIV (Q), L.P., or collectively, the XIV Funds, which together own 100% of the outstanding ordinary shares of XIV Holdco; (ii) the general partner of SC U.S. Growth VI Management, L.P., which is the general partner of each of GF VI and GF VI PF, or collectively, the GF VI Funds; (iii) the general partner of SC U.S. Growth VII Management, L.P., which is the general partner of each of GF VII and GF VII PF, or collectively, the GF VII Funds; (iv) the general partner of SC Global Growth II Management, L.P., which is the general partner of each of GGF II and GGF II PF, or collectively, the GGF II Funds; (v) the general partner of SCGGF III–Endurance Partners Management, L.P., which is the general partner of GGF III; and (vi) the general partner of GGF III US IND MGMT. As a result, SC US (TTGP), Ltd. may be deemed to share voting and dispositive power with respect to the shares held by XIV Holdco, the GF VI Funds, the GF VII Funds, the GGF II Funds, GGF III, and GGF III US IND MGMT. The directors and stockholders of SC US (TTGP), Ltd. who exercise voting and investment discretion with respect to the GGF II Funds, GGF III, and GGF III US IND MGMT are Douglas M. Leone and Roelof Botha. As a result, and by virtue of the relationships described in this paragraph, each such person may be deemed to share voting and dispositive power with respect to the shares held by the GGF II Funds, GGF III, and GGF III US IND MGMT. Michael Moritz, one of our directors, expressly disclaims beneficial ownership of the shares held by these entities. The address for each of these entities is 2800 Sand Hill Road, Suite 101, Menlo Park, CA.</w:t>
      </w:r>
    </w:p>
    <w:tbl>
      <w:tblPr>
        <w:tblLayout w:type="fixed"/>
        <w:tblInd w:w="460" w:type="dxa"/>
        <w:tblCellMar>
          <w:top w:w="0" w:type="dxa"/>
          <w:left w:w="0" w:type="dxa"/>
          <w:bottom w:w="0" w:type="dxa"/>
          <w:right w:w="0" w:type="dxa"/>
        </w:tblCellMar>
      </w:tblPr>
      <w:tr>
        <w:trPr>
          <w:trHeight w:val="129"/>
        </w:trPr>
        <w:tc>
          <w:tcPr>
            <w:tcW w:w="280" w:type="dxa"/>
            <w:vAlign w:val="bottom"/>
          </w:tcPr>
          <w:p>
            <w:pPr>
              <w:jc w:val="right"/>
              <w:ind w:right="53"/>
              <w:spacing w:after="0" w:line="129" w:lineRule="exact"/>
              <w:rPr>
                <w:sz w:val="20"/>
                <w:szCs w:val="20"/>
                <w:color w:val="auto"/>
              </w:rPr>
            </w:pPr>
            <w:r>
              <w:rPr>
                <w:rFonts w:ascii="Arial" w:cs="Arial" w:eastAsia="Arial" w:hAnsi="Arial"/>
                <w:sz w:val="13"/>
                <w:szCs w:val="13"/>
                <w:color w:val="auto"/>
                <w:w w:val="87"/>
              </w:rPr>
              <w:t>(2)</w:t>
            </w:r>
          </w:p>
        </w:tc>
        <w:tc>
          <w:tcPr>
            <w:tcW w:w="1120" w:type="dxa"/>
            <w:vAlign w:val="bottom"/>
          </w:tcPr>
          <w:p>
            <w:pPr>
              <w:ind w:left="120"/>
              <w:spacing w:after="0" w:line="129" w:lineRule="exact"/>
              <w:rPr>
                <w:sz w:val="20"/>
                <w:szCs w:val="20"/>
                <w:color w:val="auto"/>
              </w:rPr>
            </w:pPr>
            <w:r>
              <w:rPr>
                <w:rFonts w:ascii="Arial" w:cs="Arial" w:eastAsia="Arial" w:hAnsi="Arial"/>
                <w:sz w:val="13"/>
                <w:szCs w:val="13"/>
                <w:color w:val="auto"/>
              </w:rPr>
              <w:t>Consists of (i)</w:t>
            </w:r>
          </w:p>
        </w:tc>
        <w:tc>
          <w:tcPr>
            <w:tcW w:w="5120" w:type="dxa"/>
            <w:vAlign w:val="bottom"/>
            <w:gridSpan w:val="2"/>
          </w:tcPr>
          <w:p>
            <w:pPr>
              <w:ind w:left="240"/>
              <w:spacing w:after="0" w:line="129" w:lineRule="exact"/>
              <w:rPr>
                <w:sz w:val="20"/>
                <w:szCs w:val="20"/>
                <w:color w:val="auto"/>
              </w:rPr>
            </w:pPr>
            <w:r>
              <w:rPr>
                <w:rFonts w:ascii="Arial" w:cs="Arial" w:eastAsia="Arial" w:hAnsi="Arial"/>
                <w:sz w:val="13"/>
                <w:szCs w:val="13"/>
                <w:color w:val="auto"/>
                <w:w w:val="99"/>
              </w:rPr>
              <w:t>shares of our common stock held by D1 Iconoclast Holdings LP, or D1 Iconoclast; (ii)</w:t>
            </w:r>
          </w:p>
        </w:tc>
        <w:tc>
          <w:tcPr>
            <w:tcW w:w="3780" w:type="dxa"/>
            <w:vAlign w:val="bottom"/>
            <w:gridSpan w:val="2"/>
          </w:tcPr>
          <w:p>
            <w:pPr>
              <w:ind w:left="240"/>
              <w:spacing w:after="0" w:line="129" w:lineRule="exact"/>
              <w:rPr>
                <w:sz w:val="20"/>
                <w:szCs w:val="20"/>
                <w:color w:val="auto"/>
              </w:rPr>
            </w:pPr>
            <w:r>
              <w:rPr>
                <w:rFonts w:ascii="Arial" w:cs="Arial" w:eastAsia="Arial" w:hAnsi="Arial"/>
                <w:sz w:val="13"/>
                <w:szCs w:val="13"/>
                <w:color w:val="auto"/>
                <w:w w:val="95"/>
              </w:rPr>
              <w:t>shares of our common stock held by D1 Master Holdco I LLC, or</w:t>
            </w:r>
          </w:p>
        </w:tc>
      </w:tr>
      <w:tr>
        <w:trPr>
          <w:trHeight w:val="151"/>
        </w:trPr>
        <w:tc>
          <w:tcPr>
            <w:tcW w:w="280" w:type="dxa"/>
            <w:vAlign w:val="bottom"/>
          </w:tcPr>
          <w:p>
            <w:pPr>
              <w:spacing w:after="0"/>
              <w:rPr>
                <w:sz w:val="13"/>
                <w:szCs w:val="13"/>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D1 Master Holdco; (iii)</w:t>
            </w:r>
          </w:p>
        </w:tc>
        <w:tc>
          <w:tcPr>
            <w:tcW w:w="5320" w:type="dxa"/>
            <w:vAlign w:val="bottom"/>
            <w:gridSpan w:val="2"/>
          </w:tcPr>
          <w:p>
            <w:pPr>
              <w:ind w:left="240"/>
              <w:spacing w:after="0"/>
              <w:rPr>
                <w:sz w:val="20"/>
                <w:szCs w:val="20"/>
                <w:color w:val="auto"/>
              </w:rPr>
            </w:pPr>
            <w:r>
              <w:rPr>
                <w:rFonts w:ascii="Arial" w:cs="Arial" w:eastAsia="Arial" w:hAnsi="Arial"/>
                <w:sz w:val="13"/>
                <w:szCs w:val="13"/>
                <w:color w:val="auto"/>
              </w:rPr>
              <w:t>shares of our common stock held by GCM Grosvenor IC SPV, LLC, or GCM IC; and (iii)</w:t>
            </w:r>
          </w:p>
        </w:tc>
        <w:tc>
          <w:tcPr>
            <w:tcW w:w="3060" w:type="dxa"/>
            <w:vAlign w:val="bottom"/>
          </w:tcPr>
          <w:p>
            <w:pPr>
              <w:ind w:left="240"/>
              <w:spacing w:after="0"/>
              <w:rPr>
                <w:sz w:val="20"/>
                <w:szCs w:val="20"/>
                <w:color w:val="auto"/>
              </w:rPr>
            </w:pPr>
            <w:r>
              <w:rPr>
                <w:rFonts w:ascii="Arial" w:cs="Arial" w:eastAsia="Arial" w:hAnsi="Arial"/>
                <w:sz w:val="13"/>
                <w:szCs w:val="13"/>
                <w:color w:val="auto"/>
              </w:rPr>
              <w:t>shares of our common stock held by GCM</w:t>
            </w:r>
          </w:p>
        </w:tc>
      </w:tr>
    </w:tbl>
    <w:p>
      <w:pPr>
        <w:ind w:left="860" w:right="160"/>
        <w:spacing w:after="0" w:line="232" w:lineRule="auto"/>
        <w:rPr>
          <w:sz w:val="20"/>
          <w:szCs w:val="20"/>
          <w:color w:val="auto"/>
        </w:rPr>
      </w:pPr>
      <w:r>
        <w:rPr>
          <w:rFonts w:ascii="Arial" w:cs="Arial" w:eastAsia="Arial" w:hAnsi="Arial"/>
          <w:sz w:val="13"/>
          <w:szCs w:val="13"/>
          <w:color w:val="auto"/>
        </w:rPr>
        <w:t>Grosvenor IC SPV 2, LLC, or GCM IC 2. D1 Capital Partners L.P., or the D1 Management Company, is a registered investment adviser and serves as the investment manager of private investment vehicles and accounts, including D1 Iconoclast and D1 Master Holdco, and as an investment consultant to certain private investment vehicles and accounts, including GCM IC and GCM IC 2, and may be deemed to beneficially own the shares of common stock held by D1 Iconoclast, D1 Master Holdco, GCM IC, and GCM IC 2. Daniel Sundheim indirectly controls the D1</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278</w:t>
      </w:r>
    </w:p>
    <w:p>
      <w:pPr>
        <w:sectPr>
          <w:pgSz w:w="11900" w:h="16838" w:orient="portrait"/>
          <w:cols w:equalWidth="0" w:num="1">
            <w:col w:w="10780"/>
          </w:cols>
          <w:pgMar w:left="320" w:top="440" w:right="79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40" w:type="dxa"/>
            <w:vAlign w:val="bottom"/>
            <w:gridSpan w:val="5"/>
          </w:tcPr>
          <w:p>
            <w:pPr>
              <w:jc w:val="center"/>
              <w:ind w:left="644"/>
              <w:spacing w:after="0"/>
              <w:rPr>
                <w:sz w:val="20"/>
                <w:szCs w:val="20"/>
                <w:color w:val="auto"/>
              </w:rPr>
            </w:pPr>
            <w:r>
              <w:rPr>
                <w:rFonts w:ascii="Arial" w:cs="Arial" w:eastAsia="Arial" w:hAnsi="Arial"/>
                <w:sz w:val="17"/>
                <w:szCs w:val="17"/>
                <w:b w:val="1"/>
                <w:bCs w:val="1"/>
                <w:color w:val="auto"/>
                <w:w w:val="90"/>
              </w:rPr>
              <w:t>Confidential Treatment Requested by Maplebear Inc.</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gridSpan w:val="4"/>
          </w:tcPr>
          <w:p>
            <w:pPr>
              <w:jc w:val="center"/>
              <w:ind w:left="1224"/>
              <w:spacing w:after="0"/>
              <w:rPr>
                <w:sz w:val="20"/>
                <w:szCs w:val="20"/>
                <w:color w:val="auto"/>
              </w:rPr>
            </w:pPr>
            <w:r>
              <w:rPr>
                <w:rFonts w:ascii="Arial" w:cs="Arial" w:eastAsia="Arial" w:hAnsi="Arial"/>
                <w:sz w:val="17"/>
                <w:szCs w:val="17"/>
                <w:b w:val="1"/>
                <w:bCs w:val="1"/>
                <w:color w:val="auto"/>
                <w:w w:val="89"/>
              </w:rPr>
              <w:t>Pursuant to 17 C.F.R. Section 200.83</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1"/>
        </w:trPr>
        <w:tc>
          <w:tcPr>
            <w:tcW w:w="320" w:type="dxa"/>
            <w:vAlign w:val="bottom"/>
          </w:tcPr>
          <w:p>
            <w:pPr>
              <w:spacing w:after="0"/>
              <w:rPr>
                <w:sz w:val="22"/>
                <w:szCs w:val="22"/>
                <w:color w:val="auto"/>
              </w:rPr>
            </w:pPr>
          </w:p>
        </w:tc>
        <w:tc>
          <w:tcPr>
            <w:tcW w:w="9860" w:type="dxa"/>
            <w:vAlign w:val="bottom"/>
            <w:gridSpan w:val="11"/>
          </w:tcPr>
          <w:p>
            <w:pPr>
              <w:ind w:left="80"/>
              <w:spacing w:after="0"/>
              <w:rPr>
                <w:sz w:val="20"/>
                <w:szCs w:val="20"/>
                <w:color w:val="auto"/>
              </w:rPr>
            </w:pPr>
            <w:r>
              <w:rPr>
                <w:rFonts w:ascii="Arial" w:cs="Arial" w:eastAsia="Arial" w:hAnsi="Arial"/>
                <w:sz w:val="13"/>
                <w:szCs w:val="13"/>
                <w:color w:val="auto"/>
                <w:w w:val="94"/>
              </w:rPr>
              <w:t>Management Company and may be deemed to have the power to vote, or to direct the voting of, or to dispose of, or to direct the disposition of, the shares held by D1 Iconoclast, D1</w:t>
            </w:r>
          </w:p>
        </w:tc>
        <w:tc>
          <w:tcPr>
            <w:tcW w:w="40" w:type="dxa"/>
            <w:vAlign w:val="bottom"/>
          </w:tcPr>
          <w:p>
            <w:pPr>
              <w:spacing w:after="0"/>
              <w:rPr>
                <w:sz w:val="22"/>
                <w:szCs w:val="22"/>
                <w:color w:val="auto"/>
              </w:rPr>
            </w:pPr>
          </w:p>
        </w:tc>
      </w:tr>
      <w:tr>
        <w:trPr>
          <w:trHeight w:val="139"/>
        </w:trPr>
        <w:tc>
          <w:tcPr>
            <w:tcW w:w="320" w:type="dxa"/>
            <w:vAlign w:val="bottom"/>
          </w:tcPr>
          <w:p>
            <w:pPr>
              <w:spacing w:after="0"/>
              <w:rPr>
                <w:sz w:val="12"/>
                <w:szCs w:val="12"/>
                <w:color w:val="auto"/>
              </w:rPr>
            </w:pPr>
          </w:p>
        </w:tc>
        <w:tc>
          <w:tcPr>
            <w:tcW w:w="9900" w:type="dxa"/>
            <w:vAlign w:val="bottom"/>
            <w:gridSpan w:val="12"/>
          </w:tcPr>
          <w:p>
            <w:pPr>
              <w:ind w:left="80"/>
              <w:spacing w:after="0" w:line="139" w:lineRule="exact"/>
              <w:rPr>
                <w:sz w:val="20"/>
                <w:szCs w:val="20"/>
                <w:color w:val="auto"/>
              </w:rPr>
            </w:pPr>
            <w:r>
              <w:rPr>
                <w:rFonts w:ascii="Arial" w:cs="Arial" w:eastAsia="Arial" w:hAnsi="Arial"/>
                <w:sz w:val="13"/>
                <w:szCs w:val="13"/>
                <w:color w:val="auto"/>
                <w:w w:val="95"/>
              </w:rPr>
              <w:t>Master Holdco, GCM IC, and GCM IC2 by virtue of his control over the D1 Management Company. The address for D1 Iconoclast and D1 Master Holdco is c/o D1 Capital Partners</w:t>
            </w:r>
          </w:p>
        </w:tc>
      </w:tr>
      <w:tr>
        <w:trPr>
          <w:trHeight w:val="139"/>
        </w:trPr>
        <w:tc>
          <w:tcPr>
            <w:tcW w:w="320" w:type="dxa"/>
            <w:vAlign w:val="bottom"/>
          </w:tcPr>
          <w:p>
            <w:pPr>
              <w:spacing w:after="0"/>
              <w:rPr>
                <w:sz w:val="12"/>
                <w:szCs w:val="12"/>
                <w:color w:val="auto"/>
              </w:rPr>
            </w:pPr>
          </w:p>
        </w:tc>
        <w:tc>
          <w:tcPr>
            <w:tcW w:w="9860" w:type="dxa"/>
            <w:vAlign w:val="bottom"/>
            <w:gridSpan w:val="11"/>
          </w:tcPr>
          <w:p>
            <w:pPr>
              <w:ind w:left="80"/>
              <w:spacing w:after="0" w:line="139" w:lineRule="exact"/>
              <w:rPr>
                <w:sz w:val="20"/>
                <w:szCs w:val="20"/>
                <w:color w:val="auto"/>
              </w:rPr>
            </w:pPr>
            <w:r>
              <w:rPr>
                <w:rFonts w:ascii="Arial" w:cs="Arial" w:eastAsia="Arial" w:hAnsi="Arial"/>
                <w:sz w:val="13"/>
                <w:szCs w:val="13"/>
                <w:color w:val="auto"/>
                <w:w w:val="94"/>
              </w:rPr>
              <w:t>L.P., 9 West 57th Street, 36th Floor, New York, New York 10019. The address for GCM IC and GCM IC 2 is c/o Grosvenor Capital Management, L.P., 900 North Michigan Avenue,</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362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Suite 1100, Chicago, Illinois 60611.</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(3)</w:t>
            </w: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Consists of (i)</w:t>
            </w:r>
          </w:p>
        </w:tc>
        <w:tc>
          <w:tcPr>
            <w:tcW w:w="8780" w:type="dxa"/>
            <w:vAlign w:val="bottom"/>
            <w:gridSpan w:val="10"/>
          </w:tcPr>
          <w:p>
            <w:pPr>
              <w:ind w:left="240"/>
              <w:spacing w:after="0" w:line="139" w:lineRule="exact"/>
              <w:rPr>
                <w:sz w:val="20"/>
                <w:szCs w:val="20"/>
                <w:color w:val="auto"/>
              </w:rPr>
            </w:pPr>
            <w:r>
              <w:rPr>
                <w:rFonts w:ascii="Arial" w:cs="Arial" w:eastAsia="Arial" w:hAnsi="Arial"/>
                <w:sz w:val="13"/>
                <w:szCs w:val="13"/>
                <w:color w:val="auto"/>
                <w:w w:val="98"/>
              </w:rPr>
              <w:t>shares of our common stock held by the Djanga Trust, of which Ms. Simo is co-trustee and shares voting and dispositive power with her spouse and (ii)</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700" w:type="dxa"/>
            <w:vAlign w:val="bottom"/>
            <w:gridSpan w:val="8"/>
          </w:tcPr>
          <w:p>
            <w:pPr>
              <w:ind w:left="80"/>
              <w:spacing w:after="0" w:line="139" w:lineRule="exact"/>
              <w:rPr>
                <w:sz w:val="20"/>
                <w:szCs w:val="20"/>
                <w:color w:val="auto"/>
              </w:rPr>
            </w:pPr>
            <w:r>
              <w:rPr>
                <w:rFonts w:ascii="Arial" w:cs="Arial" w:eastAsia="Arial" w:hAnsi="Arial"/>
                <w:sz w:val="13"/>
                <w:szCs w:val="13"/>
                <w:color w:val="auto"/>
                <w:w w:val="98"/>
              </w:rPr>
              <w:t>shares of our common stock issuable pursuant to RSUs for which the service-based vesting condition will be satisfied within 60 days of</w:t>
            </w:r>
          </w:p>
        </w:tc>
        <w:tc>
          <w:tcPr>
            <w:tcW w:w="2160" w:type="dxa"/>
            <w:vAlign w:val="bottom"/>
            <w:gridSpan w:val="3"/>
          </w:tcPr>
          <w:p>
            <w:pPr>
              <w:jc w:val="right"/>
              <w:spacing w:after="0" w:line="139" w:lineRule="exact"/>
              <w:rPr>
                <w:sz w:val="20"/>
                <w:szCs w:val="20"/>
                <w:color w:val="auto"/>
              </w:rPr>
            </w:pPr>
            <w:r>
              <w:rPr>
                <w:rFonts w:ascii="Arial" w:cs="Arial" w:eastAsia="Arial" w:hAnsi="Arial"/>
                <w:sz w:val="13"/>
                <w:szCs w:val="13"/>
                <w:color w:val="auto"/>
              </w:rPr>
              <w:t>, 2023 and the liquidity event-based</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260" w:type="dxa"/>
            <w:vAlign w:val="bottom"/>
            <w:gridSpan w:val="7"/>
          </w:tcPr>
          <w:p>
            <w:pPr>
              <w:ind w:left="80"/>
              <w:spacing w:after="0" w:line="139" w:lineRule="exact"/>
              <w:rPr>
                <w:sz w:val="20"/>
                <w:szCs w:val="20"/>
                <w:color w:val="auto"/>
              </w:rPr>
            </w:pPr>
            <w:r>
              <w:rPr>
                <w:rFonts w:ascii="Arial" w:cs="Arial" w:eastAsia="Arial" w:hAnsi="Arial"/>
                <w:sz w:val="13"/>
                <w:szCs w:val="13"/>
                <w:color w:val="auto"/>
              </w:rPr>
              <w:t>vesting condition will be satisfied upon the effectiveness of the registration statement of which this prospectus forms a part.</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(4)</w:t>
            </w: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Consists of (i)</w:t>
            </w:r>
          </w:p>
        </w:tc>
        <w:tc>
          <w:tcPr>
            <w:tcW w:w="5580" w:type="dxa"/>
            <w:vAlign w:val="bottom"/>
            <w:gridSpan w:val="5"/>
          </w:tcPr>
          <w:p>
            <w:pPr>
              <w:ind w:left="240"/>
              <w:spacing w:after="0" w:line="139" w:lineRule="exact"/>
              <w:rPr>
                <w:sz w:val="20"/>
                <w:szCs w:val="20"/>
                <w:color w:val="auto"/>
              </w:rPr>
            </w:pPr>
            <w:r>
              <w:rPr>
                <w:rFonts w:ascii="Arial" w:cs="Arial" w:eastAsia="Arial" w:hAnsi="Arial"/>
                <w:sz w:val="13"/>
                <w:szCs w:val="13"/>
                <w:color w:val="auto"/>
              </w:rPr>
              <w:t>shares of our common stock subject to stock options that are exercisable within 60 days of</w:t>
            </w:r>
          </w:p>
        </w:tc>
        <w:tc>
          <w:tcPr>
            <w:tcW w:w="600" w:type="dxa"/>
            <w:vAlign w:val="bottom"/>
          </w:tcPr>
          <w:p>
            <w:pPr>
              <w:spacing w:after="0" w:line="139" w:lineRule="exact"/>
              <w:rPr>
                <w:sz w:val="20"/>
                <w:szCs w:val="20"/>
                <w:color w:val="auto"/>
              </w:rPr>
            </w:pPr>
            <w:r>
              <w:rPr>
                <w:rFonts w:ascii="Arial" w:cs="Arial" w:eastAsia="Arial" w:hAnsi="Arial"/>
                <w:sz w:val="13"/>
                <w:szCs w:val="13"/>
                <w:color w:val="auto"/>
              </w:rPr>
              <w:t>, 2023, (ii)</w:t>
            </w:r>
          </w:p>
        </w:tc>
        <w:tc>
          <w:tcPr>
            <w:tcW w:w="440" w:type="dxa"/>
            <w:vAlign w:val="bottom"/>
          </w:tcPr>
          <w:p>
            <w:pPr>
              <w:spacing w:after="0"/>
              <w:rPr>
                <w:sz w:val="12"/>
                <w:szCs w:val="12"/>
                <w:color w:val="auto"/>
              </w:rPr>
            </w:pPr>
          </w:p>
        </w:tc>
        <w:tc>
          <w:tcPr>
            <w:tcW w:w="2160" w:type="dxa"/>
            <w:vAlign w:val="bottom"/>
            <w:gridSpan w:val="3"/>
          </w:tcPr>
          <w:p>
            <w:pPr>
              <w:jc w:val="right"/>
              <w:spacing w:after="0" w:line="139" w:lineRule="exact"/>
              <w:rPr>
                <w:sz w:val="20"/>
                <w:szCs w:val="20"/>
                <w:color w:val="auto"/>
              </w:rPr>
            </w:pPr>
            <w:r>
              <w:rPr>
                <w:rFonts w:ascii="Arial" w:cs="Arial" w:eastAsia="Arial" w:hAnsi="Arial"/>
                <w:sz w:val="13"/>
                <w:szCs w:val="13"/>
                <w:color w:val="auto"/>
                <w:w w:val="93"/>
              </w:rPr>
              <w:t>shares of our common stock underlying</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5400" w:type="dxa"/>
            <w:vAlign w:val="bottom"/>
            <w:gridSpan w:val="5"/>
          </w:tcPr>
          <w:p>
            <w:pPr>
              <w:ind w:left="80"/>
              <w:spacing w:after="0" w:line="139" w:lineRule="exact"/>
              <w:rPr>
                <w:sz w:val="20"/>
                <w:szCs w:val="20"/>
                <w:color w:val="auto"/>
              </w:rPr>
            </w:pPr>
            <w:r>
              <w:rPr>
                <w:rFonts w:ascii="Arial" w:cs="Arial" w:eastAsia="Arial" w:hAnsi="Arial"/>
                <w:sz w:val="13"/>
                <w:szCs w:val="13"/>
                <w:color w:val="auto"/>
                <w:w w:val="97"/>
              </w:rPr>
              <w:t>restricted stock for which the service-based vesting condition will be satisfied within 60 days of</w:t>
            </w:r>
          </w:p>
        </w:tc>
        <w:tc>
          <w:tcPr>
            <w:tcW w:w="4460" w:type="dxa"/>
            <w:vAlign w:val="bottom"/>
            <w:gridSpan w:val="6"/>
          </w:tcPr>
          <w:p>
            <w:pPr>
              <w:jc w:val="right"/>
              <w:spacing w:after="0" w:line="139" w:lineRule="exact"/>
              <w:rPr>
                <w:sz w:val="20"/>
                <w:szCs w:val="20"/>
                <w:color w:val="auto"/>
              </w:rPr>
            </w:pPr>
            <w:r>
              <w:rPr>
                <w:rFonts w:ascii="Arial" w:cs="Arial" w:eastAsia="Arial" w:hAnsi="Arial"/>
                <w:sz w:val="13"/>
                <w:szCs w:val="13"/>
                <w:color w:val="auto"/>
              </w:rPr>
              <w:t>, 2023 and the liquidity event-based vesting condition will be satisfied upon</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5400" w:type="dxa"/>
            <w:vAlign w:val="bottom"/>
            <w:gridSpan w:val="5"/>
          </w:tcPr>
          <w:p>
            <w:pPr>
              <w:ind w:left="80"/>
              <w:spacing w:after="0" w:line="139" w:lineRule="exact"/>
              <w:rPr>
                <w:sz w:val="20"/>
                <w:szCs w:val="20"/>
                <w:color w:val="auto"/>
              </w:rPr>
            </w:pPr>
            <w:r>
              <w:rPr>
                <w:rFonts w:ascii="Arial" w:cs="Arial" w:eastAsia="Arial" w:hAnsi="Arial"/>
                <w:sz w:val="13"/>
                <w:szCs w:val="13"/>
                <w:color w:val="auto"/>
              </w:rPr>
              <w:t>the effectiveness of the registration statement of which this prospectus forms a part, and (iii)</w:t>
            </w:r>
          </w:p>
        </w:tc>
        <w:tc>
          <w:tcPr>
            <w:tcW w:w="4460" w:type="dxa"/>
            <w:vAlign w:val="bottom"/>
            <w:gridSpan w:val="6"/>
          </w:tcPr>
          <w:p>
            <w:pPr>
              <w:jc w:val="right"/>
              <w:ind w:right="73"/>
              <w:spacing w:after="0" w:line="139" w:lineRule="exact"/>
              <w:rPr>
                <w:sz w:val="20"/>
                <w:szCs w:val="20"/>
                <w:color w:val="auto"/>
              </w:rPr>
            </w:pPr>
            <w:r>
              <w:rPr>
                <w:rFonts w:ascii="Arial" w:cs="Arial" w:eastAsia="Arial" w:hAnsi="Arial"/>
                <w:sz w:val="13"/>
                <w:szCs w:val="13"/>
                <w:color w:val="auto"/>
                <w:w w:val="96"/>
              </w:rPr>
              <w:t>shares of our common stock issuable pursuant to RSUs for which the service-</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362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based vesting condition will be satisfied within 60 days of</w:t>
            </w:r>
          </w:p>
        </w:tc>
        <w:tc>
          <w:tcPr>
            <w:tcW w:w="6240" w:type="dxa"/>
            <w:vAlign w:val="bottom"/>
            <w:gridSpan w:val="8"/>
          </w:tcPr>
          <w:p>
            <w:pPr>
              <w:jc w:val="right"/>
              <w:ind w:right="73"/>
              <w:spacing w:after="0" w:line="139" w:lineRule="exact"/>
              <w:rPr>
                <w:sz w:val="20"/>
                <w:szCs w:val="20"/>
                <w:color w:val="auto"/>
              </w:rPr>
            </w:pPr>
            <w:r>
              <w:rPr>
                <w:rFonts w:ascii="Arial" w:cs="Arial" w:eastAsia="Arial" w:hAnsi="Arial"/>
                <w:sz w:val="13"/>
                <w:szCs w:val="13"/>
                <w:color w:val="auto"/>
                <w:w w:val="95"/>
              </w:rPr>
              <w:t>, 2023 and the liquidity event-based vesting condition will be satisfied upon the effectiveness of the registration</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362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statement of which this prospectus forms a part.</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(5)</w:t>
            </w:r>
          </w:p>
        </w:tc>
        <w:tc>
          <w:tcPr>
            <w:tcW w:w="8280" w:type="dxa"/>
            <w:vAlign w:val="bottom"/>
            <w:gridSpan w:val="9"/>
          </w:tcPr>
          <w:p>
            <w:pPr>
              <w:ind w:left="80"/>
              <w:spacing w:after="0" w:line="139" w:lineRule="exact"/>
              <w:rPr>
                <w:sz w:val="20"/>
                <w:szCs w:val="20"/>
                <w:color w:val="auto"/>
              </w:rPr>
            </w:pPr>
            <w:r>
              <w:rPr>
                <w:rFonts w:ascii="Arial" w:cs="Arial" w:eastAsia="Arial" w:hAnsi="Arial"/>
                <w:sz w:val="13"/>
                <w:szCs w:val="13"/>
                <w:color w:val="auto"/>
                <w:w w:val="96"/>
              </w:rPr>
              <w:t>Represents shares of our common stock issuable pursuant to RSUs for which the service-based vesting condition will be satisfied within 60 days of</w:t>
            </w:r>
          </w:p>
        </w:tc>
        <w:tc>
          <w:tcPr>
            <w:tcW w:w="1580" w:type="dxa"/>
            <w:vAlign w:val="bottom"/>
            <w:gridSpan w:val="2"/>
          </w:tcPr>
          <w:p>
            <w:pPr>
              <w:ind w:left="220"/>
              <w:spacing w:after="0" w:line="139" w:lineRule="exact"/>
              <w:rPr>
                <w:sz w:val="20"/>
                <w:szCs w:val="20"/>
                <w:color w:val="auto"/>
              </w:rPr>
            </w:pPr>
            <w:r>
              <w:rPr>
                <w:rFonts w:ascii="Arial" w:cs="Arial" w:eastAsia="Arial" w:hAnsi="Arial"/>
                <w:sz w:val="13"/>
                <w:szCs w:val="13"/>
                <w:color w:val="auto"/>
              </w:rPr>
              <w:t>, 2023 and the liquidity</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700" w:type="dxa"/>
            <w:vAlign w:val="bottom"/>
            <w:gridSpan w:val="8"/>
          </w:tcPr>
          <w:p>
            <w:pPr>
              <w:ind w:left="80"/>
              <w:spacing w:after="0" w:line="139" w:lineRule="exact"/>
              <w:rPr>
                <w:sz w:val="20"/>
                <w:szCs w:val="20"/>
                <w:color w:val="auto"/>
              </w:rPr>
            </w:pPr>
            <w:r>
              <w:rPr>
                <w:rFonts w:ascii="Arial" w:cs="Arial" w:eastAsia="Arial" w:hAnsi="Arial"/>
                <w:sz w:val="13"/>
                <w:szCs w:val="13"/>
                <w:color w:val="auto"/>
                <w:w w:val="97"/>
              </w:rPr>
              <w:t>event-based vesting condition will be satisfied upon the effectiveness of the registration statement of which this prospectus forms a part.</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(6)</w:t>
            </w: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Consists of (i)</w:t>
            </w:r>
          </w:p>
        </w:tc>
        <w:tc>
          <w:tcPr>
            <w:tcW w:w="3200" w:type="dxa"/>
            <w:vAlign w:val="bottom"/>
            <w:gridSpan w:val="3"/>
          </w:tcPr>
          <w:p>
            <w:pPr>
              <w:ind w:left="240"/>
              <w:spacing w:after="0" w:line="139" w:lineRule="exact"/>
              <w:rPr>
                <w:sz w:val="20"/>
                <w:szCs w:val="20"/>
                <w:color w:val="auto"/>
              </w:rPr>
            </w:pPr>
            <w:r>
              <w:rPr>
                <w:rFonts w:ascii="Arial" w:cs="Arial" w:eastAsia="Arial" w:hAnsi="Arial"/>
                <w:sz w:val="13"/>
                <w:szCs w:val="13"/>
                <w:color w:val="auto"/>
              </w:rPr>
              <w:t>shares of our common stock held by Mr. Fong, (ii)</w:t>
            </w:r>
          </w:p>
        </w:tc>
        <w:tc>
          <w:tcPr>
            <w:tcW w:w="5580" w:type="dxa"/>
            <w:vAlign w:val="bottom"/>
            <w:gridSpan w:val="7"/>
          </w:tcPr>
          <w:p>
            <w:pPr>
              <w:jc w:val="right"/>
              <w:ind w:right="393"/>
              <w:spacing w:after="0" w:line="139" w:lineRule="exact"/>
              <w:rPr>
                <w:sz w:val="20"/>
                <w:szCs w:val="20"/>
                <w:color w:val="auto"/>
              </w:rPr>
            </w:pPr>
            <w:r>
              <w:rPr>
                <w:rFonts w:ascii="Arial" w:cs="Arial" w:eastAsia="Arial" w:hAnsi="Arial"/>
                <w:sz w:val="13"/>
                <w:szCs w:val="13"/>
                <w:color w:val="auto"/>
                <w:w w:val="98"/>
              </w:rPr>
              <w:t>shares of our common stock subject to stock options that are exercisable within 60 days of</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39"/>
        </w:trPr>
        <w:tc>
          <w:tcPr>
            <w:tcW w:w="320" w:type="dxa"/>
            <w:vAlign w:val="bottom"/>
          </w:tcPr>
          <w:p>
            <w:pPr>
              <w:spacing w:after="0"/>
              <w:rPr>
                <w:sz w:val="12"/>
                <w:szCs w:val="12"/>
                <w:color w:val="auto"/>
              </w:rPr>
            </w:pP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2023, and (iii)</w:t>
            </w:r>
          </w:p>
        </w:tc>
        <w:tc>
          <w:tcPr>
            <w:tcW w:w="7940" w:type="dxa"/>
            <w:vAlign w:val="bottom"/>
            <w:gridSpan w:val="9"/>
          </w:tcPr>
          <w:p>
            <w:pPr>
              <w:ind w:left="240"/>
              <w:spacing w:after="0" w:line="139" w:lineRule="exact"/>
              <w:rPr>
                <w:sz w:val="20"/>
                <w:szCs w:val="20"/>
                <w:color w:val="auto"/>
              </w:rPr>
            </w:pPr>
            <w:r>
              <w:rPr>
                <w:rFonts w:ascii="Arial" w:cs="Arial" w:eastAsia="Arial" w:hAnsi="Arial"/>
                <w:sz w:val="13"/>
                <w:szCs w:val="13"/>
                <w:color w:val="auto"/>
                <w:w w:val="99"/>
              </w:rPr>
              <w:t>shares of our common stock issuable pursuant to RSUs for which the service-based vesting condition will be satisfied within 60 days of</w:t>
            </w:r>
          </w:p>
        </w:tc>
        <w:tc>
          <w:tcPr>
            <w:tcW w:w="88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 2023 and the</w:t>
            </w:r>
          </w:p>
        </w:tc>
      </w:tr>
      <w:tr>
        <w:trPr>
          <w:trHeight w:val="139"/>
        </w:trPr>
        <w:tc>
          <w:tcPr>
            <w:tcW w:w="320" w:type="dxa"/>
            <w:vAlign w:val="bottom"/>
          </w:tcPr>
          <w:p>
            <w:pPr>
              <w:spacing w:after="0"/>
              <w:rPr>
                <w:sz w:val="12"/>
                <w:szCs w:val="12"/>
                <w:color w:val="auto"/>
              </w:rPr>
            </w:pPr>
          </w:p>
        </w:tc>
        <w:tc>
          <w:tcPr>
            <w:tcW w:w="8280" w:type="dxa"/>
            <w:vAlign w:val="bottom"/>
            <w:gridSpan w:val="9"/>
          </w:tcPr>
          <w:p>
            <w:pPr>
              <w:ind w:left="80"/>
              <w:spacing w:after="0" w:line="139" w:lineRule="exact"/>
              <w:rPr>
                <w:sz w:val="20"/>
                <w:szCs w:val="20"/>
                <w:color w:val="auto"/>
              </w:rPr>
            </w:pPr>
            <w:r>
              <w:rPr>
                <w:rFonts w:ascii="Arial" w:cs="Arial" w:eastAsia="Arial" w:hAnsi="Arial"/>
                <w:sz w:val="13"/>
                <w:szCs w:val="13"/>
                <w:color w:val="auto"/>
                <w:w w:val="98"/>
              </w:rPr>
              <w:t>liquidity event-based vesting condition will be satisfied upon the effectiveness of the registration statement of which this prospectus forms a part.</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(7)</w:t>
            </w: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Consists of (i)</w:t>
            </w:r>
          </w:p>
        </w:tc>
        <w:tc>
          <w:tcPr>
            <w:tcW w:w="5580" w:type="dxa"/>
            <w:vAlign w:val="bottom"/>
            <w:gridSpan w:val="5"/>
          </w:tcPr>
          <w:p>
            <w:pPr>
              <w:ind w:left="240"/>
              <w:spacing w:after="0" w:line="139" w:lineRule="exact"/>
              <w:rPr>
                <w:sz w:val="20"/>
                <w:szCs w:val="20"/>
                <w:color w:val="auto"/>
              </w:rPr>
            </w:pPr>
            <w:r>
              <w:rPr>
                <w:rFonts w:ascii="Arial" w:cs="Arial" w:eastAsia="Arial" w:hAnsi="Arial"/>
                <w:sz w:val="13"/>
                <w:szCs w:val="13"/>
                <w:color w:val="auto"/>
              </w:rPr>
              <w:t>shares of our common stock subject to stock options that are exercisable within 60 days of</w:t>
            </w:r>
          </w:p>
        </w:tc>
        <w:tc>
          <w:tcPr>
            <w:tcW w:w="1040" w:type="dxa"/>
            <w:vAlign w:val="bottom"/>
            <w:gridSpan w:val="2"/>
          </w:tcPr>
          <w:p>
            <w:pPr>
              <w:spacing w:after="0" w:line="139" w:lineRule="exact"/>
              <w:rPr>
                <w:sz w:val="20"/>
                <w:szCs w:val="20"/>
                <w:color w:val="auto"/>
              </w:rPr>
            </w:pPr>
            <w:r>
              <w:rPr>
                <w:rFonts w:ascii="Arial" w:cs="Arial" w:eastAsia="Arial" w:hAnsi="Arial"/>
                <w:sz w:val="13"/>
                <w:szCs w:val="13"/>
                <w:color w:val="auto"/>
              </w:rPr>
              <w:t>, 2023 and (ii)</w:t>
            </w:r>
          </w:p>
        </w:tc>
        <w:tc>
          <w:tcPr>
            <w:tcW w:w="2200" w:type="dxa"/>
            <w:vAlign w:val="bottom"/>
            <w:gridSpan w:val="4"/>
          </w:tcPr>
          <w:p>
            <w:pPr>
              <w:jc w:val="right"/>
              <w:spacing w:after="0" w:line="139" w:lineRule="exact"/>
              <w:rPr>
                <w:sz w:val="20"/>
                <w:szCs w:val="20"/>
                <w:color w:val="auto"/>
              </w:rPr>
            </w:pPr>
            <w:r>
              <w:rPr>
                <w:rFonts w:ascii="Arial" w:cs="Arial" w:eastAsia="Arial" w:hAnsi="Arial"/>
                <w:sz w:val="13"/>
                <w:szCs w:val="13"/>
                <w:color w:val="auto"/>
              </w:rPr>
              <w:t>shares of our common stock issuable</w:t>
            </w:r>
          </w:p>
        </w:tc>
      </w:tr>
      <w:tr>
        <w:trPr>
          <w:trHeight w:val="139"/>
        </w:trPr>
        <w:tc>
          <w:tcPr>
            <w:tcW w:w="320" w:type="dxa"/>
            <w:vAlign w:val="bottom"/>
          </w:tcPr>
          <w:p>
            <w:pPr>
              <w:spacing w:after="0"/>
              <w:rPr>
                <w:sz w:val="12"/>
                <w:szCs w:val="12"/>
                <w:color w:val="auto"/>
              </w:rPr>
            </w:pPr>
          </w:p>
        </w:tc>
        <w:tc>
          <w:tcPr>
            <w:tcW w:w="9860" w:type="dxa"/>
            <w:vAlign w:val="bottom"/>
            <w:gridSpan w:val="11"/>
          </w:tcPr>
          <w:p>
            <w:pPr>
              <w:ind w:left="80"/>
              <w:spacing w:after="0" w:line="139" w:lineRule="exact"/>
              <w:rPr>
                <w:sz w:val="20"/>
                <w:szCs w:val="20"/>
                <w:color w:val="auto"/>
              </w:rPr>
            </w:pPr>
            <w:r>
              <w:rPr>
                <w:rFonts w:ascii="Arial" w:cs="Arial" w:eastAsia="Arial" w:hAnsi="Arial"/>
                <w:sz w:val="13"/>
                <w:szCs w:val="13"/>
                <w:color w:val="auto"/>
                <w:w w:val="96"/>
              </w:rPr>
              <w:t>pursuant to RSUs for which the service-based vesting condition was satisfied as of September 21, 2022 and the liquidity event-based vesting condition will be satisfied upon the</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9860" w:type="dxa"/>
            <w:vAlign w:val="bottom"/>
            <w:gridSpan w:val="11"/>
          </w:tcPr>
          <w:p>
            <w:pPr>
              <w:ind w:left="80"/>
              <w:spacing w:after="0" w:line="139" w:lineRule="exact"/>
              <w:rPr>
                <w:sz w:val="20"/>
                <w:szCs w:val="20"/>
                <w:color w:val="auto"/>
              </w:rPr>
            </w:pPr>
            <w:r>
              <w:rPr>
                <w:rFonts w:ascii="Arial" w:cs="Arial" w:eastAsia="Arial" w:hAnsi="Arial"/>
                <w:sz w:val="13"/>
                <w:szCs w:val="13"/>
                <w:color w:val="auto"/>
                <w:w w:val="99"/>
              </w:rPr>
              <w:t>effectiveness of the registration statement of which this prospectus forms a part. Mr. Schaaf ceased serving as our Chief Technology Officer, effective September 21, 2022.</w:t>
            </w: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(8)</w:t>
            </w:r>
          </w:p>
        </w:tc>
        <w:tc>
          <w:tcPr>
            <w:tcW w:w="8280" w:type="dxa"/>
            <w:vAlign w:val="bottom"/>
            <w:gridSpan w:val="9"/>
          </w:tcPr>
          <w:p>
            <w:pPr>
              <w:ind w:left="80"/>
              <w:spacing w:after="0" w:line="139" w:lineRule="exact"/>
              <w:rPr>
                <w:sz w:val="20"/>
                <w:szCs w:val="20"/>
                <w:color w:val="auto"/>
              </w:rPr>
            </w:pPr>
            <w:r>
              <w:rPr>
                <w:rFonts w:ascii="Arial" w:cs="Arial" w:eastAsia="Arial" w:hAnsi="Arial"/>
                <w:sz w:val="13"/>
                <w:szCs w:val="13"/>
                <w:color w:val="auto"/>
                <w:w w:val="96"/>
              </w:rPr>
              <w:t>Represents shares of our common stock issuable pursuant to RSUs for which the service-based vesting condition will be satisfied within 60 days of</w:t>
            </w:r>
          </w:p>
        </w:tc>
        <w:tc>
          <w:tcPr>
            <w:tcW w:w="1580" w:type="dxa"/>
            <w:vAlign w:val="bottom"/>
            <w:gridSpan w:val="2"/>
          </w:tcPr>
          <w:p>
            <w:pPr>
              <w:ind w:left="220"/>
              <w:spacing w:after="0" w:line="139" w:lineRule="exact"/>
              <w:rPr>
                <w:sz w:val="20"/>
                <w:szCs w:val="20"/>
                <w:color w:val="auto"/>
              </w:rPr>
            </w:pPr>
            <w:r>
              <w:rPr>
                <w:rFonts w:ascii="Arial" w:cs="Arial" w:eastAsia="Arial" w:hAnsi="Arial"/>
                <w:sz w:val="13"/>
                <w:szCs w:val="13"/>
                <w:color w:val="auto"/>
              </w:rPr>
              <w:t>, 2023 and the liquidity</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700" w:type="dxa"/>
            <w:vAlign w:val="bottom"/>
            <w:gridSpan w:val="8"/>
          </w:tcPr>
          <w:p>
            <w:pPr>
              <w:ind w:left="80"/>
              <w:spacing w:after="0" w:line="139" w:lineRule="exact"/>
              <w:rPr>
                <w:sz w:val="20"/>
                <w:szCs w:val="20"/>
                <w:color w:val="auto"/>
              </w:rPr>
            </w:pPr>
            <w:r>
              <w:rPr>
                <w:rFonts w:ascii="Arial" w:cs="Arial" w:eastAsia="Arial" w:hAnsi="Arial"/>
                <w:sz w:val="13"/>
                <w:szCs w:val="13"/>
                <w:color w:val="auto"/>
                <w:w w:val="97"/>
              </w:rPr>
              <w:t>event-based vesting condition will be satisfied upon the effectiveness of the registration statement of which this prospectus forms a part.</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(9)</w:t>
            </w:r>
          </w:p>
        </w:tc>
        <w:tc>
          <w:tcPr>
            <w:tcW w:w="8280" w:type="dxa"/>
            <w:vAlign w:val="bottom"/>
            <w:gridSpan w:val="9"/>
          </w:tcPr>
          <w:p>
            <w:pPr>
              <w:ind w:left="80"/>
              <w:spacing w:after="0" w:line="139" w:lineRule="exact"/>
              <w:rPr>
                <w:sz w:val="20"/>
                <w:szCs w:val="20"/>
                <w:color w:val="auto"/>
              </w:rPr>
            </w:pPr>
            <w:r>
              <w:rPr>
                <w:rFonts w:ascii="Arial" w:cs="Arial" w:eastAsia="Arial" w:hAnsi="Arial"/>
                <w:sz w:val="13"/>
                <w:szCs w:val="13"/>
                <w:color w:val="auto"/>
                <w:w w:val="96"/>
              </w:rPr>
              <w:t>Represents shares of our common stock issuable pursuant to RSUs for which the service-based vesting condition will be satisfied within 60 days of</w:t>
            </w:r>
          </w:p>
        </w:tc>
        <w:tc>
          <w:tcPr>
            <w:tcW w:w="1580" w:type="dxa"/>
            <w:vAlign w:val="bottom"/>
            <w:gridSpan w:val="2"/>
          </w:tcPr>
          <w:p>
            <w:pPr>
              <w:ind w:left="220"/>
              <w:spacing w:after="0" w:line="139" w:lineRule="exact"/>
              <w:rPr>
                <w:sz w:val="20"/>
                <w:szCs w:val="20"/>
                <w:color w:val="auto"/>
              </w:rPr>
            </w:pPr>
            <w:r>
              <w:rPr>
                <w:rFonts w:ascii="Arial" w:cs="Arial" w:eastAsia="Arial" w:hAnsi="Arial"/>
                <w:sz w:val="13"/>
                <w:szCs w:val="13"/>
                <w:color w:val="auto"/>
              </w:rPr>
              <w:t>, 2023 and the liquidity</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700" w:type="dxa"/>
            <w:vAlign w:val="bottom"/>
            <w:gridSpan w:val="8"/>
          </w:tcPr>
          <w:p>
            <w:pPr>
              <w:ind w:left="80"/>
              <w:spacing w:after="0" w:line="139" w:lineRule="exact"/>
              <w:rPr>
                <w:sz w:val="20"/>
                <w:szCs w:val="20"/>
                <w:color w:val="auto"/>
              </w:rPr>
            </w:pPr>
            <w:r>
              <w:rPr>
                <w:rFonts w:ascii="Arial" w:cs="Arial" w:eastAsia="Arial" w:hAnsi="Arial"/>
                <w:sz w:val="13"/>
                <w:szCs w:val="13"/>
                <w:color w:val="auto"/>
                <w:w w:val="97"/>
              </w:rPr>
              <w:t>event-based vesting condition will be satisfied upon the effectiveness of the registration statement of which this prospectus forms a part.</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(10)</w:t>
            </w: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Consists of (i)</w:t>
            </w:r>
          </w:p>
        </w:tc>
        <w:tc>
          <w:tcPr>
            <w:tcW w:w="7940" w:type="dxa"/>
            <w:vAlign w:val="bottom"/>
            <w:gridSpan w:val="9"/>
          </w:tcPr>
          <w:p>
            <w:pPr>
              <w:ind w:left="240"/>
              <w:spacing w:after="0" w:line="139" w:lineRule="exact"/>
              <w:rPr>
                <w:sz w:val="20"/>
                <w:szCs w:val="20"/>
                <w:color w:val="auto"/>
              </w:rPr>
            </w:pPr>
            <w:r>
              <w:rPr>
                <w:rFonts w:ascii="Arial" w:cs="Arial" w:eastAsia="Arial" w:hAnsi="Arial"/>
                <w:sz w:val="13"/>
                <w:szCs w:val="13"/>
                <w:color w:val="auto"/>
                <w:w w:val="95"/>
              </w:rPr>
              <w:t>shares of our common stock held by Rivers Cross Trust, of which Mr. McCarthy is trustee and has sole voting and dispositive power and (ii)</w:t>
            </w: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shares of</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260" w:type="dxa"/>
            <w:vAlign w:val="bottom"/>
            <w:gridSpan w:val="7"/>
          </w:tcPr>
          <w:p>
            <w:pPr>
              <w:ind w:left="80"/>
              <w:spacing w:after="0" w:line="139" w:lineRule="exact"/>
              <w:rPr>
                <w:sz w:val="20"/>
                <w:szCs w:val="20"/>
                <w:color w:val="auto"/>
              </w:rPr>
            </w:pPr>
            <w:r>
              <w:rPr>
                <w:rFonts w:ascii="Arial" w:cs="Arial" w:eastAsia="Arial" w:hAnsi="Arial"/>
                <w:sz w:val="13"/>
                <w:szCs w:val="13"/>
                <w:color w:val="auto"/>
                <w:w w:val="99"/>
              </w:rPr>
              <w:t>our common stock issuable pursuant to RSUs for which the service-based vesting condition will be satisfied within 60 days of</w:t>
            </w:r>
          </w:p>
        </w:tc>
        <w:tc>
          <w:tcPr>
            <w:tcW w:w="2600" w:type="dxa"/>
            <w:vAlign w:val="bottom"/>
            <w:gridSpan w:val="4"/>
          </w:tcPr>
          <w:p>
            <w:pPr>
              <w:jc w:val="right"/>
              <w:ind w:right="73"/>
              <w:spacing w:after="0" w:line="139" w:lineRule="exact"/>
              <w:rPr>
                <w:sz w:val="20"/>
                <w:szCs w:val="20"/>
                <w:color w:val="auto"/>
              </w:rPr>
            </w:pPr>
            <w:r>
              <w:rPr>
                <w:rFonts w:ascii="Arial" w:cs="Arial" w:eastAsia="Arial" w:hAnsi="Arial"/>
                <w:sz w:val="13"/>
                <w:szCs w:val="13"/>
                <w:color w:val="auto"/>
                <w:w w:val="97"/>
              </w:rPr>
              <w:t>, 2023 and the liquidity event-based vesting</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6660" w:type="dxa"/>
            <w:vAlign w:val="bottom"/>
            <w:gridSpan w:val="6"/>
          </w:tcPr>
          <w:p>
            <w:pPr>
              <w:ind w:left="80"/>
              <w:spacing w:after="0" w:line="139" w:lineRule="exact"/>
              <w:rPr>
                <w:sz w:val="20"/>
                <w:szCs w:val="20"/>
                <w:color w:val="auto"/>
              </w:rPr>
            </w:pPr>
            <w:r>
              <w:rPr>
                <w:rFonts w:ascii="Arial" w:cs="Arial" w:eastAsia="Arial" w:hAnsi="Arial"/>
                <w:sz w:val="13"/>
                <w:szCs w:val="13"/>
                <w:color w:val="auto"/>
                <w:w w:val="99"/>
              </w:rPr>
              <w:t>condition will be satisfied upon the effectiveness of the registration statement of which this prospectus forms a part.</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(11)</w:t>
            </w:r>
          </w:p>
        </w:tc>
        <w:tc>
          <w:tcPr>
            <w:tcW w:w="1080" w:type="dxa"/>
            <w:vAlign w:val="bottom"/>
          </w:tcPr>
          <w:p>
            <w:pPr>
              <w:ind w:left="80"/>
              <w:spacing w:after="0" w:line="139" w:lineRule="exact"/>
              <w:rPr>
                <w:sz w:val="20"/>
                <w:szCs w:val="20"/>
                <w:color w:val="auto"/>
              </w:rPr>
            </w:pPr>
            <w:r>
              <w:rPr>
                <w:rFonts w:ascii="Arial" w:cs="Arial" w:eastAsia="Arial" w:hAnsi="Arial"/>
                <w:sz w:val="13"/>
                <w:szCs w:val="13"/>
                <w:color w:val="auto"/>
              </w:rPr>
              <w:t>Consists of (i)</w:t>
            </w:r>
          </w:p>
        </w:tc>
        <w:tc>
          <w:tcPr>
            <w:tcW w:w="8780" w:type="dxa"/>
            <w:vAlign w:val="bottom"/>
            <w:gridSpan w:val="10"/>
          </w:tcPr>
          <w:p>
            <w:pPr>
              <w:ind w:left="240"/>
              <w:spacing w:after="0" w:line="139" w:lineRule="exact"/>
              <w:rPr>
                <w:sz w:val="20"/>
                <w:szCs w:val="20"/>
                <w:color w:val="auto"/>
              </w:rPr>
            </w:pPr>
            <w:r>
              <w:rPr>
                <w:rFonts w:ascii="Arial" w:cs="Arial" w:eastAsia="Arial" w:hAnsi="Arial"/>
                <w:sz w:val="13"/>
                <w:szCs w:val="13"/>
                <w:color w:val="auto"/>
                <w:w w:val="98"/>
              </w:rPr>
              <w:t>shares of our common stock held by The Apoorva Mehta Revocable Trust, dated June 20, 2018, of which Mr. Mehta is trustee and has sole voting and</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17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dispositive power and (ii)</w:t>
            </w:r>
          </w:p>
        </w:tc>
        <w:tc>
          <w:tcPr>
            <w:tcW w:w="5540" w:type="dxa"/>
            <w:vAlign w:val="bottom"/>
            <w:gridSpan w:val="5"/>
          </w:tcPr>
          <w:p>
            <w:pPr>
              <w:ind w:left="220"/>
              <w:spacing w:after="0" w:line="139" w:lineRule="exact"/>
              <w:rPr>
                <w:sz w:val="20"/>
                <w:szCs w:val="20"/>
                <w:color w:val="auto"/>
              </w:rPr>
            </w:pPr>
            <w:r>
              <w:rPr>
                <w:rFonts w:ascii="Arial" w:cs="Arial" w:eastAsia="Arial" w:hAnsi="Arial"/>
                <w:sz w:val="13"/>
                <w:szCs w:val="13"/>
                <w:color w:val="auto"/>
              </w:rPr>
              <w:t>shares of our common stock subject to stock options that are exercisable within 60 days of</w:t>
            </w:r>
          </w:p>
        </w:tc>
        <w:tc>
          <w:tcPr>
            <w:tcW w:w="2600" w:type="dxa"/>
            <w:vAlign w:val="bottom"/>
            <w:gridSpan w:val="4"/>
          </w:tcPr>
          <w:p>
            <w:pPr>
              <w:jc w:val="right"/>
              <w:spacing w:after="0" w:line="139" w:lineRule="exact"/>
              <w:rPr>
                <w:sz w:val="20"/>
                <w:szCs w:val="20"/>
                <w:color w:val="auto"/>
              </w:rPr>
            </w:pPr>
            <w:r>
              <w:rPr>
                <w:rFonts w:ascii="Arial" w:cs="Arial" w:eastAsia="Arial" w:hAnsi="Arial"/>
                <w:sz w:val="13"/>
                <w:szCs w:val="13"/>
                <w:color w:val="auto"/>
                <w:w w:val="97"/>
              </w:rPr>
              <w:t>, 2023. Mr. Mehta will resign from our board of</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700" w:type="dxa"/>
            <w:vAlign w:val="bottom"/>
            <w:gridSpan w:val="8"/>
          </w:tcPr>
          <w:p>
            <w:pPr>
              <w:ind w:left="80"/>
              <w:spacing w:after="0" w:line="139" w:lineRule="exact"/>
              <w:rPr>
                <w:sz w:val="20"/>
                <w:szCs w:val="20"/>
                <w:color w:val="auto"/>
              </w:rPr>
            </w:pPr>
            <w:r>
              <w:rPr>
                <w:rFonts w:ascii="Arial" w:cs="Arial" w:eastAsia="Arial" w:hAnsi="Arial"/>
                <w:sz w:val="13"/>
                <w:szCs w:val="13"/>
                <w:color w:val="auto"/>
                <w:w w:val="94"/>
              </w:rPr>
              <w:t>directors, including as Chairperson, immediately prior to the effectiveness of the registration statement of which this prospectus forms a part.</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(12)</w:t>
            </w:r>
          </w:p>
        </w:tc>
        <w:tc>
          <w:tcPr>
            <w:tcW w:w="3620" w:type="dxa"/>
            <w:vAlign w:val="bottom"/>
            <w:gridSpan w:val="3"/>
          </w:tcPr>
          <w:p>
            <w:pPr>
              <w:ind w:left="80"/>
              <w:spacing w:after="0" w:line="139" w:lineRule="exact"/>
              <w:rPr>
                <w:sz w:val="20"/>
                <w:szCs w:val="20"/>
                <w:color w:val="auto"/>
              </w:rPr>
            </w:pPr>
            <w:r>
              <w:rPr>
                <w:rFonts w:ascii="Arial" w:cs="Arial" w:eastAsia="Arial" w:hAnsi="Arial"/>
                <w:sz w:val="13"/>
                <w:szCs w:val="13"/>
                <w:color w:val="auto"/>
                <w:w w:val="95"/>
              </w:rPr>
              <w:t>Consists of (i) the shares described in footnote (1) above and (ii)</w:t>
            </w:r>
          </w:p>
        </w:tc>
        <w:tc>
          <w:tcPr>
            <w:tcW w:w="6280" w:type="dxa"/>
            <w:vAlign w:val="bottom"/>
            <w:gridSpan w:val="9"/>
          </w:tcPr>
          <w:p>
            <w:pPr>
              <w:jc w:val="right"/>
              <w:spacing w:after="0" w:line="139" w:lineRule="exact"/>
              <w:rPr>
                <w:sz w:val="20"/>
                <w:szCs w:val="20"/>
                <w:color w:val="auto"/>
              </w:rPr>
            </w:pPr>
            <w:r>
              <w:rPr>
                <w:rFonts w:ascii="Arial" w:cs="Arial" w:eastAsia="Arial" w:hAnsi="Arial"/>
                <w:sz w:val="13"/>
                <w:szCs w:val="13"/>
                <w:color w:val="auto"/>
              </w:rPr>
              <w:t>shares of our common stock issuable pursuant to RSUs for which the service-based vesting condition will be</w:t>
            </w:r>
          </w:p>
        </w:tc>
      </w:tr>
      <w:tr>
        <w:trPr>
          <w:trHeight w:val="139"/>
        </w:trPr>
        <w:tc>
          <w:tcPr>
            <w:tcW w:w="320" w:type="dxa"/>
            <w:vAlign w:val="bottom"/>
          </w:tcPr>
          <w:p>
            <w:pPr>
              <w:spacing w:after="0"/>
              <w:rPr>
                <w:sz w:val="12"/>
                <w:szCs w:val="12"/>
                <w:color w:val="auto"/>
              </w:rPr>
            </w:pPr>
          </w:p>
        </w:tc>
        <w:tc>
          <w:tcPr>
            <w:tcW w:w="17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satisfied within 60 days of</w:t>
            </w:r>
          </w:p>
        </w:tc>
        <w:tc>
          <w:tcPr>
            <w:tcW w:w="8180" w:type="dxa"/>
            <w:vAlign w:val="bottom"/>
            <w:gridSpan w:val="10"/>
          </w:tcPr>
          <w:p>
            <w:pPr>
              <w:jc w:val="right"/>
              <w:spacing w:after="0" w:line="139" w:lineRule="exact"/>
              <w:rPr>
                <w:sz w:val="20"/>
                <w:szCs w:val="20"/>
                <w:color w:val="auto"/>
              </w:rPr>
            </w:pPr>
            <w:r>
              <w:rPr>
                <w:rFonts w:ascii="Arial" w:cs="Arial" w:eastAsia="Arial" w:hAnsi="Arial"/>
                <w:sz w:val="13"/>
                <w:szCs w:val="13"/>
                <w:color w:val="auto"/>
                <w:w w:val="97"/>
              </w:rPr>
              <w:t>, 2023 and the liquidity event-based vesting condition will be satisfied upon the effectiveness of the registration statement of which this prospectus</w:t>
            </w:r>
          </w:p>
        </w:tc>
      </w:tr>
      <w:tr>
        <w:trPr>
          <w:trHeight w:val="139"/>
        </w:trPr>
        <w:tc>
          <w:tcPr>
            <w:tcW w:w="320" w:type="dxa"/>
            <w:vAlign w:val="bottom"/>
          </w:tcPr>
          <w:p>
            <w:pPr>
              <w:spacing w:after="0"/>
              <w:rPr>
                <w:sz w:val="12"/>
                <w:szCs w:val="12"/>
                <w:color w:val="auto"/>
              </w:rPr>
            </w:pPr>
          </w:p>
        </w:tc>
        <w:tc>
          <w:tcPr>
            <w:tcW w:w="6660" w:type="dxa"/>
            <w:vAlign w:val="bottom"/>
            <w:gridSpan w:val="6"/>
          </w:tcPr>
          <w:p>
            <w:pPr>
              <w:ind w:left="80"/>
              <w:spacing w:after="0" w:line="139" w:lineRule="exact"/>
              <w:rPr>
                <w:sz w:val="20"/>
                <w:szCs w:val="20"/>
                <w:color w:val="auto"/>
              </w:rPr>
            </w:pPr>
            <w:r>
              <w:rPr>
                <w:rFonts w:ascii="Arial" w:cs="Arial" w:eastAsia="Arial" w:hAnsi="Arial"/>
                <w:sz w:val="13"/>
                <w:szCs w:val="13"/>
                <w:color w:val="auto"/>
                <w:w w:val="95"/>
              </w:rPr>
              <w:t>forms a part. Mr. Moritz disclaims beneficial ownership of all such shares held by entities affiliated with Sequoia Capital.</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20" w:type="dxa"/>
            <w:vAlign w:val="bottom"/>
          </w:tcPr>
          <w:p>
            <w:pPr>
              <w:spacing w:after="0" w:line="139" w:lineRule="exact"/>
              <w:rPr>
                <w:sz w:val="20"/>
                <w:szCs w:val="20"/>
                <w:color w:val="auto"/>
              </w:rPr>
            </w:pPr>
            <w:r>
              <w:rPr>
                <w:rFonts w:ascii="Arial" w:cs="Arial" w:eastAsia="Arial" w:hAnsi="Arial"/>
                <w:sz w:val="13"/>
                <w:szCs w:val="13"/>
                <w:color w:val="auto"/>
              </w:rPr>
              <w:t>(13)</w:t>
            </w:r>
          </w:p>
        </w:tc>
        <w:tc>
          <w:tcPr>
            <w:tcW w:w="8280" w:type="dxa"/>
            <w:vAlign w:val="bottom"/>
            <w:gridSpan w:val="9"/>
          </w:tcPr>
          <w:p>
            <w:pPr>
              <w:ind w:left="80"/>
              <w:spacing w:after="0" w:line="139" w:lineRule="exact"/>
              <w:rPr>
                <w:sz w:val="20"/>
                <w:szCs w:val="20"/>
                <w:color w:val="auto"/>
              </w:rPr>
            </w:pPr>
            <w:r>
              <w:rPr>
                <w:rFonts w:ascii="Arial" w:cs="Arial" w:eastAsia="Arial" w:hAnsi="Arial"/>
                <w:sz w:val="13"/>
                <w:szCs w:val="13"/>
                <w:color w:val="auto"/>
                <w:w w:val="96"/>
              </w:rPr>
              <w:t>Represents shares of our common stock issuable pursuant to RSUs for which the service-based vesting condition will be satisfied within 60 days of</w:t>
            </w:r>
          </w:p>
        </w:tc>
        <w:tc>
          <w:tcPr>
            <w:tcW w:w="1580" w:type="dxa"/>
            <w:vAlign w:val="bottom"/>
            <w:gridSpan w:val="2"/>
          </w:tcPr>
          <w:p>
            <w:pPr>
              <w:ind w:left="220"/>
              <w:spacing w:after="0" w:line="139" w:lineRule="exact"/>
              <w:rPr>
                <w:sz w:val="20"/>
                <w:szCs w:val="20"/>
                <w:color w:val="auto"/>
              </w:rPr>
            </w:pPr>
            <w:r>
              <w:rPr>
                <w:rFonts w:ascii="Arial" w:cs="Arial" w:eastAsia="Arial" w:hAnsi="Arial"/>
                <w:sz w:val="13"/>
                <w:szCs w:val="13"/>
                <w:color w:val="auto"/>
              </w:rPr>
              <w:t>, 2023 and the liquidity</w:t>
            </w:r>
          </w:p>
        </w:tc>
        <w:tc>
          <w:tcPr>
            <w:tcW w:w="4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7700" w:type="dxa"/>
            <w:vAlign w:val="bottom"/>
            <w:gridSpan w:val="8"/>
          </w:tcPr>
          <w:p>
            <w:pPr>
              <w:ind w:left="80"/>
              <w:spacing w:after="0" w:line="139" w:lineRule="exact"/>
              <w:rPr>
                <w:sz w:val="20"/>
                <w:szCs w:val="20"/>
                <w:color w:val="auto"/>
              </w:rPr>
            </w:pPr>
            <w:r>
              <w:rPr>
                <w:rFonts w:ascii="Arial" w:cs="Arial" w:eastAsia="Arial" w:hAnsi="Arial"/>
                <w:sz w:val="13"/>
                <w:szCs w:val="13"/>
                <w:color w:val="auto"/>
                <w:w w:val="97"/>
              </w:rPr>
              <w:t>event-based vesting condition will be satisfied upon the effectiveness of the registration statement of which this prospectus forms a part.</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320" w:type="dxa"/>
            <w:vAlign w:val="bottom"/>
          </w:tcPr>
          <w:p>
            <w:pPr>
              <w:spacing w:after="0"/>
              <w:rPr>
                <w:sz w:val="20"/>
                <w:szCs w:val="20"/>
                <w:color w:val="auto"/>
              </w:rPr>
            </w:pPr>
            <w:r>
              <w:rPr>
                <w:rFonts w:ascii="Arial" w:cs="Arial" w:eastAsia="Arial" w:hAnsi="Arial"/>
                <w:sz w:val="13"/>
                <w:szCs w:val="13"/>
                <w:color w:val="auto"/>
              </w:rPr>
              <w:t>(14)</w:t>
            </w:r>
          </w:p>
        </w:tc>
        <w:tc>
          <w:tcPr>
            <w:tcW w:w="1080" w:type="dxa"/>
            <w:vAlign w:val="bottom"/>
          </w:tcPr>
          <w:p>
            <w:pPr>
              <w:ind w:left="80"/>
              <w:spacing w:after="0"/>
              <w:rPr>
                <w:sz w:val="20"/>
                <w:szCs w:val="20"/>
                <w:color w:val="auto"/>
              </w:rPr>
            </w:pPr>
            <w:r>
              <w:rPr>
                <w:rFonts w:ascii="Arial" w:cs="Arial" w:eastAsia="Arial" w:hAnsi="Arial"/>
                <w:sz w:val="13"/>
                <w:szCs w:val="13"/>
                <w:color w:val="auto"/>
              </w:rPr>
              <w:t>Consists of (i)</w:t>
            </w:r>
          </w:p>
        </w:tc>
        <w:tc>
          <w:tcPr>
            <w:tcW w:w="8780" w:type="dxa"/>
            <w:vAlign w:val="bottom"/>
            <w:gridSpan w:val="10"/>
          </w:tcPr>
          <w:p>
            <w:pPr>
              <w:ind w:left="240"/>
              <w:spacing w:after="0"/>
              <w:rPr>
                <w:sz w:val="20"/>
                <w:szCs w:val="20"/>
                <w:color w:val="auto"/>
              </w:rPr>
            </w:pPr>
            <w:r>
              <w:rPr>
                <w:rFonts w:ascii="Arial" w:cs="Arial" w:eastAsia="Arial" w:hAnsi="Arial"/>
                <w:sz w:val="13"/>
                <w:szCs w:val="13"/>
                <w:color w:val="auto"/>
                <w:w w:val="95"/>
              </w:rPr>
              <w:t>shares of our common stock held by Invisible Hand Ventures, LLC, of which Mr. Slootman is the manager and has sole voting and dispositive power and (ii)</w:t>
            </w:r>
          </w:p>
        </w:tc>
        <w:tc>
          <w:tcPr>
            <w:tcW w:w="4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0720"/>
          </w:cols>
          <w:pgMar w:left="320" w:top="440" w:right="859" w:bottom="1440" w:gutter="0" w:footer="0" w:header="0"/>
        </w:sect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br w:type="column"/>
      </w:r>
    </w:p>
    <w:p>
      <w:pPr>
        <w:ind w:left="440"/>
        <w:spacing w:after="0" w:line="205" w:lineRule="auto"/>
        <w:tabs>
          <w:tab w:leader="none" w:pos="8220" w:val="left"/>
        </w:tabs>
        <w:rPr>
          <w:sz w:val="20"/>
          <w:szCs w:val="20"/>
          <w:color w:val="auto"/>
        </w:rPr>
      </w:pPr>
      <w:r>
        <w:rPr>
          <w:rFonts w:ascii="Arial" w:cs="Arial" w:eastAsia="Arial" w:hAnsi="Arial"/>
          <w:sz w:val="13"/>
          <w:szCs w:val="13"/>
          <w:color w:val="auto"/>
        </w:rPr>
        <w:t>shares of our common stock issuable pursuant to RSUs for which the service-based vesting condition will be satisfied within 60 days of</w:t>
      </w:r>
      <w:r>
        <w:rPr>
          <w:sz w:val="20"/>
          <w:szCs w:val="20"/>
          <w:color w:val="auto"/>
        </w:rPr>
        <w:tab/>
      </w:r>
      <w:r>
        <w:rPr>
          <w:rFonts w:ascii="Arial" w:cs="Arial" w:eastAsia="Arial" w:hAnsi="Arial"/>
          <w:sz w:val="12"/>
          <w:szCs w:val="12"/>
          <w:color w:val="auto"/>
        </w:rPr>
        <w:t>, 2023 and the liquidity event-</w:t>
      </w:r>
    </w:p>
    <w:p>
      <w:pPr>
        <w:spacing w:after="0" w:line="224" w:lineRule="auto"/>
        <w:rPr>
          <w:sz w:val="20"/>
          <w:szCs w:val="20"/>
          <w:color w:val="auto"/>
        </w:rPr>
      </w:pPr>
      <w:r>
        <w:rPr>
          <w:rFonts w:ascii="Arial" w:cs="Arial" w:eastAsia="Arial" w:hAnsi="Arial"/>
          <w:sz w:val="13"/>
          <w:szCs w:val="13"/>
          <w:color w:val="auto"/>
        </w:rPr>
        <w:t>based vesting condition will be satisfied upon the effectiveness of the registration statement of which this prospectus forms a part.</w:t>
      </w:r>
    </w:p>
    <w:p>
      <w:pPr>
        <w:spacing w:after="0"/>
        <w:tabs>
          <w:tab w:leader="none" w:pos="3940" w:val="left"/>
        </w:tabs>
        <w:rPr>
          <w:sz w:val="20"/>
          <w:szCs w:val="20"/>
          <w:color w:val="auto"/>
        </w:rPr>
      </w:pPr>
      <w:r>
        <w:rPr>
          <w:rFonts w:ascii="Arial" w:cs="Arial" w:eastAsia="Arial" w:hAnsi="Arial"/>
          <w:sz w:val="13"/>
          <w:szCs w:val="13"/>
          <w:color w:val="auto"/>
        </w:rPr>
        <w:t>Consists of (i) the shares described in footnote (2) above and (ii)</w:t>
      </w:r>
      <w:r>
        <w:rPr>
          <w:sz w:val="20"/>
          <w:szCs w:val="20"/>
          <w:color w:val="auto"/>
        </w:rPr>
        <w:tab/>
      </w:r>
      <w:r>
        <w:rPr>
          <w:rFonts w:ascii="Arial" w:cs="Arial" w:eastAsia="Arial" w:hAnsi="Arial"/>
          <w:sz w:val="12"/>
          <w:szCs w:val="12"/>
          <w:color w:val="auto"/>
        </w:rPr>
        <w:t>shares of our common stock issuable pursuant to RSUs for which the service-based vesting condition will be</w:t>
      </w:r>
    </w:p>
    <w:p>
      <w:pPr>
        <w:spacing w:after="0"/>
        <w:tabs>
          <w:tab w:leader="none" w:pos="1880" w:val="left"/>
        </w:tabs>
        <w:rPr>
          <w:sz w:val="20"/>
          <w:szCs w:val="20"/>
          <w:color w:val="auto"/>
        </w:rPr>
      </w:pPr>
      <w:r>
        <w:rPr>
          <w:rFonts w:ascii="Arial" w:cs="Arial" w:eastAsia="Arial" w:hAnsi="Arial"/>
          <w:sz w:val="13"/>
          <w:szCs w:val="13"/>
          <w:color w:val="auto"/>
        </w:rPr>
        <w:t>satisfied within 60 days of</w:t>
      </w:r>
      <w:r>
        <w:rPr>
          <w:sz w:val="20"/>
          <w:szCs w:val="20"/>
          <w:color w:val="auto"/>
        </w:rPr>
        <w:tab/>
      </w:r>
      <w:r>
        <w:rPr>
          <w:rFonts w:ascii="Arial" w:cs="Arial" w:eastAsia="Arial" w:hAnsi="Arial"/>
          <w:sz w:val="12"/>
          <w:szCs w:val="12"/>
          <w:color w:val="auto"/>
        </w:rPr>
        <w:t>, 2023 and the liquidity event-based vesting condition will be satisfied upon the effectiveness of the registration statement of which this prospectus</w:t>
      </w:r>
    </w:p>
    <w:p>
      <w:pPr>
        <w:spacing w:after="0"/>
        <w:rPr>
          <w:sz w:val="20"/>
          <w:szCs w:val="20"/>
          <w:color w:val="auto"/>
        </w:rPr>
      </w:pPr>
      <w:r>
        <w:rPr>
          <w:rFonts w:ascii="Arial" w:cs="Arial" w:eastAsia="Arial" w:hAnsi="Arial"/>
          <w:sz w:val="13"/>
          <w:szCs w:val="13"/>
          <w:color w:val="auto"/>
        </w:rPr>
        <w:t>forms a part.</w:t>
      </w:r>
    </w:p>
    <w:p>
      <w:pPr>
        <w:spacing w:after="0" w:line="11" w:lineRule="exact"/>
        <w:rPr>
          <w:sz w:val="20"/>
          <w:szCs w:val="20"/>
          <w:color w:val="auto"/>
        </w:rPr>
      </w:pPr>
    </w:p>
    <w:p>
      <w:pPr>
        <w:sectPr>
          <w:pgSz w:w="11900" w:h="16838" w:orient="portrait"/>
          <w:cols w:equalWidth="0" w:num="2">
            <w:col w:w="680" w:space="180"/>
            <w:col w:w="9860"/>
          </w:cols>
          <w:pgMar w:left="320" w:top="440" w:right="859" w:bottom="1440" w:gutter="0" w:footer="0" w:header="0"/>
          <w:type w:val="continuous"/>
        </w:sectPr>
      </w:pPr>
    </w:p>
    <w:p>
      <w:pPr>
        <w:ind w:left="860" w:right="540" w:hanging="403"/>
        <w:spacing w:after="0" w:line="223" w:lineRule="auto"/>
        <w:tabs>
          <w:tab w:leader="none" w:pos="860" w:val="left"/>
        </w:tabs>
        <w:numPr>
          <w:ilvl w:val="0"/>
          <w:numId w:val="269"/>
        </w:numPr>
        <w:rPr>
          <w:rFonts w:ascii="Arial" w:cs="Arial" w:eastAsia="Arial" w:hAnsi="Arial"/>
          <w:sz w:val="13"/>
          <w:szCs w:val="13"/>
          <w:color w:val="auto"/>
        </w:rPr>
      </w:pPr>
      <w:r>
        <w:rPr>
          <w:rFonts w:ascii="Arial" w:cs="Arial" w:eastAsia="Arial" w:hAnsi="Arial"/>
          <w:sz w:val="13"/>
          <w:szCs w:val="13"/>
          <w:color w:val="auto"/>
        </w:rPr>
        <w:t>For more information on our current directors and executive officers, see the sections titled “Management—Executive Officers” and “Management—Non-Executive Officer Directors.”</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279</w:t>
      </w:r>
    </w:p>
    <w:p>
      <w:pPr>
        <w:sectPr>
          <w:pgSz w:w="11900" w:h="16838" w:orient="portrait"/>
          <w:cols w:equalWidth="0" w:num="1">
            <w:col w:w="10720"/>
          </w:cols>
          <w:pgMar w:left="320" w:top="440" w:right="859"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DESCRIPTION OF CAPITAL STOCK</w:t>
      </w: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General</w:t>
      </w:r>
    </w:p>
    <w:p>
      <w:pPr>
        <w:spacing w:after="0" w:line="214" w:lineRule="exact"/>
        <w:rPr>
          <w:sz w:val="20"/>
          <w:szCs w:val="20"/>
          <w:color w:val="auto"/>
        </w:rPr>
      </w:pPr>
    </w:p>
    <w:p>
      <w:pPr>
        <w:ind w:left="460" w:right="20" w:firstLine="413"/>
        <w:spacing w:after="0" w:line="296" w:lineRule="auto"/>
        <w:rPr>
          <w:sz w:val="20"/>
          <w:szCs w:val="20"/>
          <w:color w:val="auto"/>
        </w:rPr>
      </w:pPr>
      <w:r>
        <w:rPr>
          <w:rFonts w:ascii="Arial" w:cs="Arial" w:eastAsia="Arial" w:hAnsi="Arial"/>
          <w:sz w:val="15"/>
          <w:szCs w:val="15"/>
          <w:color w:val="auto"/>
        </w:rPr>
        <w:t>The following is a summary of the rights of our capital stock and some of the provisions of our amended and restated certificate of incorporation and amended and restated bylaws, which will each become effective immediately prior to the closing of this offering, the investors’ rights agreement, and relevant provisions of Delaware General Corporation Law. The descriptions herein are qualified in their entirety by our amended and restated certificate of incorporation, amended and restated bylaws, and investors’ rights agreement, copies of which have been filed as exhibits to the registration statement of which this prospectus is a part, as well as the relevant provisions of Delaware General Corporation Law.</w:t>
      </w:r>
    </w:p>
    <w:p>
      <w:pPr>
        <w:sectPr>
          <w:pgSz w:w="11900" w:h="16838" w:orient="portrait"/>
          <w:cols w:equalWidth="0" w:num="1">
            <w:col w:w="10780"/>
          </w:cols>
          <w:pgMar w:left="320" w:top="440" w:right="799" w:bottom="1440" w:gutter="0" w:footer="0" w:header="0"/>
        </w:sectPr>
      </w:pPr>
    </w:p>
    <w:p>
      <w:pPr>
        <w:spacing w:after="0" w:line="15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Immediately prior to the closing of this offering, our authorized capital stock will consist of share, of which:</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shares, all with a par value of $0.0001 per</w:t>
      </w:r>
    </w:p>
    <w:p>
      <w:pPr>
        <w:spacing w:after="0" w:line="346" w:lineRule="exact"/>
        <w:rPr>
          <w:sz w:val="20"/>
          <w:szCs w:val="20"/>
          <w:color w:val="auto"/>
        </w:rPr>
      </w:pPr>
    </w:p>
    <w:p>
      <w:pPr>
        <w:sectPr>
          <w:pgSz w:w="11900" w:h="16838" w:orient="portrait"/>
          <w:cols w:equalWidth="0" w:num="2">
            <w:col w:w="7080" w:space="720"/>
            <w:col w:w="2980"/>
          </w:cols>
          <w:pgMar w:left="320" w:top="440" w:right="79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are designated as common stock; and</w:t>
      </w:r>
    </w:p>
    <w:p>
      <w:pPr>
        <w:spacing w:after="0" w:line="155" w:lineRule="exact"/>
        <w:rPr>
          <w:sz w:val="20"/>
          <w:szCs w:val="20"/>
          <w:color w:val="auto"/>
        </w:rPr>
      </w:pPr>
    </w:p>
    <w:p>
      <w:pPr>
        <w:sectPr>
          <w:pgSz w:w="11900" w:h="16838" w:orient="portrait"/>
          <w:cols w:equalWidth="0" w:num="2">
            <w:col w:w="1360" w:space="720"/>
            <w:col w:w="8700"/>
          </w:cols>
          <w:pgMar w:left="320" w:top="440" w:right="79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are designated as preferred stock.</w:t>
      </w:r>
    </w:p>
    <w:p>
      <w:pPr>
        <w:spacing w:after="0" w:line="234" w:lineRule="exact"/>
        <w:rPr>
          <w:sz w:val="20"/>
          <w:szCs w:val="20"/>
          <w:color w:val="auto"/>
        </w:rPr>
      </w:pPr>
    </w:p>
    <w:p>
      <w:pPr>
        <w:sectPr>
          <w:pgSz w:w="11900" w:h="16838" w:orient="portrait"/>
          <w:cols w:equalWidth="0" w:num="2">
            <w:col w:w="1360" w:space="720"/>
            <w:col w:w="8700"/>
          </w:cols>
          <w:pgMar w:left="320" w:top="440" w:right="799" w:bottom="1440" w:gutter="0" w:footer="0" w:header="0"/>
          <w:type w:val="continuous"/>
        </w:sectPr>
      </w:pPr>
    </w:p>
    <w:p>
      <w:pPr>
        <w:spacing w:after="0" w:line="10"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As of June 30, 2023, we had 15,832,777 shares of non-voting common stock, which includes 450,000 shares of restricted stock, 56,543,190 shares of voting common stock, and 167,302,220 shares of redeemable convertible preferred stock outstanding. After giving effect to (i) the automatic exchange of all exchangeable shares of our subsidiary, Aspen, outstanding as of June 30, 2023 into 688,787 shares of our non-voting common stock in connection with the effectiveness of the registration statement of which this prospectus forms a part, as if such exchange had occurred on June 30, 2023;</w:t>
      </w:r>
    </w:p>
    <w:p>
      <w:pPr>
        <w:ind w:left="460" w:right="600" w:hanging="3"/>
        <w:spacing w:after="0" w:line="281" w:lineRule="auto"/>
        <w:tabs>
          <w:tab w:leader="none" w:pos="708"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conversion of all outstanding shares of our non-voting common stock into an equivalent number of shares of our voting common stock immediately prior to the closing of this offering; (iii) the automatic conversion of 167,302,220 shares of redeemable convertible preferred stock outstanding as of June 30, 2023 into 167,691,828 shares of our voting common stock immediately prior to the closing of this offering, as if such</w:t>
      </w:r>
    </w:p>
    <w:p>
      <w:pPr>
        <w:spacing w:after="0" w:line="2" w:lineRule="exact"/>
        <w:rPr>
          <w:sz w:val="20"/>
          <w:szCs w:val="20"/>
          <w:color w:val="auto"/>
        </w:rPr>
      </w:pPr>
    </w:p>
    <w:p>
      <w:pPr>
        <w:ind w:left="460" w:right="40"/>
        <w:spacing w:after="0" w:line="281" w:lineRule="auto"/>
        <w:rPr>
          <w:sz w:val="20"/>
          <w:szCs w:val="20"/>
          <w:color w:val="auto"/>
        </w:rPr>
      </w:pPr>
      <w:r>
        <w:rPr>
          <w:rFonts w:ascii="Arial" w:cs="Arial" w:eastAsia="Arial" w:hAnsi="Arial"/>
          <w:sz w:val="15"/>
          <w:szCs w:val="15"/>
          <w:color w:val="auto"/>
        </w:rPr>
        <w:t>conversion had occurred on June 30, 2023; (iv) the net issuance of shares of our non-voting common stock in connection with the vesting and settlement of certain outstanding RSUs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which will satisfy the liquidity event-based vesting condition, assuming</w:t>
      </w:r>
    </w:p>
    <w:p>
      <w:pPr>
        <w:spacing w:after="0" w:line="3" w:lineRule="exact"/>
        <w:rPr>
          <w:sz w:val="20"/>
          <w:szCs w:val="20"/>
          <w:color w:val="auto"/>
        </w:rPr>
      </w:pPr>
    </w:p>
    <w:p>
      <w:pPr>
        <w:ind w:left="460" w:right="40"/>
        <w:spacing w:after="0" w:line="264" w:lineRule="auto"/>
        <w:rPr>
          <w:sz w:val="20"/>
          <w:szCs w:val="20"/>
          <w:color w:val="auto"/>
        </w:rPr>
      </w:pPr>
      <w:r>
        <w:rPr>
          <w:rFonts w:ascii="Arial" w:cs="Arial" w:eastAsia="Arial" w:hAnsi="Arial"/>
          <w:sz w:val="16"/>
          <w:szCs w:val="16"/>
          <w:color w:val="auto"/>
        </w:rPr>
        <w:t>that effectiveness occurs on and any remaining vesting continues through such date, after giving effect to the withholding of shares of common stock underlying such RSUs to satisfy the associated estimated tax withholding and remittance obligations (based on the assumed initial public</w:t>
      </w:r>
    </w:p>
    <w:p>
      <w:pPr>
        <w:ind w:left="460" w:right="240"/>
        <w:spacing w:after="0" w:line="506" w:lineRule="auto"/>
        <w:rPr>
          <w:sz w:val="20"/>
          <w:szCs w:val="20"/>
          <w:color w:val="auto"/>
        </w:rPr>
      </w:pPr>
      <w:r>
        <w:rPr>
          <w:rFonts w:ascii="Arial" w:cs="Arial" w:eastAsia="Arial" w:hAnsi="Arial"/>
          <w:sz w:val="15"/>
          <w:szCs w:val="15"/>
          <w:color w:val="auto"/>
        </w:rPr>
        <w:t>offering price of $ per share, the midpoint of the price range set forth on the cover page of this prospectus, and an assumed % tax withholding rate); (v) the cancellation of shares of our outstanding restricted stock to satisfy the associated estimated tax withholding and remittance obligations (based on the assumed initial public offering price of $ per share, the midpoint of the price range set forth on the cover page of this prospectus, and an assumed % tax withholding rate) due upon the vesting of such restricted stock, which will occur upon the effectiveness of the registration statement of which this prospectus forms a part; and (vi) the reclassification of all outstanding shares of our voting common stock into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60" w:right="100"/>
        <w:spacing w:after="0" w:line="272" w:lineRule="auto"/>
        <w:rPr>
          <w:sz w:val="20"/>
          <w:szCs w:val="20"/>
          <w:color w:val="auto"/>
        </w:rPr>
      </w:pPr>
      <w:r>
        <w:rPr>
          <w:rFonts w:ascii="Arial" w:cs="Arial" w:eastAsia="Arial" w:hAnsi="Arial"/>
          <w:sz w:val="17"/>
          <w:szCs w:val="17"/>
          <w:color w:val="auto"/>
        </w:rPr>
        <w:t>equivalent number of shares of common stock immediately prior to the closing of this offering, there would have been shares of common stock outstanding on June 30, 2023 held by stockholders of record.</w:t>
      </w: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Common Stock</w:t>
      </w:r>
    </w:p>
    <w:p>
      <w:pPr>
        <w:spacing w:after="0" w:line="214"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All issued and outstanding shares of our common stock will be duly authorized, validly issued, fully paid, and non-assessable. All authorized but unissued shares of our common stock will be available for issuance by our board of directors without any further stockholder action, except as required by the listing standards of Nasdaq.</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280</w:t>
      </w:r>
    </w:p>
    <w:p>
      <w:pPr>
        <w:sectPr>
          <w:pgSz w:w="11900" w:h="16838" w:orient="portrait"/>
          <w:cols w:equalWidth="0" w:num="1">
            <w:col w:w="10780"/>
          </w:cols>
          <w:pgMar w:left="320" w:top="440" w:right="79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65" w:lineRule="exact"/>
        <w:rPr>
          <w:sz w:val="20"/>
          <w:szCs w:val="20"/>
          <w:color w:val="auto"/>
        </w:rPr>
      </w:pPr>
    </w:p>
    <w:p>
      <w:pPr>
        <w:ind w:left="460" w:right="200" w:firstLine="413"/>
        <w:spacing w:after="0" w:line="284" w:lineRule="auto"/>
        <w:rPr>
          <w:sz w:val="20"/>
          <w:szCs w:val="20"/>
          <w:color w:val="auto"/>
        </w:rPr>
      </w:pPr>
      <w:r>
        <w:rPr>
          <w:rFonts w:ascii="Arial" w:cs="Arial" w:eastAsia="Arial" w:hAnsi="Arial"/>
          <w:sz w:val="16"/>
          <w:szCs w:val="16"/>
          <w:color w:val="auto"/>
        </w:rPr>
        <w:t>Prior to the closing of this offering, we had two series of common stock: voting common stock and non-voting common stock. The rights of the holders of our voting common stock and non-voting common stock were identical except with respect to voting. The holders of our voting common stock were entitled to one vote per share, and the holders of our non-voting common stock had no voting rights.</w:t>
      </w:r>
    </w:p>
    <w:p>
      <w:pPr>
        <w:spacing w:after="0" w:line="157" w:lineRule="exact"/>
        <w:rPr>
          <w:sz w:val="20"/>
          <w:szCs w:val="20"/>
          <w:color w:val="auto"/>
        </w:rPr>
      </w:pPr>
    </w:p>
    <w:p>
      <w:pPr>
        <w:jc w:val="both"/>
        <w:ind w:left="460" w:right="40" w:firstLine="413"/>
        <w:spacing w:after="0" w:line="284" w:lineRule="auto"/>
        <w:rPr>
          <w:sz w:val="20"/>
          <w:szCs w:val="20"/>
          <w:color w:val="auto"/>
        </w:rPr>
      </w:pPr>
      <w:r>
        <w:rPr>
          <w:rFonts w:ascii="Arial" w:cs="Arial" w:eastAsia="Arial" w:hAnsi="Arial"/>
          <w:sz w:val="16"/>
          <w:szCs w:val="16"/>
          <w:color w:val="auto"/>
        </w:rPr>
        <w:t>In connection with the effectiveness of the registration statement of which this prospectus forms a part, all outstanding exchangeable shares of our subsidiary, Aspen, will be exchanged into shares of our non-voting common stock, and immediately prior to the closing of this offering, all outstanding shares of redeemable convertible preferred stock will be converted into shares of our voting common stock.</w:t>
      </w:r>
    </w:p>
    <w:p>
      <w:pPr>
        <w:spacing w:after="0" w:line="157"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Immediately prior to the closing of this offering, all outstanding shares of our non-voting common stock will be converted into shares of our voting common stock, and all of our outstanding shares of voting common stock will subsequently be reclassified into common stock. In addition, all outstanding restricted stock units, restricted stock awards, and options to purchase shares of our capital stock issued under our 2013 Plan and 2018 Plan, as the case may be, will become eligible to be settled in or exercisable for shares of our common stock.</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Rights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w:t>
      </w:r>
    </w:p>
    <w:p>
      <w:pPr>
        <w:spacing w:after="0" w:line="210"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Our amended and restated certificate of incorporation will provide that the number of authorized shares of preferred stock or common stock may be increased or decreased (but not below the number of shares of preferred stock or common stock then outstanding) by the affirmative vote of the holders of a majority of the outstanding voting power of all of our outstanding common stock, voting together as a single class.</w:t>
      </w:r>
    </w:p>
    <w:p>
      <w:pPr>
        <w:spacing w:after="0" w:line="140"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immediately prior to the closing of this offering will not provide for cumulative voting for the election of directors.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Matters</w:t>
      </w:r>
    </w:p>
    <w:p>
      <w:pPr>
        <w:spacing w:after="0" w:line="108"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Our common stock will have no preemptive rights pursuant to the terms of our amended and restated certificate of incorporation and our amended and restated bylaws that will each be in effect immediately prior to the closing of this offering. There will be no redemption or sinking fund provisions applicable to our common stock.</w:t>
      </w: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Preferred Stock</w:t>
      </w:r>
    </w:p>
    <w:p>
      <w:pPr>
        <w:spacing w:after="0" w:line="214"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As of June 30, 2023, there were 167,302,220 shares of redeemable convertible preferred stock outstanding. Immediately prior to the closing of this offering, these outstanding shares of redeemable convertible preferred stock will automatically convert into 167,691,828 shares of our voting common stock, which will be reclassified into common stock immediately prior to the closing of this offering. Upon the closing of this offering, our board of</w:t>
      </w:r>
    </w:p>
    <w:p>
      <w:pPr>
        <w:spacing w:after="0" w:line="1" w:lineRule="exact"/>
        <w:rPr>
          <w:sz w:val="20"/>
          <w:szCs w:val="20"/>
          <w:color w:val="auto"/>
        </w:rPr>
      </w:pPr>
    </w:p>
    <w:p>
      <w:pPr>
        <w:ind w:left="460" w:right="100"/>
        <w:spacing w:after="0" w:line="250" w:lineRule="auto"/>
        <w:rPr>
          <w:sz w:val="20"/>
          <w:szCs w:val="20"/>
          <w:color w:val="auto"/>
        </w:rPr>
      </w:pPr>
      <w:r>
        <w:rPr>
          <w:rFonts w:ascii="Arial" w:cs="Arial" w:eastAsia="Arial" w:hAnsi="Arial"/>
          <w:sz w:val="17"/>
          <w:szCs w:val="17"/>
          <w:color w:val="auto"/>
        </w:rPr>
        <w:t>directors 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281</w:t>
      </w:r>
    </w:p>
    <w:p>
      <w:pPr>
        <w:sectPr>
          <w:pgSz w:w="11900" w:h="16838" w:orient="portrait"/>
          <w:cols w:equalWidth="0" w:num="1">
            <w:col w:w="10780"/>
          </w:cols>
          <w:pgMar w:left="320" w:top="440" w:right="799" w:bottom="1440" w:gutter="0" w:footer="0" w:header="0"/>
        </w:sectPr>
      </w:pPr>
    </w:p>
    <w:bookmarkStart w:id="291" w:name="page292"/>
    <w:bookmarkEnd w:id="29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80"/>
        <w:spacing w:after="0" w:line="260" w:lineRule="auto"/>
        <w:rPr>
          <w:sz w:val="20"/>
          <w:szCs w:val="20"/>
          <w:color w:val="auto"/>
        </w:rPr>
      </w:pPr>
      <w:r>
        <w:rPr>
          <w:rFonts w:ascii="Arial" w:cs="Arial" w:eastAsia="Arial" w:hAnsi="Arial"/>
          <w:sz w:val="17"/>
          <w:szCs w:val="17"/>
          <w:color w:val="auto"/>
        </w:rPr>
        <w:t>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Options</w:t>
      </w:r>
    </w:p>
    <w:p>
      <w:pPr>
        <w:spacing w:after="0" w:line="214" w:lineRule="exact"/>
        <w:rPr>
          <w:sz w:val="20"/>
          <w:szCs w:val="20"/>
          <w:color w:val="auto"/>
        </w:rPr>
      </w:pPr>
    </w:p>
    <w:p>
      <w:pPr>
        <w:ind w:left="460" w:right="260" w:firstLine="413"/>
        <w:spacing w:after="0" w:line="256" w:lineRule="auto"/>
        <w:rPr>
          <w:sz w:val="20"/>
          <w:szCs w:val="20"/>
          <w:color w:val="auto"/>
        </w:rPr>
      </w:pPr>
      <w:r>
        <w:rPr>
          <w:rFonts w:ascii="Arial" w:cs="Arial" w:eastAsia="Arial" w:hAnsi="Arial"/>
          <w:sz w:val="17"/>
          <w:szCs w:val="17"/>
          <w:color w:val="auto"/>
        </w:rPr>
        <w:t>As of June 30, 2023, we had outstanding options under our equity compensation plans to purchase an aggregate of 8,509,812 shares of our non-voting common stock, with a weighted-average exercise price of $12.71 per share, and an aggregate of 21,400,321 shares of our voting common stock, with a weighted-average exercise price of $5.65 per share, all of which will become options to purchase an equivalent number of shares of common stock immediately prior to the closing of this offering.</w:t>
      </w:r>
    </w:p>
    <w:p>
      <w:pPr>
        <w:spacing w:after="0" w:line="37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Restricted Stock Units</w:t>
      </w:r>
    </w:p>
    <w:p>
      <w:pPr>
        <w:spacing w:after="0" w:line="214" w:lineRule="exact"/>
        <w:rPr>
          <w:sz w:val="20"/>
          <w:szCs w:val="20"/>
          <w:color w:val="auto"/>
        </w:rPr>
      </w:pPr>
    </w:p>
    <w:p>
      <w:pPr>
        <w:ind w:left="460" w:right="280" w:firstLine="413"/>
        <w:spacing w:after="0" w:line="260" w:lineRule="auto"/>
        <w:rPr>
          <w:sz w:val="20"/>
          <w:szCs w:val="20"/>
          <w:color w:val="auto"/>
        </w:rPr>
      </w:pPr>
      <w:r>
        <w:rPr>
          <w:rFonts w:ascii="Arial" w:cs="Arial" w:eastAsia="Arial" w:hAnsi="Arial"/>
          <w:sz w:val="17"/>
          <w:szCs w:val="17"/>
          <w:color w:val="auto"/>
        </w:rPr>
        <w:t>As of June 30, 2023, we had 63,467,028 shares of our non-voting common stock subject to outstanding RSUs under our 2018 Plan, which will become an equivalent number of shares of common stock subject to outstanding RSUs under our 2018 Plan immediately prior to the closing of this offering.</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Warrants</w:t>
      </w:r>
    </w:p>
    <w:p>
      <w:pPr>
        <w:spacing w:after="0" w:line="214" w:lineRule="exact"/>
        <w:rPr>
          <w:sz w:val="20"/>
          <w:szCs w:val="20"/>
          <w:color w:val="auto"/>
        </w:rPr>
      </w:pPr>
    </w:p>
    <w:p>
      <w:pPr>
        <w:ind w:left="460" w:right="120" w:firstLine="413"/>
        <w:spacing w:after="0" w:line="284" w:lineRule="auto"/>
        <w:rPr>
          <w:sz w:val="20"/>
          <w:szCs w:val="20"/>
          <w:color w:val="auto"/>
        </w:rPr>
      </w:pPr>
      <w:r>
        <w:rPr>
          <w:rFonts w:ascii="Arial" w:cs="Arial" w:eastAsia="Arial" w:hAnsi="Arial"/>
          <w:sz w:val="16"/>
          <w:szCs w:val="16"/>
          <w:color w:val="auto"/>
        </w:rPr>
        <w:t>As of June 30, 2023, we had outstanding warrants to purchase an aggregate of up to 7,431,530 shares of our non-voting common stock, all of which were vested and exercisable, with an exercise price of $18.52 per share, which will become warrants to purchase an equivalent number of shares of common stock immediately prior to the closing of this offering. These warrants expire in November 2023.</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Exchangeable Shares</w:t>
      </w:r>
    </w:p>
    <w:p>
      <w:pPr>
        <w:spacing w:after="0" w:line="214"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As of June 30, 2023, we had outstanding exchangeable shares of our subsidiary, Aspen, which shares will be automatically exchanged for 688,787 shares of our non-voting common stock in connection with the effectiveness of the registration statement of which this prospectus forms a part, and subsequently converted into an equivalent number of shares of voting common stock and reclassified into common stock immediately prior to the closing of this offering.</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Registration Rights</w:t>
      </w:r>
    </w:p>
    <w:p>
      <w:pPr>
        <w:spacing w:after="0" w:line="214" w:lineRule="exact"/>
        <w:rPr>
          <w:sz w:val="20"/>
          <w:szCs w:val="20"/>
          <w:color w:val="auto"/>
        </w:rPr>
      </w:pPr>
    </w:p>
    <w:p>
      <w:pPr>
        <w:jc w:val="both"/>
        <w:ind w:left="460" w:right="80" w:firstLine="413"/>
        <w:spacing w:after="0" w:line="301" w:lineRule="auto"/>
        <w:rPr>
          <w:sz w:val="20"/>
          <w:szCs w:val="20"/>
          <w:color w:val="auto"/>
        </w:rPr>
      </w:pPr>
      <w:r>
        <w:rPr>
          <w:rFonts w:ascii="Arial" w:cs="Arial" w:eastAsia="Arial" w:hAnsi="Arial"/>
          <w:sz w:val="15"/>
          <w:szCs w:val="15"/>
          <w:color w:val="auto"/>
        </w:rPr>
        <w:t>The investors’ rights agreement to which we are party provides that certain holders of our capital stock have certain registration rights as set forth below. The registration of shares of our capital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4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demand, piggyback, and Form S-3 registration rights described below will expire five years after the closing of this offering, or with respect to any particular stockholder, such time after the closing of this offering that such stockholder can sell all of its shares entitled to registration rights under Rule 144 of the Securities Act during any 90-day period.</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282</w:t>
      </w:r>
    </w:p>
    <w:p>
      <w:pPr>
        <w:sectPr>
          <w:pgSz w:w="11900" w:h="16838" w:orient="portrait"/>
          <w:cols w:equalWidth="0" w:num="1">
            <w:col w:w="10780"/>
          </w:cols>
          <w:pgMar w:left="320" w:top="440" w:right="7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95"/>
        </w:trPr>
        <w:tc>
          <w:tcPr>
            <w:tcW w:w="7920" w:type="dxa"/>
            <w:vAlign w:val="bottom"/>
            <w:gridSpan w:val="2"/>
          </w:tcPr>
          <w:p>
            <w:pPr>
              <w:spacing w:after="0"/>
              <w:rPr>
                <w:sz w:val="20"/>
                <w:szCs w:val="20"/>
                <w:color w:val="auto"/>
              </w:rPr>
            </w:pPr>
            <w:r>
              <w:rPr>
                <w:rFonts w:ascii="Arial" w:cs="Arial" w:eastAsia="Arial" w:hAnsi="Arial"/>
                <w:sz w:val="17"/>
                <w:szCs w:val="17"/>
                <w:b w:val="1"/>
                <w:bCs w:val="1"/>
                <w:color w:val="0000EE"/>
              </w:rPr>
              <w:t>Table of Contents</w:t>
            </w:r>
          </w:p>
        </w:tc>
        <w:tc>
          <w:tcPr>
            <w:tcW w:w="2740" w:type="dxa"/>
            <w:vAlign w:val="bottom"/>
          </w:tcPr>
          <w:p>
            <w:pPr>
              <w:spacing w:after="0"/>
              <w:rPr>
                <w:sz w:val="16"/>
                <w:szCs w:val="16"/>
                <w:color w:val="auto"/>
              </w:rPr>
            </w:pPr>
          </w:p>
        </w:tc>
      </w:tr>
      <w:tr>
        <w:trPr>
          <w:trHeight w:val="483"/>
        </w:trPr>
        <w:tc>
          <w:tcPr>
            <w:tcW w:w="1260" w:type="dxa"/>
            <w:vAlign w:val="bottom"/>
            <w:tcBorders>
              <w:top w:val="single" w:sz="8" w:color="0000EE"/>
            </w:tcBorders>
          </w:tcPr>
          <w:p>
            <w:pPr>
              <w:spacing w:after="0"/>
              <w:rPr>
                <w:sz w:val="24"/>
                <w:szCs w:val="24"/>
                <w:color w:val="auto"/>
              </w:rPr>
            </w:pPr>
          </w:p>
        </w:tc>
        <w:tc>
          <w:tcPr>
            <w:tcW w:w="6660" w:type="dxa"/>
            <w:vAlign w:val="bottom"/>
          </w:tcPr>
          <w:p>
            <w:pPr>
              <w:jc w:val="center"/>
              <w:ind w:left="1996"/>
              <w:spacing w:after="0"/>
              <w:rPr>
                <w:sz w:val="20"/>
                <w:szCs w:val="20"/>
                <w:color w:val="auto"/>
              </w:rPr>
            </w:pPr>
            <w:r>
              <w:rPr>
                <w:rFonts w:ascii="Arial" w:cs="Arial" w:eastAsia="Arial" w:hAnsi="Arial"/>
                <w:sz w:val="17"/>
                <w:szCs w:val="17"/>
                <w:b w:val="1"/>
                <w:bCs w:val="1"/>
                <w:color w:val="auto"/>
                <w:w w:val="90"/>
              </w:rPr>
              <w:t>Confidential Treatment Requested by Maplebear Inc.</w:t>
            </w:r>
          </w:p>
        </w:tc>
        <w:tc>
          <w:tcPr>
            <w:tcW w:w="2740" w:type="dxa"/>
            <w:vAlign w:val="bottom"/>
          </w:tcPr>
          <w:p>
            <w:pPr>
              <w:spacing w:after="0"/>
              <w:rPr>
                <w:sz w:val="24"/>
                <w:szCs w:val="24"/>
                <w:color w:val="auto"/>
              </w:rPr>
            </w:pPr>
          </w:p>
        </w:tc>
      </w:tr>
      <w:tr>
        <w:trPr>
          <w:trHeight w:val="218"/>
        </w:trPr>
        <w:tc>
          <w:tcPr>
            <w:tcW w:w="1260" w:type="dxa"/>
            <w:vAlign w:val="bottom"/>
          </w:tcPr>
          <w:p>
            <w:pPr>
              <w:spacing w:after="0"/>
              <w:rPr>
                <w:sz w:val="18"/>
                <w:szCs w:val="18"/>
                <w:color w:val="auto"/>
              </w:rPr>
            </w:pPr>
          </w:p>
        </w:tc>
        <w:tc>
          <w:tcPr>
            <w:tcW w:w="6660" w:type="dxa"/>
            <w:vAlign w:val="bottom"/>
          </w:tcPr>
          <w:p>
            <w:pPr>
              <w:jc w:val="center"/>
              <w:ind w:left="1976"/>
              <w:spacing w:after="0"/>
              <w:rPr>
                <w:sz w:val="20"/>
                <w:szCs w:val="20"/>
                <w:color w:val="auto"/>
              </w:rPr>
            </w:pPr>
            <w:r>
              <w:rPr>
                <w:rFonts w:ascii="Arial" w:cs="Arial" w:eastAsia="Arial" w:hAnsi="Arial"/>
                <w:sz w:val="17"/>
                <w:szCs w:val="17"/>
                <w:b w:val="1"/>
                <w:bCs w:val="1"/>
                <w:color w:val="auto"/>
                <w:w w:val="89"/>
              </w:rPr>
              <w:t>Pursuant to 17 C.F.R. Section 200.83</w:t>
            </w:r>
          </w:p>
        </w:tc>
        <w:tc>
          <w:tcPr>
            <w:tcW w:w="2740" w:type="dxa"/>
            <w:vAlign w:val="bottom"/>
          </w:tcPr>
          <w:p>
            <w:pPr>
              <w:spacing w:after="0"/>
              <w:rPr>
                <w:sz w:val="18"/>
                <w:szCs w:val="18"/>
                <w:color w:val="auto"/>
              </w:rPr>
            </w:pPr>
          </w:p>
        </w:tc>
      </w:tr>
      <w:tr>
        <w:trPr>
          <w:trHeight w:val="342"/>
        </w:trPr>
        <w:tc>
          <w:tcPr>
            <w:tcW w:w="7920" w:type="dxa"/>
            <w:vAlign w:val="bottom"/>
            <w:gridSpan w:val="2"/>
          </w:tcPr>
          <w:p>
            <w:pPr>
              <w:ind w:left="460"/>
              <w:spacing w:after="0"/>
              <w:rPr>
                <w:sz w:val="20"/>
                <w:szCs w:val="20"/>
                <w:color w:val="auto"/>
              </w:rPr>
            </w:pPr>
            <w:r>
              <w:rPr>
                <w:rFonts w:ascii="Arial" w:cs="Arial" w:eastAsia="Arial" w:hAnsi="Arial"/>
                <w:sz w:val="17"/>
                <w:szCs w:val="17"/>
                <w:b w:val="1"/>
                <w:bCs w:val="1"/>
                <w:i w:val="1"/>
                <w:iCs w:val="1"/>
                <w:color w:val="auto"/>
              </w:rPr>
              <w:t>Demand Registration Rights</w:t>
            </w:r>
          </w:p>
        </w:tc>
        <w:tc>
          <w:tcPr>
            <w:tcW w:w="2740" w:type="dxa"/>
            <w:vAlign w:val="bottom"/>
          </w:tcPr>
          <w:p>
            <w:pPr>
              <w:spacing w:after="0"/>
              <w:rPr>
                <w:sz w:val="24"/>
                <w:szCs w:val="24"/>
                <w:color w:val="auto"/>
              </w:rPr>
            </w:pPr>
          </w:p>
        </w:tc>
      </w:tr>
      <w:tr>
        <w:trPr>
          <w:trHeight w:val="304"/>
        </w:trPr>
        <w:tc>
          <w:tcPr>
            <w:tcW w:w="7920" w:type="dxa"/>
            <w:vAlign w:val="bottom"/>
            <w:gridSpan w:val="2"/>
          </w:tcPr>
          <w:p>
            <w:pPr>
              <w:ind w:left="880"/>
              <w:spacing w:after="0"/>
              <w:rPr>
                <w:sz w:val="20"/>
                <w:szCs w:val="20"/>
                <w:color w:val="auto"/>
              </w:rPr>
            </w:pPr>
            <w:r>
              <w:rPr>
                <w:rFonts w:ascii="Arial" w:cs="Arial" w:eastAsia="Arial" w:hAnsi="Arial"/>
                <w:sz w:val="17"/>
                <w:szCs w:val="17"/>
                <w:color w:val="auto"/>
                <w:w w:val="94"/>
              </w:rPr>
              <w:t>Subject to certain exceptions, upon election by the requisite holders, the holders of an aggregate of</w:t>
            </w:r>
          </w:p>
        </w:tc>
        <w:tc>
          <w:tcPr>
            <w:tcW w:w="2740" w:type="dxa"/>
            <w:vAlign w:val="bottom"/>
          </w:tcPr>
          <w:p>
            <w:pPr>
              <w:ind w:left="380"/>
              <w:spacing w:after="0"/>
              <w:rPr>
                <w:sz w:val="20"/>
                <w:szCs w:val="20"/>
                <w:color w:val="auto"/>
              </w:rPr>
            </w:pPr>
            <w:r>
              <w:rPr>
                <w:rFonts w:ascii="Arial" w:cs="Arial" w:eastAsia="Arial" w:hAnsi="Arial"/>
                <w:sz w:val="17"/>
                <w:szCs w:val="17"/>
                <w:color w:val="auto"/>
                <w:w w:val="86"/>
              </w:rPr>
              <w:t>shares of our common stock, based</w:t>
            </w:r>
          </w:p>
        </w:tc>
      </w:tr>
    </w:tbl>
    <w:p>
      <w:pPr>
        <w:ind w:left="460" w:right="80"/>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on our shares outstanding as of June 30, 2023, will be entitled to certain demand registration rights. At any time beginning 180 days after the closing of this offering, certain holders of these shares may request that we register all or a portion of the registrable shares. We are obligated to effect only two such registrations. Such request for registration must cover at least 40% of such shares or such lesser amount as would have an anticipated aggregate offering price, net of selling expenses, in excess of $10 million.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After the closing of this offering, in the event that we propose to register any of our securities under the Securities Act, either for our own account</w:t>
      </w:r>
    </w:p>
    <w:p>
      <w:pPr>
        <w:spacing w:after="0" w:line="42" w:lineRule="exact"/>
        <w:rPr>
          <w:sz w:val="20"/>
          <w:szCs w:val="20"/>
          <w:color w:val="auto"/>
        </w:rPr>
      </w:pPr>
    </w:p>
    <w:p>
      <w:pPr>
        <w:ind w:left="460" w:right="60"/>
        <w:spacing w:after="0" w:line="268" w:lineRule="auto"/>
        <w:rPr>
          <w:sz w:val="20"/>
          <w:szCs w:val="20"/>
          <w:color w:val="auto"/>
        </w:rPr>
      </w:pPr>
      <w:r>
        <w:rPr>
          <w:rFonts w:ascii="Arial" w:cs="Arial" w:eastAsia="Arial" w:hAnsi="Arial"/>
          <w:sz w:val="16"/>
          <w:szCs w:val="16"/>
          <w:color w:val="auto"/>
        </w:rPr>
        <w:t>or for the account of other security holders, the holders of an aggregate of shares of our common stock, based on our shares outstanding as of June 30, 2023,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the issuance of securities by us or by a subsidiary pursuant to a stock option, stock purchase, or similar plan, (ii) an SEC Rule 145 transaction, or (iii) a registration in which the only stock being registered is stock issuable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08" w:lineRule="exact"/>
        <w:rPr>
          <w:sz w:val="20"/>
          <w:szCs w:val="20"/>
          <w:color w:val="auto"/>
        </w:rPr>
      </w:pPr>
    </w:p>
    <w:p>
      <w:pPr>
        <w:ind w:left="880"/>
        <w:spacing w:after="0"/>
        <w:tabs>
          <w:tab w:leader="none" w:pos="7240" w:val="left"/>
        </w:tabs>
        <w:rPr>
          <w:sz w:val="20"/>
          <w:szCs w:val="20"/>
          <w:color w:val="auto"/>
        </w:rPr>
      </w:pPr>
      <w:r>
        <w:rPr>
          <w:rFonts w:ascii="Arial" w:cs="Arial" w:eastAsia="Arial" w:hAnsi="Arial"/>
          <w:sz w:val="17"/>
          <w:szCs w:val="17"/>
          <w:color w:val="auto"/>
        </w:rPr>
        <w:t>Based on our shares outstanding as of June 30, 2023, the holders of an aggregate of</w:t>
      </w:r>
      <w:r>
        <w:rPr>
          <w:sz w:val="20"/>
          <w:szCs w:val="20"/>
          <w:color w:val="auto"/>
        </w:rPr>
        <w:tab/>
      </w:r>
      <w:r>
        <w:rPr>
          <w:rFonts w:ascii="Arial" w:cs="Arial" w:eastAsia="Arial" w:hAnsi="Arial"/>
          <w:sz w:val="15"/>
          <w:szCs w:val="15"/>
          <w:color w:val="auto"/>
        </w:rPr>
        <w:t>shares of our common stock will be entitled to</w:t>
      </w:r>
    </w:p>
    <w:p>
      <w:pPr>
        <w:spacing w:after="0" w:line="19" w:lineRule="exact"/>
        <w:rPr>
          <w:sz w:val="20"/>
          <w:szCs w:val="20"/>
          <w:color w:val="auto"/>
        </w:rPr>
      </w:pPr>
    </w:p>
    <w:p>
      <w:pPr>
        <w:ind w:left="460" w:right="80"/>
        <w:spacing w:after="0" w:line="302" w:lineRule="auto"/>
        <w:rPr>
          <w:sz w:val="20"/>
          <w:szCs w:val="20"/>
          <w:color w:val="auto"/>
        </w:rPr>
      </w:pPr>
      <w:r>
        <w:rPr>
          <w:rFonts w:ascii="Arial" w:cs="Arial" w:eastAsia="Arial" w:hAnsi="Arial"/>
          <w:sz w:val="15"/>
          <w:szCs w:val="15"/>
          <w:color w:val="auto"/>
        </w:rPr>
        <w:t>certain Form S-3 registration rights. At any time beginning 90 days after the closing of this offering, the holders of these shares can make a request that we register their shares on Form S-3 if we are qualified to file a registration statement on Form S-3 and if the anticipated aggregate price of the shares offered would equal or exceed $3.0 million. We will not be required to effect more than two registrations on Form S-3 within any 12-month period.</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Anti-Takeover Effects of Delaware Law and Our Certificate of Incorporation and Bylaws</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Some provisions of Delaware law and our amended and restated certificate of incorporation and our amended and restated bylaws that will each be in effect immediately prior to the closing of this offering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2"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Preferred Stock</w:t>
      </w:r>
    </w:p>
    <w:p>
      <w:pPr>
        <w:sectPr>
          <w:pgSz w:w="11900" w:h="16838" w:orient="portrait"/>
          <w:cols w:equalWidth="0" w:num="1">
            <w:col w:w="10760"/>
          </w:cols>
          <w:pgMar w:left="320" w:top="425" w:right="819" w:bottom="1440" w:gutter="0" w:footer="0" w:header="0"/>
        </w:sectPr>
      </w:pPr>
    </w:p>
    <w:p>
      <w:pPr>
        <w:spacing w:after="0" w:line="108"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Our board of directors will have the authority, without further action by our stockholders, to issue up to preferred stock with rights and preferences, including voting rights, designated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shares of undesignated</w:t>
      </w:r>
    </w:p>
    <w:p>
      <w:pPr>
        <w:spacing w:after="0" w:line="383" w:lineRule="exact"/>
        <w:rPr>
          <w:sz w:val="20"/>
          <w:szCs w:val="20"/>
          <w:color w:val="auto"/>
        </w:rPr>
      </w:pPr>
    </w:p>
    <w:p>
      <w:pPr>
        <w:sectPr>
          <w:pgSz w:w="11900" w:h="16838" w:orient="portrait"/>
          <w:cols w:equalWidth="0" w:num="2">
            <w:col w:w="7880" w:space="720"/>
            <w:col w:w="2160"/>
          </w:cols>
          <w:pgMar w:left="320" w:top="425" w:right="819" w:bottom="1440" w:gutter="0" w:footer="0" w:header="0"/>
          <w:type w:val="continuous"/>
        </w:sectPr>
      </w:pPr>
    </w:p>
    <w:p>
      <w:pPr>
        <w:jc w:val="center"/>
        <w:ind w:right="-499"/>
        <w:spacing w:after="0"/>
        <w:rPr>
          <w:sz w:val="20"/>
          <w:szCs w:val="20"/>
          <w:color w:val="auto"/>
        </w:rPr>
      </w:pPr>
      <w:r>
        <w:rPr>
          <w:rFonts w:ascii="Arial" w:cs="Arial" w:eastAsia="Arial" w:hAnsi="Arial"/>
          <w:sz w:val="15"/>
          <w:szCs w:val="15"/>
          <w:color w:val="auto"/>
        </w:rPr>
        <w:t>283</w:t>
      </w:r>
    </w:p>
    <w:p>
      <w:pPr>
        <w:sectPr>
          <w:pgSz w:w="11900" w:h="16838" w:orient="portrait"/>
          <w:cols w:equalWidth="0" w:num="1">
            <w:col w:w="10760"/>
          </w:cols>
          <w:pgMar w:left="320" w:top="425" w:right="819" w:bottom="1440" w:gutter="0" w:footer="0" w:header="0"/>
          <w:type w:val="continuous"/>
        </w:sectPr>
      </w:pPr>
    </w:p>
    <w:bookmarkStart w:id="293" w:name="page294"/>
    <w:bookmarkEnd w:id="29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240"/>
        <w:spacing w:after="0" w:line="340" w:lineRule="auto"/>
        <w:rPr>
          <w:sz w:val="20"/>
          <w:szCs w:val="20"/>
          <w:color w:val="auto"/>
        </w:rPr>
      </w:pPr>
      <w:r>
        <w:rPr>
          <w:rFonts w:ascii="Arial" w:cs="Arial" w:eastAsia="Arial" w:hAnsi="Arial"/>
          <w:sz w:val="15"/>
          <w:szCs w:val="15"/>
          <w:color w:val="auto"/>
        </w:rPr>
        <w:t>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 Meetings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Our amended and restated certificate of incorporation will provide that a special meeting of stockholders may be called only by our chairperson of the board, chief executive officer, or president or by a resolution adopted by a majority of our board of directors.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08" w:lineRule="exact"/>
        <w:rPr>
          <w:sz w:val="20"/>
          <w:szCs w:val="20"/>
          <w:color w:val="auto"/>
        </w:rPr>
      </w:pPr>
    </w:p>
    <w:p>
      <w:pPr>
        <w:ind w:left="460" w:right="500" w:firstLine="413"/>
        <w:spacing w:after="0" w:line="260"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Elimination of Stockholder Action by Written Consent</w:t>
      </w:r>
    </w:p>
    <w:p>
      <w:pPr>
        <w:spacing w:after="0" w:line="108"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Subject to the rights of the holders of any series of preferred stock then outstanding, our amended and restated certificate of incorporation and amended and restated bylaws will eliminate the right of stockholders to act by written consent without a meeting.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Staggered Board</w:t>
      </w:r>
    </w:p>
    <w:p>
      <w:pPr>
        <w:spacing w:after="0" w:line="108"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Our board of directors will be divided into three classes. The directors in each class will serve for a three-year term, one class being elected each year by our stockholders. For more information on the classified board, see the section titled “Management—Composition of Our Board of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108"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Our amended and restated certificate of incorporation will provide that, subject to the rights of any series of preferred stock to remove directors elected by such series of preferred stock, no member of our board of directors may be removed from office by our stockholders except for cause and, in addition to any other vote required by law, upon the approval of not less than 66 2/3% of the total voting power of all of our outstanding voting stock then entitled to vote in the election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108"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Our amended and restated certificate of incorporation will not permit stockholders to cumulate their votes in the election of directors. Accordingly, the holders of a majority of the outstanding voting power of our outstanding shares of common stock entitled to vote in any election of directors can elect all of the directors standing for election, if they choose, other than any directors that holders of our preferred stock may be entitled to elect.</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08"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to be “interested stockholders” from engaging in a “business combination” with a publicly held Delaware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284</w:t>
      </w:r>
    </w:p>
    <w:p>
      <w:pPr>
        <w:sectPr>
          <w:pgSz w:w="11900" w:h="16838" w:orient="portrait"/>
          <w:cols w:equalWidth="0" w:num="1">
            <w:col w:w="10780"/>
          </w:cols>
          <w:pgMar w:left="320" w:top="440" w:right="799"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40"/>
        <w:spacing w:after="0" w:line="272" w:lineRule="auto"/>
        <w:rPr>
          <w:sz w:val="20"/>
          <w:szCs w:val="20"/>
          <w:color w:val="auto"/>
        </w:rPr>
      </w:pPr>
      <w:r>
        <w:rPr>
          <w:rFonts w:ascii="Arial" w:cs="Arial" w:eastAsia="Arial" w:hAnsi="Arial"/>
          <w:sz w:val="16"/>
          <w:szCs w:val="16"/>
          <w:color w:val="auto"/>
        </w:rPr>
        <w:t>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Choice of Forum</w:t>
      </w:r>
    </w:p>
    <w:p>
      <w:pPr>
        <w:spacing w:after="0" w:line="10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Our amended and restated certificate of incorporation to be effective immediately prior to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internal-affairs doctrine or otherwise related to our internal affairs, in all cases to the fullest extent permitted by law and subject to the court’s having personal jurisdiction over the indispensable parties named as defendants. This choice of forum provision would not apply to suits brought to enforce a duty or liability created by the Securities Act or Exchange Act or any other claim for which the federal courts have exclusive jurisdiction.</w:t>
      </w:r>
    </w:p>
    <w:p>
      <w:pPr>
        <w:spacing w:after="0" w:line="172"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Our amended and restated certificate of incorporation to be effective immediately prior to the closing of this offering will further provide that, unless we consent in writing to the selection of an alternative forum, to the fullest extent permitted by law, the federal district courts of the United States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Additionally, our amended and restated certificate of incorporation to be effective immediately prior to the closing of this offering will provide that any person or entity holding, owning, or otherwise acquiring any interest in any of our securities shall be deemed to have notice of and consented to these provisions.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108" w:lineRule="exact"/>
        <w:rPr>
          <w:sz w:val="20"/>
          <w:szCs w:val="20"/>
          <w:color w:val="auto"/>
        </w:rPr>
      </w:pPr>
    </w:p>
    <w:p>
      <w:pPr>
        <w:ind w:left="460" w:right="360" w:firstLine="413"/>
        <w:spacing w:after="0" w:line="303" w:lineRule="auto"/>
        <w:rPr>
          <w:sz w:val="20"/>
          <w:szCs w:val="20"/>
          <w:color w:val="auto"/>
        </w:rPr>
      </w:pPr>
      <w:r>
        <w:rPr>
          <w:rFonts w:ascii="Arial" w:cs="Arial" w:eastAsia="Arial" w:hAnsi="Arial"/>
          <w:sz w:val="16"/>
          <w:szCs w:val="16"/>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43"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provisions of Delaware law and our amended and restated certificate of incorporation and amended and restated bylaws that will each be in effect immediately prior to the closing of this offering could have the effect</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285</w:t>
      </w:r>
    </w:p>
    <w:p>
      <w:pPr>
        <w:sectPr>
          <w:pgSz w:w="11900" w:h="16838" w:orient="portrait"/>
          <w:cols w:equalWidth="0" w:num="1">
            <w:col w:w="10780"/>
          </w:cols>
          <w:pgMar w:left="320" w:top="440" w:right="79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37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Transfer Agent and Registrar</w:t>
      </w:r>
    </w:p>
    <w:p>
      <w:pPr>
        <w:spacing w:after="0" w:line="214"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w:t>
      </w:r>
    </w:p>
    <w:p>
      <w:pPr>
        <w:spacing w:after="0" w:line="36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Exchange Listing</w:t>
      </w:r>
    </w:p>
    <w:p>
      <w:pPr>
        <w:spacing w:after="0" w:line="214"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Our common stock is currently not listed on any securities exchange. We have applied to list our common stock on Nasdaq under the symbol “CART.”</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286</w:t>
      </w:r>
    </w:p>
    <w:p>
      <w:pPr>
        <w:sectPr>
          <w:pgSz w:w="11900" w:h="16838" w:orient="portrait"/>
          <w:cols w:equalWidth="0" w:num="1">
            <w:col w:w="10760"/>
          </w:cols>
          <w:pgMar w:left="320" w:top="440" w:right="819"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214" w:lineRule="exact"/>
        <w:rPr>
          <w:sz w:val="20"/>
          <w:szCs w:val="20"/>
          <w:color w:val="auto"/>
        </w:rPr>
      </w:pPr>
    </w:p>
    <w:p>
      <w:pPr>
        <w:ind w:left="460" w:right="200" w:firstLine="413"/>
        <w:spacing w:after="0" w:line="284" w:lineRule="auto"/>
        <w:rPr>
          <w:sz w:val="20"/>
          <w:szCs w:val="20"/>
          <w:color w:val="auto"/>
        </w:rPr>
      </w:pPr>
      <w:r>
        <w:rPr>
          <w:rFonts w:ascii="Arial" w:cs="Arial" w:eastAsia="Arial" w:hAnsi="Arial"/>
          <w:sz w:val="16"/>
          <w:szCs w:val="16"/>
          <w:color w:val="auto"/>
        </w:rPr>
        <w:t>Prior to this offering, there had been no public market for our common stock. Future sales of substantial amounts of our common stock in the public market, or the perception that such sales may occur, could adversely affect the market price of our common stock. Although we have applied to list our common stock listed on Nasdaq, we cannot assure you that there will be an active public market for our common stock.</w:t>
      </w:r>
    </w:p>
    <w:p>
      <w:pPr>
        <w:spacing w:after="0" w:line="157"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Immediately following the closing of this offering, based on the number of shares of our voting common stock and non-voting common stock outstanding as of June 30, 2023, and assuming (i) the automatic exchange of all exchangeable shares of our subsidiary, Aspen, outstanding as of June 30, 2023 into 688,787 shares of our non-voting common stock in connection with the effectiveness of the registration statement of which this prospectus forms a part, as if such exchange had occurred on June 30, 2023; (ii) the conversion of all outstanding shares of our non-voting common stock and shares of our non-voting common stock underlying outstanding equity awards, warrants, and exchangeable shares into an equivalent number of shares of our voting common stock immediately prior to the closing of this offering; (iii) the automatic conversion of 167,302,220 shares of our redeemable convertible preferred stock outstanding as of June 30, 2023 into 167,691,828 shares of our voting common stock immediately prior to the closing of this</w:t>
      </w:r>
    </w:p>
    <w:p>
      <w:pPr>
        <w:spacing w:after="0" w:line="1" w:lineRule="exact"/>
        <w:rPr>
          <w:sz w:val="20"/>
          <w:szCs w:val="20"/>
          <w:color w:val="auto"/>
        </w:rPr>
      </w:pPr>
    </w:p>
    <w:p>
      <w:pPr>
        <w:ind w:left="460" w:right="120"/>
        <w:spacing w:after="0" w:line="281" w:lineRule="auto"/>
        <w:rPr>
          <w:sz w:val="20"/>
          <w:szCs w:val="20"/>
          <w:color w:val="auto"/>
        </w:rPr>
      </w:pPr>
      <w:r>
        <w:rPr>
          <w:rFonts w:ascii="Arial" w:cs="Arial" w:eastAsia="Arial" w:hAnsi="Arial"/>
          <w:sz w:val="15"/>
          <w:szCs w:val="15"/>
          <w:color w:val="auto"/>
        </w:rPr>
        <w:t>offering, as if such conversion had occurred on June 30, 2023; (iv) the net issuance of shares of our non-voting common stock in connection with the settlement of certain outstanding RSUs subject to service-based, market-based, and/or liquidity event-based vesting conditions for which the service-based vesting condition and the market-based vesting condition, as applicable, are expected to have been fully or partially satisfied on or before the effectiveness of the registration statement of which this prospectus forms a part, which will satisfy the liquidity event-based vesting condition,</w:t>
      </w:r>
    </w:p>
    <w:p>
      <w:pPr>
        <w:spacing w:after="0" w:line="3" w:lineRule="exact"/>
        <w:rPr>
          <w:sz w:val="20"/>
          <w:szCs w:val="20"/>
          <w:color w:val="auto"/>
        </w:rPr>
      </w:pPr>
    </w:p>
    <w:p>
      <w:pPr>
        <w:ind w:left="460" w:right="320"/>
        <w:spacing w:after="0" w:line="281" w:lineRule="auto"/>
        <w:rPr>
          <w:sz w:val="20"/>
          <w:szCs w:val="20"/>
          <w:color w:val="auto"/>
        </w:rPr>
      </w:pPr>
      <w:r>
        <w:rPr>
          <w:rFonts w:ascii="Arial" w:cs="Arial" w:eastAsia="Arial" w:hAnsi="Arial"/>
          <w:sz w:val="15"/>
          <w:szCs w:val="15"/>
          <w:color w:val="auto"/>
        </w:rPr>
        <w:t>assuming that effectiveness occurs on and any remaining vesting continues through such date, after giving effect to the withholding of shares of common stock underlying such RSUs to satisfy the associated estimated tax withholding and remittance obligations (based on the assumed</w:t>
      </w:r>
    </w:p>
    <w:p>
      <w:pPr>
        <w:spacing w:after="0" w:line="1" w:lineRule="exact"/>
        <w:rPr>
          <w:sz w:val="20"/>
          <w:szCs w:val="20"/>
          <w:color w:val="auto"/>
        </w:rPr>
      </w:pPr>
    </w:p>
    <w:p>
      <w:pPr>
        <w:ind w:left="460" w:right="100"/>
        <w:spacing w:after="0" w:line="281" w:lineRule="auto"/>
        <w:rPr>
          <w:sz w:val="20"/>
          <w:szCs w:val="20"/>
          <w:color w:val="auto"/>
        </w:rPr>
      </w:pPr>
      <w:r>
        <w:rPr>
          <w:rFonts w:ascii="Arial" w:cs="Arial" w:eastAsia="Arial" w:hAnsi="Arial"/>
          <w:sz w:val="15"/>
          <w:szCs w:val="15"/>
          <w:color w:val="auto"/>
        </w:rPr>
        <w:t>initial public offering price of $ per share, the midpoint of the price range set forth on the cover page of this prospectus, and an assumed % tax withholding rate); (v) the cancellation of shares of our outstanding restricted stock to satisfy the associated estimated tax withholding and remittance obligations (based on the assumed initial public offering price of $ per share, the midpoint of the price range set forth on the cover page of this prospectus, and an assumed % tax withholding rate) due upon the vesting of such restricted stock, which will occur upon the effectiveness of</w:t>
      </w:r>
    </w:p>
    <w:p>
      <w:pPr>
        <w:spacing w:after="0" w:line="3" w:lineRule="exact"/>
        <w:rPr>
          <w:sz w:val="20"/>
          <w:szCs w:val="20"/>
          <w:color w:val="auto"/>
        </w:rPr>
      </w:pPr>
    </w:p>
    <w:p>
      <w:pPr>
        <w:ind w:left="460" w:right="240"/>
        <w:spacing w:after="0" w:line="562" w:lineRule="auto"/>
        <w:rPr>
          <w:sz w:val="20"/>
          <w:szCs w:val="20"/>
          <w:color w:val="auto"/>
        </w:rPr>
      </w:pPr>
      <w:r>
        <w:rPr>
          <w:rFonts w:ascii="Arial" w:cs="Arial" w:eastAsia="Arial" w:hAnsi="Arial"/>
          <w:sz w:val="15"/>
          <w:szCs w:val="15"/>
          <w:color w:val="auto"/>
        </w:rPr>
        <w:t>the registration statement of which this prospectus forms a part; and (vi) the reclassification of all outstanding shares of our voting common stock and shares of our voting common stock underlying outstanding equity awards, after giving effect to the conversions described above, into an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number of shares of common stock immediately prior to the closing of this offering, we will have outstanding an aggregate of shares of common stock.</w:t>
      </w:r>
    </w:p>
    <w:p>
      <w:pPr>
        <w:spacing w:after="0" w:line="165" w:lineRule="exact"/>
        <w:rPr>
          <w:sz w:val="20"/>
          <w:szCs w:val="20"/>
          <w:color w:val="auto"/>
        </w:rPr>
      </w:pPr>
    </w:p>
    <w:p>
      <w:pPr>
        <w:ind w:left="460" w:right="140" w:firstLine="413"/>
        <w:spacing w:after="0" w:line="277" w:lineRule="auto"/>
        <w:rPr>
          <w:sz w:val="20"/>
          <w:szCs w:val="20"/>
          <w:color w:val="auto"/>
        </w:rPr>
      </w:pPr>
      <w:r>
        <w:rPr>
          <w:rFonts w:ascii="Arial" w:cs="Arial" w:eastAsia="Arial" w:hAnsi="Arial"/>
          <w:sz w:val="16"/>
          <w:szCs w:val="16"/>
          <w:color w:val="auto"/>
        </w:rPr>
        <w:t>Of these shares, all shares of common stock sold in this offering including any shares sold upon exercise, if any, of the underwriters’ option to purchase additional shares of common stock,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64" w:lineRule="exact"/>
        <w:rPr>
          <w:sz w:val="20"/>
          <w:szCs w:val="20"/>
          <w:color w:val="auto"/>
        </w:rPr>
      </w:pPr>
    </w:p>
    <w:p>
      <w:pPr>
        <w:ind w:left="460" w:right="240" w:firstLine="413"/>
        <w:spacing w:after="0" w:line="301" w:lineRule="auto"/>
        <w:rPr>
          <w:sz w:val="20"/>
          <w:szCs w:val="20"/>
          <w:color w:val="auto"/>
        </w:rPr>
      </w:pPr>
      <w:r>
        <w:rPr>
          <w:rFonts w:ascii="Arial" w:cs="Arial" w:eastAsia="Arial" w:hAnsi="Arial"/>
          <w:sz w:val="15"/>
          <w:szCs w:val="15"/>
          <w:color w:val="auto"/>
        </w:rPr>
        <w:t>The remaining outstanding shares of common stock will be, and shares subject to stock options and RSUs will be upon issuance, deemed “restricted securities” as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Substantially all of these shares will be subject to a lock-up period under the lock-up agreements described below.</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287</w:t>
      </w:r>
    </w:p>
    <w:p>
      <w:pPr>
        <w:sectPr>
          <w:pgSz w:w="11900" w:h="16838" w:orient="portrait"/>
          <w:cols w:equalWidth="0" w:num="1">
            <w:col w:w="10800"/>
          </w:cols>
          <w:pgMar w:left="320" w:top="440" w:right="779" w:bottom="1440" w:gutter="0" w:footer="0" w:header="0"/>
        </w:sectPr>
      </w:pPr>
    </w:p>
    <w:bookmarkStart w:id="297" w:name="page298"/>
    <w:bookmarkEnd w:id="29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Lock-up Agreements</w:t>
      </w:r>
    </w:p>
    <w:p>
      <w:pPr>
        <w:spacing w:after="0" w:line="214"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We, our directors and executive officers, and holders of substantially all of our common stock and securities exercisable for or convertible into our common stock will enter into lock-up agreements that prevent us and them from selling any of our common stock or any securities exercisable for or</w:t>
      </w:r>
    </w:p>
    <w:p>
      <w:pPr>
        <w:ind w:left="460" w:right="320"/>
        <w:spacing w:after="0" w:line="323" w:lineRule="auto"/>
        <w:rPr>
          <w:sz w:val="20"/>
          <w:szCs w:val="20"/>
          <w:color w:val="auto"/>
        </w:rPr>
      </w:pPr>
      <w:r>
        <w:rPr>
          <w:rFonts w:ascii="Arial" w:cs="Arial" w:eastAsia="Arial" w:hAnsi="Arial"/>
          <w:sz w:val="15"/>
          <w:szCs w:val="15"/>
          <w:color w:val="auto"/>
        </w:rPr>
        <w:t>convertible into our common stock for a period of not less than days from the date of this prospectus without the prior written consent of Goldman Sachs &amp; Co. LLC on behalf of the underwriters, subject to certain exceptions. See the section titled “Underwriting” for more information.</w:t>
      </w:r>
    </w:p>
    <w:p>
      <w:pPr>
        <w:spacing w:after="0" w:line="33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Rule 144</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108" w:lineRule="exact"/>
        <w:rPr>
          <w:sz w:val="20"/>
          <w:szCs w:val="20"/>
          <w:color w:val="auto"/>
        </w:rPr>
      </w:pPr>
    </w:p>
    <w:p>
      <w:pPr>
        <w:ind w:left="460" w:right="280" w:firstLine="413"/>
        <w:spacing w:after="0" w:line="277" w:lineRule="auto"/>
        <w:rPr>
          <w:sz w:val="20"/>
          <w:szCs w:val="20"/>
          <w:color w:val="auto"/>
        </w:rPr>
      </w:pPr>
      <w:r>
        <w:rPr>
          <w:rFonts w:ascii="Arial" w:cs="Arial" w:eastAsia="Arial" w:hAnsi="Arial"/>
          <w:sz w:val="16"/>
          <w:szCs w:val="16"/>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0760"/>
          </w:cols>
          <w:pgMar w:left="320" w:top="440" w:right="819" w:bottom="1440" w:gutter="0" w:footer="0" w:header="0"/>
        </w:sectPr>
      </w:pPr>
    </w:p>
    <w:p>
      <w:pPr>
        <w:spacing w:after="0" w:line="7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w:t>
      </w:r>
    </w:p>
    <w:p>
      <w:pPr>
        <w:spacing w:after="0" w:line="346" w:lineRule="exact"/>
        <w:rPr>
          <w:sz w:val="20"/>
          <w:szCs w:val="20"/>
          <w:color w:val="auto"/>
        </w:rPr>
      </w:pPr>
    </w:p>
    <w:p>
      <w:pPr>
        <w:sectPr>
          <w:pgSz w:w="11900" w:h="16838" w:orient="portrait"/>
          <w:cols w:equalWidth="0" w:num="3">
            <w:col w:w="920" w:space="440"/>
            <w:col w:w="6780" w:space="720"/>
            <w:col w:w="1900"/>
          </w:cols>
          <w:pgMar w:left="320" w:top="440" w:right="8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the average weekly trading volume in our common stock on the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during the four calendar weeks preceding the filing of a notice</w:t>
      </w:r>
    </w:p>
    <w:p>
      <w:pPr>
        <w:spacing w:after="0" w:line="435" w:lineRule="exact"/>
        <w:rPr>
          <w:sz w:val="20"/>
          <w:szCs w:val="20"/>
          <w:color w:val="auto"/>
        </w:rPr>
      </w:pPr>
    </w:p>
    <w:p>
      <w:pPr>
        <w:sectPr>
          <w:pgSz w:w="11900" w:h="16838" w:orient="portrait"/>
          <w:cols w:equalWidth="0" w:num="3">
            <w:col w:w="920" w:space="440"/>
            <w:col w:w="4360" w:space="720"/>
            <w:col w:w="4320"/>
          </w:cols>
          <w:pgMar w:left="320" w:top="440" w:right="819" w:bottom="1440" w:gutter="0" w:footer="0" w:header="0"/>
          <w:type w:val="continuous"/>
        </w:sectPr>
      </w:pPr>
    </w:p>
    <w:p>
      <w:pPr>
        <w:ind w:left="460" w:right="60" w:firstLine="413"/>
        <w:spacing w:after="0" w:line="256"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108" w:lineRule="exact"/>
        <w:rPr>
          <w:sz w:val="20"/>
          <w:szCs w:val="20"/>
          <w:color w:val="auto"/>
        </w:rPr>
      </w:pPr>
    </w:p>
    <w:p>
      <w:pPr>
        <w:ind w:left="460" w:right="140" w:firstLine="413"/>
        <w:spacing w:after="0" w:line="296" w:lineRule="auto"/>
        <w:rPr>
          <w:sz w:val="20"/>
          <w:szCs w:val="20"/>
          <w:color w:val="auto"/>
        </w:rPr>
      </w:pPr>
      <w:r>
        <w:rPr>
          <w:rFonts w:ascii="Arial" w:cs="Arial" w:eastAsia="Arial" w:hAnsi="Arial"/>
          <w:sz w:val="15"/>
          <w:szCs w:val="15"/>
          <w:color w:val="auto"/>
        </w:rPr>
        <w:t>In general, once we have been subject to the public company reporting requirements of Section 13 or Section 15(d) of the Exchange Act for at least 90 days, a person who is not an affiliate of ours at the time of sale, has not been an affiliate at any time during the three months preceding a sale, and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Rule 701</w:t>
      </w:r>
    </w:p>
    <w:p>
      <w:pPr>
        <w:spacing w:after="0" w:line="214"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In general, under Rule 701, any of our employees, directors, officers, consultants, or advisors who purchases shares from us in connection with a compensatory stock or option plan or other written agreement before the effectiveness of a registration statement under the Securities Act is entitled to sell such shares 90 days after such effectiveness in reliance on Rule 144. Securities issued in reliance on Rule 701 are restricted securities and, subject to the contractual restrictions described above, beginning 90 days after the date of this prospectus, may be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288</w:t>
      </w:r>
    </w:p>
    <w:p>
      <w:pPr>
        <w:sectPr>
          <w:pgSz w:w="11900" w:h="16838" w:orient="portrait"/>
          <w:cols w:equalWidth="0" w:num="1">
            <w:col w:w="10760"/>
          </w:cols>
          <w:pgMar w:left="320" w:top="440" w:right="819" w:bottom="1440" w:gutter="0" w:footer="0" w:header="0"/>
          <w:type w:val="continuous"/>
        </w:sectPr>
      </w:pPr>
    </w:p>
    <w:bookmarkStart w:id="298" w:name="page299"/>
    <w:bookmarkEnd w:id="29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sold by persons other than “affiliates,” as defined in Rule 144, without regard to any Rule 144 restrictions, and by “affiliates” under Rule 144, subject to the current public information, manner of sale, volume limitation, or notice filing requirements.</w:t>
      </w: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Form S-8 Registration Statement</w:t>
      </w:r>
    </w:p>
    <w:p>
      <w:pPr>
        <w:spacing w:after="0" w:line="214" w:lineRule="exact"/>
        <w:rPr>
          <w:sz w:val="20"/>
          <w:szCs w:val="20"/>
          <w:color w:val="auto"/>
        </w:rPr>
      </w:pPr>
    </w:p>
    <w:p>
      <w:pPr>
        <w:ind w:left="460" w:right="80" w:firstLine="413"/>
        <w:spacing w:after="0" w:line="274"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our common stock subject to outstanding stock options under our 2013 Plan and 2018 Plan and all shares of our common stock issued or issuable under our 2023 Plan and our ESPP, as applicable. We expect to file the registration statement covering shares offered pursuant to these stock plans on or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36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Registration Rights</w:t>
      </w:r>
    </w:p>
    <w:p>
      <w:pPr>
        <w:spacing w:after="0" w:line="214" w:lineRule="exact"/>
        <w:rPr>
          <w:sz w:val="20"/>
          <w:szCs w:val="20"/>
          <w:color w:val="auto"/>
        </w:rPr>
      </w:pPr>
    </w:p>
    <w:p>
      <w:pPr>
        <w:ind w:left="880"/>
        <w:spacing w:after="0"/>
        <w:tabs>
          <w:tab w:leader="none" w:pos="3940" w:val="left"/>
        </w:tabs>
        <w:rPr>
          <w:sz w:val="20"/>
          <w:szCs w:val="20"/>
          <w:color w:val="auto"/>
        </w:rPr>
      </w:pPr>
      <w:r>
        <w:rPr>
          <w:rFonts w:ascii="Arial" w:cs="Arial" w:eastAsia="Arial" w:hAnsi="Arial"/>
          <w:sz w:val="17"/>
          <w:szCs w:val="17"/>
          <w:color w:val="auto"/>
        </w:rPr>
        <w:t>As of June 30, 2023, holders of up to</w:t>
      </w:r>
      <w:r>
        <w:rPr>
          <w:sz w:val="20"/>
          <w:szCs w:val="20"/>
          <w:color w:val="auto"/>
        </w:rPr>
        <w:tab/>
      </w:r>
      <w:r>
        <w:rPr>
          <w:rFonts w:ascii="Arial" w:cs="Arial" w:eastAsia="Arial" w:hAnsi="Arial"/>
          <w:sz w:val="15"/>
          <w:szCs w:val="15"/>
          <w:color w:val="auto"/>
        </w:rPr>
        <w:t>shares of our common stock, which includes all of the shares of common stock issuable upon the</w:t>
      </w:r>
    </w:p>
    <w:p>
      <w:pPr>
        <w:spacing w:after="0" w:line="19" w:lineRule="exact"/>
        <w:rPr>
          <w:sz w:val="20"/>
          <w:szCs w:val="20"/>
          <w:color w:val="auto"/>
        </w:rPr>
      </w:pPr>
    </w:p>
    <w:p>
      <w:pPr>
        <w:ind w:left="460"/>
        <w:spacing w:after="0" w:line="250" w:lineRule="auto"/>
        <w:rPr>
          <w:sz w:val="20"/>
          <w:szCs w:val="20"/>
          <w:color w:val="auto"/>
        </w:rPr>
      </w:pPr>
      <w:r>
        <w:rPr>
          <w:rFonts w:ascii="Arial" w:cs="Arial" w:eastAsia="Arial" w:hAnsi="Arial"/>
          <w:sz w:val="17"/>
          <w:szCs w:val="17"/>
          <w:color w:val="auto"/>
        </w:rPr>
        <w:t>conversion of our redeemable convertible preferred stock immediately prior to the closing of this offering, or their transferees, will be entitled to various rights with respect to the registration of these shares under the Securities Act upon the closing of this offering.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289</w:t>
      </w:r>
    </w:p>
    <w:p>
      <w:pPr>
        <w:sectPr>
          <w:pgSz w:w="11900" w:h="16838" w:orient="portrait"/>
          <w:cols w:equalWidth="0" w:num="1">
            <w:col w:w="10780"/>
          </w:cols>
          <w:pgMar w:left="320" w:top="440" w:right="799" w:bottom="1440" w:gutter="0" w:footer="0" w:header="0"/>
        </w:sectPr>
      </w:pPr>
    </w:p>
    <w:bookmarkStart w:id="299" w:name="page300"/>
    <w:bookmarkEnd w:id="29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MATERIAL U.S. FEDERAL INCOME TAX CONSEQUENCES TO NON-U.S. HOLDERS OF OUR COMMON STOCK</w:t>
      </w:r>
    </w:p>
    <w:p>
      <w:pPr>
        <w:spacing w:after="0" w:line="214"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The following is a summary of certain material U.S. federal income tax consequences to non-U.S. holders (as defined below) of the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non-U.S. tax laws, or any other U.S. federal tax laws. This discussion is based on the Code and applicable Treasury Regulations promulgated thereunder, published rulings, and administrative pronouncements of the Internal Revenue Service, or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57"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21" w:lineRule="exact"/>
        <w:rPr>
          <w:rFonts w:ascii="Arial" w:cs="Arial" w:eastAsia="Arial" w:hAnsi="Arial"/>
          <w:sz w:val="17"/>
          <w:szCs w:val="17"/>
          <w:color w:val="auto"/>
        </w:rPr>
      </w:pPr>
    </w:p>
    <w:p>
      <w:pPr>
        <w:ind w:left="1360" w:right="320" w:hanging="498"/>
        <w:spacing w:after="0" w:line="272" w:lineRule="auto"/>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pass-throughs, or disregarded entities for U.S. federal income tax purposes (and investors therein);</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tax-exempt organizations and governmental organizations;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persons that own, or have owned, actually or constructively, more than 5% of our common stock;</w:t>
      </w:r>
    </w:p>
    <w:p>
      <w:pPr>
        <w:spacing w:after="0" w:line="121" w:lineRule="exact"/>
        <w:rPr>
          <w:rFonts w:ascii="Arial" w:cs="Arial" w:eastAsia="Arial" w:hAnsi="Arial"/>
          <w:sz w:val="17"/>
          <w:szCs w:val="17"/>
          <w:color w:val="auto"/>
        </w:rPr>
      </w:pPr>
    </w:p>
    <w:p>
      <w:pPr>
        <w:ind w:left="1360" w:right="80" w:hanging="498"/>
        <w:spacing w:after="0" w:line="272" w:lineRule="auto"/>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persons who have elected to mark securities to market; and</w:t>
      </w:r>
    </w:p>
    <w:p>
      <w:pPr>
        <w:spacing w:after="0" w:line="121"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persons holding our common stock as part of a hedging or conversion transaction or straddle, or a constructive sale, or other risk reduction strategy or integrated investment.</w:t>
      </w:r>
    </w:p>
    <w:p>
      <w:pPr>
        <w:spacing w:after="0" w:line="165"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common stock, the U.S. federal income tax treatment of a partner in the partnership generally will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75" w:lineRule="exact"/>
        <w:rPr>
          <w:sz w:val="20"/>
          <w:szCs w:val="20"/>
          <w:color w:val="auto"/>
        </w:rPr>
      </w:pPr>
    </w:p>
    <w:p>
      <w:pPr>
        <w:ind w:left="460" w:right="460" w:firstLine="413"/>
        <w:spacing w:after="0" w:line="276"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290</w:t>
      </w:r>
    </w:p>
    <w:p>
      <w:pPr>
        <w:sectPr>
          <w:pgSz w:w="11900" w:h="16838" w:orient="portrait"/>
          <w:cols w:equalWidth="0" w:num="1">
            <w:col w:w="10780"/>
          </w:cols>
          <w:pgMar w:left="320" w:top="440" w:right="799"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60" w:right="20"/>
        <w:spacing w:after="0" w:line="262" w:lineRule="auto"/>
        <w:rPr>
          <w:sz w:val="20"/>
          <w:szCs w:val="20"/>
          <w:color w:val="auto"/>
        </w:rPr>
      </w:pPr>
      <w:r>
        <w:rPr>
          <w:rFonts w:ascii="Arial" w:cs="Arial" w:eastAsia="Arial" w:hAnsi="Arial"/>
          <w:sz w:val="17"/>
          <w:szCs w:val="17"/>
          <w:b w:val="1"/>
          <w:bCs w:val="1"/>
          <w:color w:val="auto"/>
        </w:rPr>
        <w:t>PARTICULAR U.S. FEDERAL INCOME TAX CONSEQUENCES TO THEM OF ACQUIRING, OWNING, AND DISPOSING OF OUR COMMON STOCK, AS WELL AS ANY TAX CONSEQUENCES ARISING UNDER ANY STATE, LOCAL, OR NON-U.S. TAX LAWS AND ANY OTHER U.S. FEDERAL TAX LAWS.</w:t>
      </w:r>
    </w:p>
    <w:p>
      <w:pPr>
        <w:spacing w:after="0" w:line="37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Definition of Non-U.S. Holder</w:t>
      </w:r>
    </w:p>
    <w:p>
      <w:pPr>
        <w:spacing w:after="0" w:line="214"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360" w:hanging="498"/>
        <w:spacing w:after="0"/>
        <w:tabs>
          <w:tab w:leader="none" w:pos="13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1" w:lineRule="exact"/>
        <w:rPr>
          <w:rFonts w:ascii="Arial" w:cs="Arial" w:eastAsia="Arial" w:hAnsi="Arial"/>
          <w:sz w:val="17"/>
          <w:szCs w:val="17"/>
          <w:color w:val="auto"/>
        </w:rPr>
      </w:pPr>
    </w:p>
    <w:p>
      <w:pPr>
        <w:ind w:left="1360" w:right="260" w:hanging="498"/>
        <w:spacing w:after="0" w:line="272" w:lineRule="auto"/>
        <w:tabs>
          <w:tab w:leader="none" w:pos="13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corporation (or entity treated as a corporation for U.S. federal income tax purposes) created or organized under the laws of the United States, any state thereof or the District of Columbia;</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21" w:lineRule="exact"/>
        <w:rPr>
          <w:rFonts w:ascii="Arial" w:cs="Arial" w:eastAsia="Arial" w:hAnsi="Arial"/>
          <w:sz w:val="17"/>
          <w:szCs w:val="17"/>
          <w:color w:val="auto"/>
        </w:rPr>
      </w:pPr>
    </w:p>
    <w:p>
      <w:pPr>
        <w:jc w:val="both"/>
        <w:ind w:left="1360" w:hanging="498"/>
        <w:spacing w:after="0" w:line="260" w:lineRule="auto"/>
        <w:tabs>
          <w:tab w:leader="none" w:pos="13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Distributions on Our Common Stock</w:t>
      </w:r>
    </w:p>
    <w:p>
      <w:pPr>
        <w:spacing w:after="0" w:line="214" w:lineRule="exact"/>
        <w:rPr>
          <w:sz w:val="20"/>
          <w:szCs w:val="20"/>
          <w:color w:val="auto"/>
        </w:rPr>
      </w:pPr>
    </w:p>
    <w:p>
      <w:pPr>
        <w:ind w:left="460" w:right="100" w:firstLine="413"/>
        <w:spacing w:after="0" w:line="270" w:lineRule="auto"/>
        <w:rPr>
          <w:sz w:val="20"/>
          <w:szCs w:val="20"/>
          <w:color w:val="auto"/>
        </w:rPr>
      </w:pPr>
      <w:r>
        <w:rPr>
          <w:rFonts w:ascii="Arial" w:cs="Arial" w:eastAsia="Arial" w:hAnsi="Arial"/>
          <w:sz w:val="16"/>
          <w:szCs w:val="16"/>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72"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or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74"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291</w:t>
      </w:r>
    </w:p>
    <w:p>
      <w:pPr>
        <w:sectPr>
          <w:pgSz w:w="11900" w:h="16838" w:orient="portrait"/>
          <w:cols w:equalWidth="0" w:num="1">
            <w:col w:w="10760"/>
          </w:cols>
          <w:pgMar w:left="320" w:top="440" w:right="819" w:bottom="1440" w:gutter="0" w:footer="0" w:header="0"/>
        </w:sectPr>
      </w:pPr>
    </w:p>
    <w:bookmarkStart w:id="301" w:name="page302"/>
    <w:bookmarkEnd w:id="30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jc w:val="both"/>
        <w:ind w:left="460" w:right="360"/>
        <w:spacing w:after="0" w:line="260" w:lineRule="auto"/>
        <w:rPr>
          <w:sz w:val="20"/>
          <w:szCs w:val="20"/>
          <w:color w:val="auto"/>
        </w:rPr>
      </w:pPr>
      <w:r>
        <w:rPr>
          <w:rFonts w:ascii="Arial" w:cs="Arial" w:eastAsia="Arial" w:hAnsi="Arial"/>
          <w:sz w:val="17"/>
          <w:szCs w:val="17"/>
          <w:color w:val="auto"/>
        </w:rPr>
        <w:t>or business (and if required by an applicable tax treaty, are attributable to such holder’s permanent establishment in the United States), the non-U.S. holder generally will be exempt from U.S. federal withholding tax. To claim the exemption, the non-U.S. holder generally must furnish a valid IRS Form W-8ECI (or applicable successor form) to the applicable withholding agent.</w:t>
      </w:r>
    </w:p>
    <w:p>
      <w:pPr>
        <w:spacing w:after="0" w:line="175" w:lineRule="exact"/>
        <w:rPr>
          <w:sz w:val="20"/>
          <w:szCs w:val="20"/>
          <w:color w:val="auto"/>
        </w:rPr>
      </w:pPr>
    </w:p>
    <w:p>
      <w:pPr>
        <w:ind w:left="460" w:right="160" w:firstLine="413"/>
        <w:spacing w:after="0" w:line="274" w:lineRule="auto"/>
        <w:rPr>
          <w:sz w:val="20"/>
          <w:szCs w:val="20"/>
          <w:color w:val="auto"/>
        </w:rPr>
      </w:pPr>
      <w:r>
        <w:rPr>
          <w:rFonts w:ascii="Arial" w:cs="Arial" w:eastAsia="Arial" w:hAnsi="Arial"/>
          <w:sz w:val="16"/>
          <w:szCs w:val="16"/>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36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Gain on Disposition of Our Common Stock</w:t>
      </w:r>
    </w:p>
    <w:p>
      <w:pPr>
        <w:spacing w:after="0" w:line="214"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360" w:right="480" w:hanging="498"/>
        <w:spacing w:after="0" w:line="340" w:lineRule="auto"/>
        <w:tabs>
          <w:tab w:leader="none" w:pos="136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30" w:lineRule="exact"/>
        <w:rPr>
          <w:rFonts w:ascii="Arial" w:cs="Arial" w:eastAsia="Arial" w:hAnsi="Arial"/>
          <w:sz w:val="15"/>
          <w:szCs w:val="15"/>
          <w:color w:val="auto"/>
        </w:rPr>
      </w:pPr>
    </w:p>
    <w:p>
      <w:pPr>
        <w:ind w:left="1360" w:right="500" w:hanging="498"/>
        <w:spacing w:after="0" w:line="272" w:lineRule="auto"/>
        <w:tabs>
          <w:tab w:leader="none" w:pos="13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76" w:lineRule="exact"/>
        <w:rPr>
          <w:rFonts w:ascii="Arial" w:cs="Arial" w:eastAsia="Arial" w:hAnsi="Arial"/>
          <w:sz w:val="17"/>
          <w:szCs w:val="17"/>
          <w:color w:val="auto"/>
        </w:rPr>
      </w:pPr>
    </w:p>
    <w:p>
      <w:pPr>
        <w:ind w:left="1360" w:right="60" w:hanging="498"/>
        <w:spacing w:after="0" w:line="256" w:lineRule="auto"/>
        <w:tabs>
          <w:tab w:leader="none" w:pos="13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79"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generally will not be subject to U.S. federal income tax if our common stock is “regularly traded,” as defined by applicable Treasury Regulations, on an established securities market.</w:t>
      </w:r>
    </w:p>
    <w:p>
      <w:pPr>
        <w:spacing w:after="0" w:line="152" w:lineRule="exact"/>
        <w:rPr>
          <w:sz w:val="20"/>
          <w:szCs w:val="20"/>
          <w:color w:val="auto"/>
        </w:rPr>
      </w:pPr>
    </w:p>
    <w:p>
      <w:pPr>
        <w:ind w:left="460" w:right="60" w:firstLine="413"/>
        <w:spacing w:after="0" w:line="269"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292</w:t>
      </w:r>
    </w:p>
    <w:p>
      <w:pPr>
        <w:sectPr>
          <w:pgSz w:w="11900" w:h="16838" w:orient="portrait"/>
          <w:cols w:equalWidth="0" w:num="1">
            <w:col w:w="10780"/>
          </w:cols>
          <w:pgMar w:left="320" w:top="440" w:right="799" w:bottom="1440" w:gutter="0" w:footer="0" w:header="0"/>
        </w:sectPr>
      </w:pPr>
    </w:p>
    <w:bookmarkStart w:id="302" w:name="page303"/>
    <w:bookmarkEnd w:id="30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14"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70"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Withholding on Foreign Entities</w:t>
      </w:r>
    </w:p>
    <w:p>
      <w:pPr>
        <w:spacing w:after="0" w:line="214" w:lineRule="exact"/>
        <w:rPr>
          <w:sz w:val="20"/>
          <w:szCs w:val="20"/>
          <w:color w:val="auto"/>
        </w:rPr>
      </w:pPr>
    </w:p>
    <w:p>
      <w:pPr>
        <w:ind w:left="460" w:right="40" w:firstLine="413"/>
        <w:spacing w:after="0" w:line="287" w:lineRule="auto"/>
        <w:rPr>
          <w:sz w:val="20"/>
          <w:szCs w:val="20"/>
          <w:color w:val="auto"/>
        </w:rPr>
      </w:pPr>
      <w:r>
        <w:rPr>
          <w:rFonts w:ascii="Arial" w:cs="Arial" w:eastAsia="Arial" w:hAnsi="Arial"/>
          <w:sz w:val="15"/>
          <w:szCs w:val="15"/>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generally may rely on the proposed Treasury Regulations until final regulations are issued.</w:t>
      </w:r>
    </w:p>
    <w:p>
      <w:pPr>
        <w:spacing w:after="0" w:line="159" w:lineRule="exact"/>
        <w:rPr>
          <w:sz w:val="20"/>
          <w:szCs w:val="20"/>
          <w:color w:val="auto"/>
        </w:rPr>
      </w:pPr>
    </w:p>
    <w:p>
      <w:pPr>
        <w:ind w:left="460" w:right="640" w:firstLine="413"/>
        <w:spacing w:after="0" w:line="272"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this legislation on their investment in our common stock.</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293</w:t>
      </w:r>
    </w:p>
    <w:p>
      <w:pPr>
        <w:sectPr>
          <w:pgSz w:w="11900" w:h="16838" w:orient="portrait"/>
          <w:cols w:equalWidth="0" w:num="1">
            <w:col w:w="10780"/>
          </w:cols>
          <w:pgMar w:left="320" w:top="440" w:right="79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UNDERWRITING</w:t>
      </w:r>
    </w:p>
    <w:p>
      <w:pPr>
        <w:spacing w:after="0" w:line="214"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93" w:lineRule="exact"/>
        <w:rPr>
          <w:sz w:val="20"/>
          <w:szCs w:val="20"/>
          <w:color w:val="auto"/>
        </w:rPr>
      </w:pPr>
    </w:p>
    <w:p>
      <w:pPr>
        <w:ind w:left="4360"/>
        <w:spacing w:after="0"/>
        <w:tabs>
          <w:tab w:leader="none" w:pos="7960" w:val="left"/>
        </w:tabs>
        <w:rPr>
          <w:sz w:val="20"/>
          <w:szCs w:val="20"/>
          <w:color w:val="auto"/>
        </w:rPr>
      </w:pPr>
      <w:r>
        <w:rPr>
          <w:rFonts w:ascii="Arial" w:cs="Arial" w:eastAsia="Arial" w:hAnsi="Arial"/>
          <w:sz w:val="13"/>
          <w:szCs w:val="13"/>
          <w:b w:val="1"/>
          <w:bCs w:val="1"/>
          <w:u w:val="single" w:color="auto"/>
          <w:color w:val="auto"/>
        </w:rPr>
        <w:t>Underwriters</w:t>
      </w:r>
      <w:r>
        <w:rPr>
          <w:sz w:val="20"/>
          <w:szCs w:val="20"/>
          <w:color w:val="auto"/>
        </w:rPr>
        <w:tab/>
      </w:r>
      <w:r>
        <w:rPr>
          <w:rFonts w:ascii="Arial" w:cs="Arial" w:eastAsia="Arial" w:hAnsi="Arial"/>
          <w:sz w:val="13"/>
          <w:szCs w:val="13"/>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14605</wp:posOffset>
            </wp:positionV>
            <wp:extent cx="4455160" cy="13652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455160" cy="136525"/>
                    </a:xfrm>
                    <a:prstGeom prst="rect">
                      <a:avLst/>
                    </a:prstGeom>
                    <a:noFill/>
                  </pic:spPr>
                </pic:pic>
              </a:graphicData>
            </a:graphic>
          </wp:anchor>
        </w:drawing>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Goldman Sachs &amp; Co. LLC</w:t>
      </w:r>
    </w:p>
    <w:p>
      <w:pPr>
        <w:spacing w:after="0" w:line="6"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J.P. Morgan Securities LLC</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-123190</wp:posOffset>
            </wp:positionV>
            <wp:extent cx="4455160" cy="1289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7"/>
          <w:szCs w:val="17"/>
          <w:color w:val="auto"/>
        </w:rPr>
        <w:t>Barclays Capital Inc.</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-123190</wp:posOffset>
            </wp:positionV>
            <wp:extent cx="4455160" cy="1289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7"/>
          <w:szCs w:val="17"/>
          <w:color w:val="auto"/>
        </w:rPr>
        <w:t>Robert W. Baird &amp; Co. Incorporated</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Citizens 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-123190</wp:posOffset>
            </wp:positionV>
            <wp:extent cx="4455160" cy="1289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7"/>
          <w:szCs w:val="17"/>
          <w:color w:val="auto"/>
        </w:rPr>
        <w:t>LionTree Advisors LLC</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-123190</wp:posOffset>
            </wp:positionV>
            <wp:extent cx="4455160" cy="1289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7"/>
          <w:szCs w:val="17"/>
          <w:color w:val="auto"/>
        </w:rPr>
        <w:t>Piper Sandler &amp; Co.</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SoFi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-123190</wp:posOffset>
            </wp:positionV>
            <wp:extent cx="4455160" cy="1289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7"/>
          <w:szCs w:val="17"/>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5080</wp:posOffset>
            </wp:positionV>
            <wp:extent cx="7239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-115570</wp:posOffset>
            </wp:positionV>
            <wp:extent cx="4455160" cy="153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455160" cy="153035"/>
                    </a:xfrm>
                    <a:prstGeom prst="rect">
                      <a:avLst/>
                    </a:prstGeom>
                    <a:noFill/>
                  </pic:spPr>
                </pic:pic>
              </a:graphicData>
            </a:graphic>
          </wp:anchor>
        </w:drawing>
      </w:r>
    </w:p>
    <w:p>
      <w:pPr>
        <w:spacing w:after="0" w:line="240"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65" w:lineRule="exact"/>
        <w:rPr>
          <w:sz w:val="20"/>
          <w:szCs w:val="20"/>
          <w:color w:val="auto"/>
        </w:rPr>
      </w:pPr>
    </w:p>
    <w:p>
      <w:pPr>
        <w:ind w:left="460" w:right="80" w:firstLine="413"/>
        <w:spacing w:after="0" w:line="284" w:lineRule="auto"/>
        <w:rPr>
          <w:sz w:val="20"/>
          <w:szCs w:val="20"/>
          <w:color w:val="auto"/>
        </w:rPr>
      </w:pPr>
      <w:r>
        <w:rPr>
          <w:rFonts w:ascii="Arial" w:cs="Arial" w:eastAsia="Arial" w:hAnsi="Arial"/>
          <w:sz w:val="16"/>
          <w:szCs w:val="16"/>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and the selling</w:t>
      </w:r>
    </w:p>
    <w:p>
      <w:pPr>
        <w:spacing w:after="0" w:line="42" w:lineRule="exact"/>
        <w:rPr>
          <w:sz w:val="20"/>
          <w:szCs w:val="20"/>
          <w:color w:val="auto"/>
        </w:rPr>
      </w:pPr>
    </w:p>
    <w:p>
      <w:pPr>
        <w:ind w:left="460" w:right="80"/>
        <w:spacing w:after="0" w:line="257" w:lineRule="auto"/>
        <w:rPr>
          <w:sz w:val="20"/>
          <w:szCs w:val="20"/>
          <w:color w:val="auto"/>
        </w:rPr>
      </w:pPr>
      <w:r>
        <w:rPr>
          <w:rFonts w:ascii="Arial" w:cs="Arial" w:eastAsia="Arial" w:hAnsi="Arial"/>
          <w:sz w:val="17"/>
          <w:szCs w:val="17"/>
          <w:color w:val="auto"/>
        </w:rPr>
        <w:t>stockholders. Such amounts are shown assuming both no exercise and full exercise of the underwriters’ option to purchase additional shares from us.</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b w:val="1"/>
          <w:bCs w:val="1"/>
          <w:u w:val="single" w:color="auto"/>
          <w:color w:val="auto"/>
        </w:rPr>
        <w:t>Paid by Us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27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w w:val="88"/>
              </w:rPr>
              <w:t>No Exercise</w:t>
            </w:r>
          </w:p>
        </w:tc>
        <w:tc>
          <w:tcPr>
            <w:tcW w:w="6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7"/>
              </w:rPr>
              <w:t>Full Exercise</w:t>
            </w:r>
          </w:p>
        </w:tc>
      </w:tr>
      <w:tr>
        <w:trPr>
          <w:trHeight w:val="195"/>
        </w:trPr>
        <w:tc>
          <w:tcPr>
            <w:tcW w:w="2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Per Share</w:t>
            </w:r>
          </w:p>
        </w:tc>
        <w:tc>
          <w:tcPr>
            <w:tcW w:w="2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r>
      <w:tr>
        <w:trPr>
          <w:trHeight w:val="214"/>
        </w:trPr>
        <w:tc>
          <w:tcPr>
            <w:tcW w:w="2760" w:type="dxa"/>
            <w:vAlign w:val="bottom"/>
          </w:tcPr>
          <w:p>
            <w:pPr>
              <w:spacing w:after="0"/>
              <w:rPr>
                <w:sz w:val="20"/>
                <w:szCs w:val="20"/>
                <w:color w:val="auto"/>
              </w:rPr>
            </w:pPr>
            <w:r>
              <w:rPr>
                <w:rFonts w:ascii="Arial" w:cs="Arial" w:eastAsia="Arial" w:hAnsi="Arial"/>
                <w:sz w:val="17"/>
                <w:szCs w:val="17"/>
                <w:color w:val="auto"/>
              </w:rPr>
              <w:t>Total</w:t>
            </w:r>
          </w:p>
        </w:tc>
        <w:tc>
          <w:tcPr>
            <w:tcW w:w="3620" w:type="dxa"/>
            <w:vAlign w:val="bottom"/>
            <w:gridSpan w:val="3"/>
          </w:tcPr>
          <w:p>
            <w:pPr>
              <w:ind w:left="2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355"/>
        </w:trPr>
        <w:tc>
          <w:tcPr>
            <w:tcW w:w="2760" w:type="dxa"/>
            <w:vAlign w:val="bottom"/>
          </w:tcPr>
          <w:p>
            <w:pPr>
              <w:spacing w:after="0"/>
              <w:rPr>
                <w:sz w:val="24"/>
                <w:szCs w:val="24"/>
                <w:color w:val="auto"/>
              </w:rPr>
            </w:pPr>
          </w:p>
        </w:tc>
        <w:tc>
          <w:tcPr>
            <w:tcW w:w="3620" w:type="dxa"/>
            <w:vAlign w:val="bottom"/>
            <w:gridSpan w:val="3"/>
          </w:tcPr>
          <w:p>
            <w:pPr>
              <w:spacing w:after="0"/>
              <w:rPr>
                <w:sz w:val="20"/>
                <w:szCs w:val="20"/>
                <w:color w:val="auto"/>
              </w:rPr>
            </w:pPr>
            <w:r>
              <w:rPr>
                <w:rFonts w:ascii="Arial" w:cs="Arial" w:eastAsia="Arial" w:hAnsi="Arial"/>
                <w:sz w:val="17"/>
                <w:szCs w:val="17"/>
                <w:b w:val="1"/>
                <w:bCs w:val="1"/>
                <w:color w:val="auto"/>
              </w:rPr>
              <w:t>Paid by the Selling Stockholders</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27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w w:val="88"/>
              </w:rPr>
              <w:t>No Exercise</w:t>
            </w:r>
          </w:p>
        </w:tc>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7"/>
              </w:rPr>
              <w:t>Full Exercise</w:t>
            </w:r>
          </w:p>
        </w:tc>
      </w:tr>
      <w:tr>
        <w:trPr>
          <w:trHeight w:val="195"/>
        </w:trPr>
        <w:tc>
          <w:tcPr>
            <w:tcW w:w="2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Per Share</w:t>
            </w:r>
          </w:p>
        </w:tc>
        <w:tc>
          <w:tcPr>
            <w:tcW w:w="2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r>
      <w:tr>
        <w:trPr>
          <w:trHeight w:val="214"/>
        </w:trPr>
        <w:tc>
          <w:tcPr>
            <w:tcW w:w="2760" w:type="dxa"/>
            <w:vAlign w:val="bottom"/>
          </w:tcPr>
          <w:p>
            <w:pPr>
              <w:spacing w:after="0"/>
              <w:rPr>
                <w:sz w:val="20"/>
                <w:szCs w:val="20"/>
                <w:color w:val="auto"/>
              </w:rPr>
            </w:pPr>
            <w:r>
              <w:rPr>
                <w:rFonts w:ascii="Arial" w:cs="Arial" w:eastAsia="Arial" w:hAnsi="Arial"/>
                <w:sz w:val="17"/>
                <w:szCs w:val="17"/>
                <w:color w:val="auto"/>
              </w:rPr>
              <w:t>Total</w:t>
            </w:r>
          </w:p>
        </w:tc>
        <w:tc>
          <w:tcPr>
            <w:tcW w:w="3620" w:type="dxa"/>
            <w:vAlign w:val="bottom"/>
            <w:gridSpan w:val="3"/>
          </w:tcPr>
          <w:p>
            <w:pPr>
              <w:ind w:left="2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bl>
    <w:p>
      <w:pPr>
        <w:spacing w:after="0" w:line="1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 prospectus.</w:t>
      </w:r>
    </w:p>
    <w:p>
      <w:pPr>
        <w:spacing w:after="0" w:line="42" w:lineRule="exact"/>
        <w:rPr>
          <w:sz w:val="20"/>
          <w:szCs w:val="20"/>
          <w:color w:val="auto"/>
        </w:rPr>
      </w:pPr>
    </w:p>
    <w:p>
      <w:pPr>
        <w:jc w:val="both"/>
        <w:ind w:left="460" w:right="160"/>
        <w:spacing w:after="0" w:line="276" w:lineRule="auto"/>
        <w:rPr>
          <w:sz w:val="20"/>
          <w:szCs w:val="20"/>
          <w:color w:val="auto"/>
        </w:rPr>
      </w:pPr>
      <w:r>
        <w:rPr>
          <w:rFonts w:ascii="Arial" w:cs="Arial" w:eastAsia="Arial" w:hAnsi="Arial"/>
          <w:sz w:val="16"/>
          <w:szCs w:val="16"/>
          <w:color w:val="auto"/>
        </w:rPr>
        <w:t>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294</w:t>
      </w:r>
    </w:p>
    <w:p>
      <w:pPr>
        <w:sectPr>
          <w:pgSz w:w="11900" w:h="16838" w:orient="portrait"/>
          <w:cols w:equalWidth="0" w:num="1">
            <w:col w:w="10720"/>
          </w:cols>
          <w:pgMar w:left="320" w:top="440" w:right="85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400" w:firstLine="413"/>
        <w:spacing w:after="0" w:line="290" w:lineRule="auto"/>
        <w:rPr>
          <w:sz w:val="20"/>
          <w:szCs w:val="20"/>
          <w:color w:val="auto"/>
        </w:rPr>
      </w:pPr>
      <w:r>
        <w:rPr>
          <w:rFonts w:ascii="Arial" w:cs="Arial" w:eastAsia="Arial" w:hAnsi="Arial"/>
          <w:sz w:val="15"/>
          <w:szCs w:val="15"/>
          <w:color w:val="auto"/>
        </w:rPr>
        <w:t>We and our officers, directors, and holders of substantially all of our common stock, including the selling stockholders, have agreed with the underwriters, subject to certain exceptions, not to dispose of or hedge any of their common stock or securities convertible into or exchangeable for</w:t>
      </w:r>
    </w:p>
    <w:p>
      <w:pPr>
        <w:jc w:val="both"/>
        <w:ind w:left="460" w:right="120"/>
        <w:spacing w:after="0" w:line="253" w:lineRule="auto"/>
        <w:rPr>
          <w:sz w:val="20"/>
          <w:szCs w:val="20"/>
          <w:color w:val="auto"/>
        </w:rPr>
      </w:pPr>
      <w:r>
        <w:rPr>
          <w:rFonts w:ascii="Arial" w:cs="Arial" w:eastAsia="Arial" w:hAnsi="Arial"/>
          <w:sz w:val="17"/>
          <w:szCs w:val="17"/>
          <w:color w:val="auto"/>
        </w:rPr>
        <w:t>shares of common stock during the period from the date of this prospectus continuing through the date days after the date of this prospectus, except with the prior written consent of Goldman Sachs &amp; Co. LLC. See the section titled “Shares Eligible for Future Sale” for a discussion of certain transfer restrictions.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restrictions described in the immediately preceding paragraph do not apply to certain transfers, dispositions, or transactions, including</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p>
    <w:p>
      <w:pPr>
        <w:spacing w:after="0" w:line="97"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Prior to the offering, there has been no public market for the shares of common stock. The initial public offering price has been negotiated among us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applied to list our common stock on Nasdaq under the symbol “CART.”</w:t>
      </w:r>
    </w:p>
    <w:p>
      <w:pPr>
        <w:spacing w:after="0" w:line="210"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6"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year-over-year or short covering transactions.</w:t>
      </w:r>
    </w:p>
    <w:p>
      <w:pPr>
        <w:spacing w:after="0" w:line="175" w:lineRule="exact"/>
        <w:rPr>
          <w:sz w:val="20"/>
          <w:szCs w:val="20"/>
          <w:color w:val="auto"/>
        </w:rPr>
      </w:pPr>
    </w:p>
    <w:p>
      <w:pPr>
        <w:ind w:left="460" w:right="120" w:firstLine="413"/>
        <w:spacing w:after="0" w:line="274"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We and the selling stockholders estimate that the total expenses of the offering, excluding underwriting discounts and commissions, will be</w:t>
      </w:r>
    </w:p>
    <w:p>
      <w:pPr>
        <w:spacing w:after="0" w:line="30" w:lineRule="exact"/>
        <w:rPr>
          <w:sz w:val="20"/>
          <w:szCs w:val="20"/>
          <w:color w:val="auto"/>
        </w:rPr>
      </w:pPr>
    </w:p>
    <w:p>
      <w:pPr>
        <w:ind w:left="460" w:right="60"/>
        <w:spacing w:after="0" w:line="257" w:lineRule="auto"/>
        <w:rPr>
          <w:sz w:val="20"/>
          <w:szCs w:val="20"/>
          <w:color w:val="auto"/>
        </w:rPr>
      </w:pPr>
      <w:r>
        <w:rPr>
          <w:rFonts w:ascii="Arial" w:cs="Arial" w:eastAsia="Arial" w:hAnsi="Arial"/>
          <w:sz w:val="17"/>
          <w:szCs w:val="17"/>
          <w:color w:val="auto"/>
        </w:rPr>
        <w:t>approximately $ . We have agreed to reimburse the underwriters for certain of their expenses relating to the clearance of this offering with the Financial Industry Regulatory Authority in an amount up to $ .</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295</w:t>
      </w:r>
    </w:p>
    <w:p>
      <w:pPr>
        <w:sectPr>
          <w:pgSz w:w="11900" w:h="16838" w:orient="portrait"/>
          <w:cols w:equalWidth="0" w:num="1">
            <w:col w:w="10760"/>
          </w:cols>
          <w:pgMar w:left="320" w:top="440" w:right="81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580" w:firstLine="413"/>
        <w:spacing w:after="0" w:line="272" w:lineRule="auto"/>
        <w:rPr>
          <w:sz w:val="20"/>
          <w:szCs w:val="20"/>
          <w:color w:val="auto"/>
        </w:rPr>
      </w:pPr>
      <w:r>
        <w:rPr>
          <w:rFonts w:ascii="Arial" w:cs="Arial" w:eastAsia="Arial" w:hAnsi="Arial"/>
          <w:sz w:val="17"/>
          <w:szCs w:val="17"/>
          <w:color w:val="auto"/>
        </w:rPr>
        <w:t>We and the selling stockholders have agreed to indemnify the several underwriters against certain liabilities, including liabilities under the Securities Act of 1933, as amended.</w:t>
      </w:r>
    </w:p>
    <w:p>
      <w:pPr>
        <w:spacing w:after="0" w:line="165"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1" w:lineRule="exact"/>
        <w:rPr>
          <w:sz w:val="20"/>
          <w:szCs w:val="20"/>
          <w:color w:val="auto"/>
        </w:rPr>
      </w:pPr>
    </w:p>
    <w:p>
      <w:pPr>
        <w:ind w:left="460" w:right="80" w:firstLine="413"/>
        <w:spacing w:after="0" w:line="291"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European Economic Area</w:t>
      </w:r>
    </w:p>
    <w:p>
      <w:pPr>
        <w:spacing w:after="0" w:line="214"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In relation to each European Economic Area Member State, or each a Relevant Member State, no shares of common stock have been offered or will be offered pursuant to the offering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of common stock may be offered to the public in that Relevant Member State at any time:</w:t>
      </w:r>
    </w:p>
    <w:p>
      <w:pPr>
        <w:spacing w:after="0" w:line="77" w:lineRule="exact"/>
        <w:rPr>
          <w:sz w:val="20"/>
          <w:szCs w:val="20"/>
          <w:color w:val="auto"/>
        </w:rPr>
      </w:pPr>
    </w:p>
    <w:p>
      <w:pPr>
        <w:ind w:left="1360" w:hanging="396"/>
        <w:spacing w:after="0"/>
        <w:tabs>
          <w:tab w:leader="none" w:pos="13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121" w:lineRule="exact"/>
        <w:rPr>
          <w:rFonts w:ascii="Arial" w:cs="Arial" w:eastAsia="Arial" w:hAnsi="Arial"/>
          <w:sz w:val="17"/>
          <w:szCs w:val="17"/>
          <w:color w:val="auto"/>
        </w:rPr>
      </w:pPr>
    </w:p>
    <w:p>
      <w:pPr>
        <w:ind w:left="1360" w:hanging="396"/>
        <w:spacing w:after="0" w:line="272" w:lineRule="auto"/>
        <w:tabs>
          <w:tab w:leader="none" w:pos="13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joint book-running managers for any such offer; or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210"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provided that no such offer of the shares of common stock shall require the Company or any underwriter to publish a prospectus pursuant to Article 3 of the Prospectus Regulation or supplement a prospectus pursuant to Article 23 of the Prospectus Regulation.</w:t>
      </w:r>
    </w:p>
    <w:p>
      <w:pPr>
        <w:spacing w:after="0" w:line="165"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of common stock in any Relevant Member State means the communication in any form and by any means of sufficient information on the terms of the offer and any shares of common stock to be offered so as to enable an investor to decide to purchase any shares of common stock, and the expression “Prospectus Regulation” means Regulation (EU) 2017/1129.</w:t>
      </w:r>
    </w:p>
    <w:p>
      <w:pPr>
        <w:spacing w:after="0" w:line="179" w:lineRule="exact"/>
        <w:rPr>
          <w:sz w:val="20"/>
          <w:szCs w:val="20"/>
          <w:color w:val="auto"/>
        </w:rPr>
      </w:pPr>
    </w:p>
    <w:p>
      <w:pPr>
        <w:jc w:val="both"/>
        <w:ind w:left="460" w:right="100" w:firstLine="413"/>
        <w:spacing w:after="0" w:line="260"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shares of common stock under, the offering contemplated hereby will be deemed to have represented, warranted, and agreed to and with each of the underwriters and their affiliates and us that:</w:t>
      </w:r>
    </w:p>
    <w:p>
      <w:pPr>
        <w:spacing w:after="0" w:line="87" w:lineRule="exact"/>
        <w:rPr>
          <w:sz w:val="20"/>
          <w:szCs w:val="20"/>
          <w:color w:val="auto"/>
        </w:rPr>
      </w:pPr>
    </w:p>
    <w:p>
      <w:pPr>
        <w:ind w:left="5500" w:right="4160" w:hanging="4536"/>
        <w:spacing w:after="0" w:line="485" w:lineRule="auto"/>
        <w:tabs>
          <w:tab w:leader="none" w:pos="137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it is a qualified investor within the meaning of the Prospectus Regulation; and 296</w:t>
      </w:r>
    </w:p>
    <w:p>
      <w:pPr>
        <w:sectPr>
          <w:pgSz w:w="11900" w:h="16838" w:orient="portrait"/>
          <w:cols w:equalWidth="0" w:num="1">
            <w:col w:w="10780"/>
          </w:cols>
          <w:pgMar w:left="320" w:top="440" w:right="79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1360" w:hanging="396"/>
        <w:spacing w:after="0" w:line="285" w:lineRule="auto"/>
        <w:tabs>
          <w:tab w:leader="none" w:pos="136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in the case of any shares of common stock acquired by it as a financial intermediary, as that term is used in Article 5 of the Prospectus Regulation, (i) the shares of common stock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book-running managers has been given to the offer or resale; or</w:t>
      </w:r>
    </w:p>
    <w:p>
      <w:pPr>
        <w:ind w:left="1360" w:right="260"/>
        <w:spacing w:after="0" w:line="253" w:lineRule="auto"/>
        <w:rPr>
          <w:rFonts w:ascii="Arial" w:cs="Arial" w:eastAsia="Arial" w:hAnsi="Arial"/>
          <w:sz w:val="15"/>
          <w:szCs w:val="15"/>
          <w:color w:val="auto"/>
        </w:rPr>
      </w:pPr>
      <w:r>
        <w:rPr>
          <w:rFonts w:ascii="Arial" w:cs="Arial" w:eastAsia="Arial" w:hAnsi="Arial"/>
          <w:sz w:val="17"/>
          <w:szCs w:val="17"/>
          <w:color w:val="auto"/>
        </w:rPr>
        <w:t>(ii) where the shares of common stock have been acquired by it on behalf of persons in any Relevant Member State other than qualified investors, the offer of those shares of common stock to it is not treated under the Prospectus Regulation as having been made to such persons.</w:t>
      </w:r>
    </w:p>
    <w:p>
      <w:pPr>
        <w:spacing w:after="0" w:line="181"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We, the underwriters and their affiliates, and others will rely upon the truth and accuracy of the foregoing representation, acknowledgement, and agreement. Notwithstanding the above, a person who is not a qualified investor and who has notified the joint book-running managers of such fact in writing may, with the prior consent of the joint book-running managers, be permitted to acquire shares of common stock in the offering.</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European Economic Area selling restriction is in addition to any other selling restrictions set out below.</w:t>
      </w: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United Kingdom</w:t>
      </w:r>
    </w:p>
    <w:p>
      <w:pPr>
        <w:spacing w:after="0" w:line="214"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w:t>
      </w:r>
    </w:p>
    <w:p>
      <w:pPr>
        <w:spacing w:after="0" w:line="75" w:lineRule="exact"/>
        <w:rPr>
          <w:sz w:val="20"/>
          <w:szCs w:val="20"/>
          <w:color w:val="auto"/>
        </w:rPr>
      </w:pPr>
    </w:p>
    <w:p>
      <w:pPr>
        <w:ind w:left="1360" w:hanging="396"/>
        <w:spacing w:after="0"/>
        <w:tabs>
          <w:tab w:leader="none" w:pos="13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21" w:lineRule="exact"/>
        <w:rPr>
          <w:rFonts w:ascii="Arial" w:cs="Arial" w:eastAsia="Arial" w:hAnsi="Arial"/>
          <w:sz w:val="17"/>
          <w:szCs w:val="17"/>
          <w:color w:val="auto"/>
        </w:rPr>
      </w:pPr>
    </w:p>
    <w:p>
      <w:pPr>
        <w:ind w:left="1360" w:right="500" w:hanging="396"/>
        <w:spacing w:after="0" w:line="272" w:lineRule="auto"/>
        <w:tabs>
          <w:tab w:leader="none" w:pos="13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Financial Services and Markets Act 2000, as amended, or the FSMA;</w:t>
      </w:r>
    </w:p>
    <w:p>
      <w:pPr>
        <w:spacing w:after="0" w:line="221" w:lineRule="exact"/>
        <w:rPr>
          <w:sz w:val="20"/>
          <w:szCs w:val="20"/>
          <w:color w:val="auto"/>
        </w:rPr>
      </w:pPr>
    </w:p>
    <w:p>
      <w:pPr>
        <w:ind w:left="460" w:right="500"/>
        <w:spacing w:after="0" w:line="272" w:lineRule="auto"/>
        <w:rPr>
          <w:sz w:val="20"/>
          <w:szCs w:val="20"/>
          <w:color w:val="auto"/>
        </w:rPr>
      </w:pPr>
      <w:r>
        <w:rPr>
          <w:rFonts w:ascii="Arial" w:cs="Arial" w:eastAsia="Arial" w:hAnsi="Arial"/>
          <w:sz w:val="17"/>
          <w:szCs w:val="17"/>
          <w:color w:val="auto"/>
        </w:rPr>
        <w:t>provided that no such offer of the shares shall require the issuer or any underwriter to publish a prospectus pursuant to section 85 of the FSMA or supplement a prospectus pursuant to Article 23 of the UK Prospectus Regulation.</w:t>
      </w:r>
    </w:p>
    <w:p>
      <w:pPr>
        <w:spacing w:after="0" w:line="165"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or the Order; (ii) high net worth entities or other persons falling within Article 49(2)(a) to (d) of the Order; or (iii) persons to whom it may otherwise lawfully be communicated, or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4" w:lineRule="exact"/>
        <w:rPr>
          <w:sz w:val="20"/>
          <w:szCs w:val="20"/>
          <w:color w:val="auto"/>
        </w:rPr>
      </w:pPr>
    </w:p>
    <w:p>
      <w:pPr>
        <w:ind w:left="460" w:right="1040" w:firstLine="413"/>
        <w:spacing w:after="0" w:line="272"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297</w:t>
      </w:r>
    </w:p>
    <w:p>
      <w:pPr>
        <w:sectPr>
          <w:pgSz w:w="11900" w:h="16838" w:orient="portrait"/>
          <w:cols w:equalWidth="0" w:num="1">
            <w:col w:w="10780"/>
          </w:cols>
          <w:pgMar w:left="320" w:top="440" w:right="799" w:bottom="1440" w:gutter="0" w:footer="0" w:header="0"/>
        </w:sectPr>
      </w:pPr>
    </w:p>
    <w:bookmarkStart w:id="307" w:name="page308"/>
    <w:bookmarkEnd w:id="30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340" w:lineRule="auto"/>
        <w:rPr>
          <w:sz w:val="20"/>
          <w:szCs w:val="20"/>
          <w:color w:val="auto"/>
        </w:rPr>
      </w:pPr>
      <w:r>
        <w:rPr>
          <w:rFonts w:ascii="Arial" w:cs="Arial" w:eastAsia="Arial" w:hAnsi="Arial"/>
          <w:sz w:val="15"/>
          <w:szCs w:val="15"/>
          <w:color w:val="auto"/>
        </w:rPr>
        <w:t>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w:t>
      </w:r>
    </w:p>
    <w:p>
      <w:pPr>
        <w:spacing w:after="0" w:line="119" w:lineRule="exact"/>
        <w:rPr>
          <w:sz w:val="20"/>
          <w:szCs w:val="20"/>
          <w:color w:val="auto"/>
        </w:rPr>
      </w:pPr>
    </w:p>
    <w:p>
      <w:pPr>
        <w:ind w:left="460" w:right="160" w:firstLine="413"/>
        <w:spacing w:after="0" w:line="303" w:lineRule="auto"/>
        <w:rPr>
          <w:sz w:val="20"/>
          <w:szCs w:val="20"/>
          <w:color w:val="auto"/>
        </w:rPr>
      </w:pPr>
      <w:r>
        <w:rPr>
          <w:rFonts w:ascii="Arial" w:cs="Arial" w:eastAsia="Arial" w:hAnsi="Arial"/>
          <w:sz w:val="16"/>
          <w:szCs w:val="16"/>
          <w:color w:val="auto"/>
        </w:rPr>
        <w:t>Each person in the UK who acquires any shares of common stock in the offer or to whom any offer is made will be deemed to have represented, acknowledged, and agreed to and with us, the underwriters, and their affiliates that it meets the criteria outlined in this section.</w:t>
      </w:r>
    </w:p>
    <w:p>
      <w:pPr>
        <w:spacing w:after="0" w:line="34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Canada</w:t>
      </w:r>
    </w:p>
    <w:p>
      <w:pPr>
        <w:spacing w:after="0" w:line="214"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4" w:lineRule="exact"/>
        <w:rPr>
          <w:sz w:val="20"/>
          <w:szCs w:val="20"/>
          <w:color w:val="auto"/>
        </w:rPr>
      </w:pPr>
    </w:p>
    <w:p>
      <w:pPr>
        <w:ind w:left="460" w:right="160" w:firstLine="413"/>
        <w:spacing w:after="0" w:line="30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Hong Kong</w:t>
      </w:r>
    </w:p>
    <w:p>
      <w:pPr>
        <w:spacing w:after="0" w:line="214"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5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Singapore</w:t>
      </w:r>
    </w:p>
    <w:p>
      <w:pPr>
        <w:spacing w:after="0" w:line="214"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298</w:t>
      </w:r>
    </w:p>
    <w:p>
      <w:pPr>
        <w:sectPr>
          <w:pgSz w:w="11900" w:h="16838" w:orient="portrait"/>
          <w:cols w:equalWidth="0" w:num="1">
            <w:col w:w="10760"/>
          </w:cols>
          <w:pgMar w:left="320" w:top="440" w:right="81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120"/>
        <w:spacing w:after="0" w:line="272" w:lineRule="auto"/>
        <w:rPr>
          <w:sz w:val="20"/>
          <w:szCs w:val="20"/>
          <w:color w:val="auto"/>
        </w:rPr>
      </w:pPr>
      <w:r>
        <w:rPr>
          <w:rFonts w:ascii="Arial" w:cs="Arial" w:eastAsia="Arial" w:hAnsi="Arial"/>
          <w:sz w:val="16"/>
          <w:szCs w:val="16"/>
          <w:color w:val="auto"/>
        </w:rPr>
        <w:t>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accredited investor (as defined in Section 4A of the SFA)) whose sole purpose is to hold investments and each beneficiary of the trust is an accredited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investor, the beneficiaries’ rights and interest (howsoever described) in that trust shall not be transferable for six months after that trust has acquired the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under Section 275 of the SFA except: (1) to an institutional investor under Section 274 of the SFA or to a relevant person (as defined in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275(2) of the SFA), (2) where such transfer arises from an offer that is made on terms that such rights or interest are acquired at a consideration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 not less than S$200,000 (or its equivalent in a foreign currency) for each transaction (whether such amount is to be paid for in cash or by exchange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securities or other assets), (3) where no consideration is or will be given for the transfer, (4) where the transfer is by operation of law, (5) as specified in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276(7) of the SFA, or (6) as specified in Regulation 32.</w:t>
      </w:r>
    </w:p>
    <w:p>
      <w:pPr>
        <w:spacing w:after="0" w:line="198"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Singapore SFA Product Classification — In connection with Section 309B of the SFA and the Securities and Futures (Capital Markets Products) Regulations 2018, or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8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Japan</w:t>
      </w:r>
    </w:p>
    <w:p>
      <w:pPr>
        <w:spacing w:after="0" w:line="214"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299</w:t>
      </w:r>
    </w:p>
    <w:p>
      <w:pPr>
        <w:sectPr>
          <w:pgSz w:w="11900" w:h="16838" w:orient="portrait"/>
          <w:cols w:equalWidth="0" w:num="1">
            <w:col w:w="10780"/>
          </w:cols>
          <w:pgMar w:left="320" w:top="440" w:right="799" w:bottom="1440" w:gutter="0" w:footer="0" w:header="0"/>
        </w:sectPr>
      </w:pPr>
    </w:p>
    <w:bookmarkStart w:id="309" w:name="page310"/>
    <w:bookmarkEnd w:id="30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Switzerland</w:t>
      </w:r>
    </w:p>
    <w:p>
      <w:pPr>
        <w:spacing w:after="0" w:line="214"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Neither this document nor any other offering or marketing material relating to the offering, us,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8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Australia</w:t>
      </w:r>
    </w:p>
    <w:p>
      <w:pPr>
        <w:spacing w:after="0" w:line="214" w:lineRule="exact"/>
        <w:rPr>
          <w:sz w:val="20"/>
          <w:szCs w:val="20"/>
          <w:color w:val="auto"/>
        </w:rPr>
      </w:pPr>
    </w:p>
    <w:p>
      <w:pPr>
        <w:ind w:left="460" w:right="200" w:firstLine="413"/>
        <w:spacing w:after="0" w:line="277"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64"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9" w:lineRule="exact"/>
        <w:rPr>
          <w:sz w:val="20"/>
          <w:szCs w:val="20"/>
          <w:color w:val="auto"/>
        </w:rPr>
      </w:pPr>
    </w:p>
    <w:p>
      <w:pPr>
        <w:ind w:left="460" w:right="280" w:firstLine="413"/>
        <w:spacing w:after="0" w:line="301" w:lineRule="auto"/>
        <w:rPr>
          <w:sz w:val="20"/>
          <w:szCs w:val="20"/>
          <w:color w:val="auto"/>
        </w:rPr>
      </w:pPr>
      <w:r>
        <w:rPr>
          <w:rFonts w:ascii="Arial" w:cs="Arial" w:eastAsia="Arial" w:hAnsi="Arial"/>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Dubai International Financial Centre</w:t>
      </w:r>
    </w:p>
    <w:p>
      <w:pPr>
        <w:spacing w:after="0" w:line="214"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300</w:t>
      </w:r>
    </w:p>
    <w:p>
      <w:pPr>
        <w:sectPr>
          <w:pgSz w:w="11900" w:h="16838" w:orient="portrait"/>
          <w:cols w:equalWidth="0" w:num="1">
            <w:col w:w="10760"/>
          </w:cols>
          <w:pgMar w:left="320" w:top="440" w:right="81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our common stock should conduct their own due diligence on such shares. If you do not understand the contents of this prospectus, you should consult an authorized financial advisor.</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301</w:t>
      </w:r>
    </w:p>
    <w:p>
      <w:pPr>
        <w:sectPr>
          <w:pgSz w:w="11900" w:h="16838" w:orient="portrait"/>
          <w:cols w:equalWidth="0" w:num="1">
            <w:col w:w="10660"/>
          </w:cols>
          <w:pgMar w:left="320" w:top="440" w:right="919" w:bottom="1440" w:gutter="0" w:footer="0" w:header="0"/>
        </w:sectPr>
      </w:pPr>
    </w:p>
    <w:bookmarkStart w:id="311" w:name="page312"/>
    <w:bookmarkEnd w:id="3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LEGAL MATTERS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validity of the shares of common stock being offered by this prospectus will be passed upon for us by Cooley LLP, Palo Alto, California.</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Legal matters in connection with this offering will be passed upon for the underwriters by Latham &amp; Watkins LLP, New York, New York.</w:t>
      </w:r>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EXPERTS</w:t>
      </w:r>
    </w:p>
    <w:p>
      <w:pPr>
        <w:spacing w:after="0" w:line="214"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financial statements as of December 31, 2022 and 2021 and for each of the three years in the period ended December 31, 2022 included in this prospectus have been so included in reliance on the report of PricewaterhouseCoopers LLP, an independent registered public accounting firm, given on the authority of said firm as experts in auditing and accounting.</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14"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w:t>
      </w:r>
    </w:p>
    <w:p>
      <w:pPr>
        <w:spacing w:after="0" w:line="210"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www.instacart.com/company, at which, following the closing of this offering,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on our website to be part of this prospectus.</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302</w:t>
      </w:r>
    </w:p>
    <w:p>
      <w:pPr>
        <w:sectPr>
          <w:pgSz w:w="11900" w:h="16838" w:orient="portrait"/>
          <w:cols w:equalWidth="0" w:num="1">
            <w:col w:w="10780"/>
          </w:cols>
          <w:pgMar w:left="320" w:top="440" w:right="799" w:bottom="1440" w:gutter="0" w:footer="0" w:header="0"/>
        </w:sectPr>
      </w:pPr>
    </w:p>
    <w:bookmarkStart w:id="312" w:name="page313"/>
    <w:bookmarkEnd w:id="3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3960" w:type="dxa"/>
            <w:vAlign w:val="bottom"/>
            <w:gridSpan w:val="6"/>
            <w:vMerge w:val="restart"/>
          </w:tcPr>
          <w:p>
            <w:pPr>
              <w:spacing w:after="0"/>
              <w:rPr>
                <w:sz w:val="20"/>
                <w:szCs w:val="20"/>
                <w:color w:val="auto"/>
              </w:rPr>
            </w:pPr>
            <w:r>
              <w:rPr>
                <w:rFonts w:ascii="Arial" w:cs="Arial" w:eastAsia="Arial" w:hAnsi="Arial"/>
                <w:sz w:val="17"/>
                <w:szCs w:val="17"/>
                <w:color w:val="0000EE"/>
                <w:w w:val="90"/>
              </w:rPr>
              <w:t>Report of Independent Registered Public Accounting Firm</w:t>
            </w:r>
          </w:p>
        </w:tc>
        <w:tc>
          <w:tcPr>
            <w:tcW w:w="5940" w:type="dxa"/>
            <w:vAlign w:val="bottom"/>
            <w:gridSpan w:val="3"/>
            <w:vMerge w:val="restart"/>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Page</w:t>
            </w:r>
          </w:p>
        </w:tc>
        <w:tc>
          <w:tcPr>
            <w:tcW w:w="0" w:type="dxa"/>
            <w:vAlign w:val="bottom"/>
          </w:tcPr>
          <w:p>
            <w:pPr>
              <w:spacing w:after="0"/>
              <w:rPr>
                <w:sz w:val="1"/>
                <w:szCs w:val="1"/>
                <w:color w:val="auto"/>
              </w:rPr>
            </w:pPr>
          </w:p>
        </w:tc>
      </w:tr>
      <w:tr>
        <w:trPr>
          <w:trHeight w:val="162"/>
        </w:trPr>
        <w:tc>
          <w:tcPr>
            <w:tcW w:w="3960" w:type="dxa"/>
            <w:vAlign w:val="bottom"/>
            <w:tcBorders>
              <w:bottom w:val="single" w:sz="8" w:color="0000EE"/>
            </w:tcBorders>
            <w:gridSpan w:val="6"/>
            <w:vMerge w:val="continue"/>
          </w:tcPr>
          <w:p>
            <w:pPr>
              <w:spacing w:after="0"/>
              <w:rPr>
                <w:sz w:val="13"/>
                <w:szCs w:val="13"/>
                <w:color w:val="auto"/>
              </w:rPr>
            </w:pPr>
          </w:p>
        </w:tc>
        <w:tc>
          <w:tcPr>
            <w:tcW w:w="5940" w:type="dxa"/>
            <w:vAlign w:val="bottom"/>
            <w:gridSpan w:val="3"/>
            <w:vMerge w:val="continue"/>
          </w:tcPr>
          <w:p>
            <w:pPr>
              <w:spacing w:after="0"/>
              <w:rPr>
                <w:sz w:val="13"/>
                <w:szCs w:val="13"/>
                <w:color w:val="auto"/>
              </w:rPr>
            </w:pPr>
          </w:p>
        </w:tc>
        <w:tc>
          <w:tcPr>
            <w:tcW w:w="3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9900" w:type="dxa"/>
            <w:vAlign w:val="bottom"/>
            <w:gridSpan w:val="9"/>
          </w:tcPr>
          <w:p>
            <w:pPr>
              <w:spacing w:after="0"/>
              <w:rPr>
                <w:sz w:val="20"/>
                <w:szCs w:val="20"/>
                <w:color w:val="auto"/>
              </w:rPr>
            </w:pPr>
            <w:r>
              <w:rPr>
                <w:rFonts w:ascii="Arial" w:cs="Arial" w:eastAsia="Arial" w:hAnsi="Arial"/>
                <w:sz w:val="17"/>
                <w:szCs w:val="17"/>
                <w:color w:val="auto"/>
              </w:rPr>
              <w:t>Consolidated Financial Statements: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1960" w:type="dxa"/>
            <w:vAlign w:val="bottom"/>
            <w:tcBorders>
              <w:bottom w:val="single" w:sz="8" w:color="0000EE"/>
            </w:tcBorders>
          </w:tcPr>
          <w:p>
            <w:pPr>
              <w:spacing w:after="0" w:line="177" w:lineRule="exact"/>
              <w:rPr>
                <w:sz w:val="20"/>
                <w:szCs w:val="20"/>
                <w:color w:val="auto"/>
              </w:rPr>
            </w:pPr>
            <w:r>
              <w:rPr>
                <w:rFonts w:ascii="Arial" w:cs="Arial" w:eastAsia="Arial" w:hAnsi="Arial"/>
                <w:sz w:val="17"/>
                <w:szCs w:val="17"/>
                <w:color w:val="0000EE"/>
                <w:w w:val="86"/>
              </w:rPr>
              <w:t>Consolidated Balance Sheets</w:t>
            </w:r>
          </w:p>
        </w:tc>
        <w:tc>
          <w:tcPr>
            <w:tcW w:w="7600" w:type="dxa"/>
            <w:vAlign w:val="bottom"/>
            <w:gridSpan w:val="7"/>
          </w:tcPr>
          <w:p>
            <w:pPr>
              <w:spacing w:after="0"/>
              <w:rPr>
                <w:sz w:val="15"/>
                <w:szCs w:val="15"/>
                <w:color w:val="auto"/>
              </w:rPr>
            </w:pPr>
          </w:p>
        </w:tc>
        <w:tc>
          <w:tcPr>
            <w:tcW w:w="400" w:type="dxa"/>
            <w:vAlign w:val="bottom"/>
            <w:gridSpan w:val="2"/>
          </w:tcPr>
          <w:p>
            <w:pPr>
              <w:jc w:val="right"/>
              <w:ind w:right="20"/>
              <w:spacing w:after="0" w:line="177"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640" w:type="dxa"/>
            <w:vAlign w:val="bottom"/>
            <w:tcBorders>
              <w:bottom w:val="single" w:sz="8" w:color="0000EE"/>
            </w:tcBorders>
            <w:gridSpan w:val="2"/>
          </w:tcPr>
          <w:p>
            <w:pPr>
              <w:spacing w:after="0" w:line="183" w:lineRule="exact"/>
              <w:rPr>
                <w:sz w:val="20"/>
                <w:szCs w:val="20"/>
                <w:color w:val="auto"/>
              </w:rPr>
            </w:pPr>
            <w:r>
              <w:rPr>
                <w:rFonts w:ascii="Arial" w:cs="Arial" w:eastAsia="Arial" w:hAnsi="Arial"/>
                <w:sz w:val="17"/>
                <w:szCs w:val="17"/>
                <w:color w:val="0000EE"/>
                <w:w w:val="88"/>
              </w:rPr>
              <w:t>Consolidated Statements of Operations</w:t>
            </w:r>
          </w:p>
        </w:tc>
        <w:tc>
          <w:tcPr>
            <w:tcW w:w="6920" w:type="dxa"/>
            <w:vAlign w:val="bottom"/>
            <w:gridSpan w:val="6"/>
          </w:tcPr>
          <w:p>
            <w:pPr>
              <w:spacing w:after="0"/>
              <w:rPr>
                <w:sz w:val="15"/>
                <w:szCs w:val="15"/>
                <w:color w:val="auto"/>
              </w:rPr>
            </w:pP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560" w:type="dxa"/>
            <w:vAlign w:val="bottom"/>
            <w:gridSpan w:val="8"/>
          </w:tcPr>
          <w:p>
            <w:pPr>
              <w:spacing w:after="0" w:line="183" w:lineRule="exact"/>
              <w:rPr>
                <w:sz w:val="20"/>
                <w:szCs w:val="20"/>
                <w:color w:val="auto"/>
              </w:rPr>
            </w:pPr>
            <w:r>
              <w:rPr>
                <w:rFonts w:ascii="Arial" w:cs="Arial" w:eastAsia="Arial" w:hAnsi="Arial"/>
                <w:sz w:val="17"/>
                <w:szCs w:val="17"/>
                <w:color w:val="0000EE"/>
              </w:rPr>
              <w:t>Consolidated Statements of Comprehensive Income (Loss</w:t>
            </w:r>
            <w:r>
              <w:rPr>
                <w:rFonts w:ascii="Arial" w:cs="Arial" w:eastAsia="Arial" w:hAnsi="Arial"/>
                <w:sz w:val="17"/>
                <w:szCs w:val="17"/>
                <w:color w:val="000000"/>
              </w:rPr>
              <w:t>)</w:t>
            </w: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9560" w:type="dxa"/>
            <w:vAlign w:val="bottom"/>
            <w:gridSpan w:val="8"/>
          </w:tcPr>
          <w:p>
            <w:pPr>
              <w:spacing w:after="0" w:line="183" w:lineRule="exact"/>
              <w:rPr>
                <w:sz w:val="20"/>
                <w:szCs w:val="20"/>
                <w:color w:val="auto"/>
              </w:rPr>
            </w:pPr>
            <w:r>
              <w:rPr>
                <w:rFonts w:ascii="Arial" w:cs="Arial" w:eastAsia="Arial" w:hAnsi="Arial"/>
                <w:sz w:val="17"/>
                <w:szCs w:val="17"/>
                <w:color w:val="0000EE"/>
              </w:rPr>
              <w:t>Consolidated Statements of Redeemable Convertible Preferred Stock and Stockholders’ Equity (Deficit</w:t>
            </w:r>
            <w:r>
              <w:rPr>
                <w:rFonts w:ascii="Arial" w:cs="Arial" w:eastAsia="Arial" w:hAnsi="Arial"/>
                <w:sz w:val="17"/>
                <w:szCs w:val="17"/>
                <w:color w:val="000000"/>
              </w:rPr>
              <w:t>)</w:t>
            </w: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980" w:type="dxa"/>
            <w:vAlign w:val="bottom"/>
            <w:tcBorders>
              <w:top w:val="single" w:sz="8" w:color="0000EE"/>
            </w:tcBorders>
            <w:gridSpan w:val="7"/>
          </w:tcPr>
          <w:p>
            <w:pPr>
              <w:spacing w:after="0" w:line="183" w:lineRule="exact"/>
              <w:rPr>
                <w:sz w:val="20"/>
                <w:szCs w:val="20"/>
                <w:color w:val="auto"/>
              </w:rPr>
            </w:pPr>
            <w:r>
              <w:rPr>
                <w:rFonts w:ascii="Arial" w:cs="Arial" w:eastAsia="Arial" w:hAnsi="Arial"/>
                <w:sz w:val="17"/>
                <w:szCs w:val="17"/>
                <w:color w:val="0000EE"/>
              </w:rPr>
              <w:t>Consolidated Statements of Cash Flows</w:t>
            </w:r>
          </w:p>
        </w:tc>
        <w:tc>
          <w:tcPr>
            <w:tcW w:w="2580" w:type="dxa"/>
            <w:vAlign w:val="bottom"/>
          </w:tcPr>
          <w:p>
            <w:pPr>
              <w:spacing w:after="0"/>
              <w:rPr>
                <w:sz w:val="15"/>
                <w:szCs w:val="15"/>
                <w:color w:val="auto"/>
              </w:rPr>
            </w:pP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9560" w:type="dxa"/>
            <w:vAlign w:val="bottom"/>
            <w:gridSpan w:val="8"/>
          </w:tcPr>
          <w:p>
            <w:pPr>
              <w:spacing w:after="0" w:line="183" w:lineRule="exact"/>
              <w:rPr>
                <w:sz w:val="20"/>
                <w:szCs w:val="20"/>
                <w:color w:val="auto"/>
              </w:rPr>
            </w:pPr>
            <w:r>
              <w:rPr>
                <w:rFonts w:ascii="Arial" w:cs="Arial" w:eastAsia="Arial" w:hAnsi="Arial"/>
                <w:sz w:val="17"/>
                <w:szCs w:val="17"/>
                <w:color w:val="0000EE"/>
              </w:rPr>
              <w:t>Notes to Consolidated Financial Statements</w:t>
            </w: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F-14</w:t>
            </w:r>
          </w:p>
        </w:tc>
        <w:tc>
          <w:tcPr>
            <w:tcW w:w="0" w:type="dxa"/>
            <w:vAlign w:val="bottom"/>
          </w:tcPr>
          <w:p>
            <w:pPr>
              <w:spacing w:after="0"/>
              <w:rPr>
                <w:sz w:val="1"/>
                <w:szCs w:val="1"/>
                <w:color w:val="auto"/>
              </w:rPr>
            </w:pPr>
          </w:p>
        </w:tc>
      </w:tr>
      <w:tr>
        <w:trPr>
          <w:trHeight w:val="359"/>
        </w:trPr>
        <w:tc>
          <w:tcPr>
            <w:tcW w:w="340" w:type="dxa"/>
            <w:vAlign w:val="bottom"/>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gridSpan w:val="2"/>
          </w:tcPr>
          <w:p>
            <w:pPr>
              <w:ind w:left="780"/>
              <w:spacing w:after="0"/>
              <w:rPr>
                <w:sz w:val="20"/>
                <w:szCs w:val="20"/>
                <w:color w:val="auto"/>
              </w:rPr>
            </w:pPr>
            <w:r>
              <w:rPr>
                <w:rFonts w:ascii="Arial" w:cs="Arial" w:eastAsia="Arial" w:hAnsi="Arial"/>
                <w:sz w:val="17"/>
                <w:szCs w:val="17"/>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40" w:right="839" w:bottom="1440" w:gutter="0" w:footer="0" w:header="0"/>
        </w:sectPr>
      </w:pPr>
    </w:p>
    <w:bookmarkStart w:id="313" w:name="page314"/>
    <w:bookmarkEnd w:id="3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Board of Directors and Stockholders of Maplebear Inc.</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08"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We have audited the accompanying consolidated balance sheets of Maplebear Inc. DBA Instacart and its subsidiaries (the “Company”) as of December 31, 2022 and 2021, and the related consolidated statements of operations, of comprehensive income (loss), of redeemable convertible preferred stock and stockholders’ equity (deficit)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08" w:lineRule="exact"/>
        <w:rPr>
          <w:sz w:val="20"/>
          <w:szCs w:val="20"/>
          <w:color w:val="auto"/>
        </w:rPr>
      </w:pPr>
    </w:p>
    <w:p>
      <w:pPr>
        <w:ind w:left="460" w:right="300"/>
        <w:spacing w:after="0" w:line="277"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460" w:right="240"/>
        <w:spacing w:after="0" w:line="284"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w:t>
      </w:r>
    </w:p>
    <w:p>
      <w:pPr>
        <w:spacing w:after="0" w:line="157" w:lineRule="exact"/>
        <w:rPr>
          <w:sz w:val="20"/>
          <w:szCs w:val="20"/>
          <w:color w:val="auto"/>
        </w:rPr>
      </w:pPr>
    </w:p>
    <w:p>
      <w:pPr>
        <w:jc w:val="both"/>
        <w:ind w:left="460" w:right="20"/>
        <w:spacing w:after="0" w:line="254"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08" w:lineRule="exact"/>
        <w:rPr>
          <w:sz w:val="20"/>
          <w:szCs w:val="20"/>
          <w:color w:val="auto"/>
        </w:rPr>
      </w:pPr>
    </w:p>
    <w:p>
      <w:pPr>
        <w:ind w:left="460"/>
        <w:spacing w:after="0" w:line="296"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States’ Sales and Indirect Tax Reserves</w:t>
      </w:r>
    </w:p>
    <w:p>
      <w:pPr>
        <w:spacing w:after="0" w:line="108" w:lineRule="exact"/>
        <w:rPr>
          <w:sz w:val="20"/>
          <w:szCs w:val="20"/>
          <w:color w:val="auto"/>
        </w:rPr>
      </w:pPr>
    </w:p>
    <w:p>
      <w:pPr>
        <w:ind w:left="460" w:right="40"/>
        <w:spacing w:after="0" w:line="311" w:lineRule="auto"/>
        <w:rPr>
          <w:sz w:val="20"/>
          <w:szCs w:val="20"/>
          <w:color w:val="auto"/>
        </w:rPr>
      </w:pPr>
      <w:r>
        <w:rPr>
          <w:rFonts w:ascii="Arial" w:cs="Arial" w:eastAsia="Arial" w:hAnsi="Arial"/>
          <w:sz w:val="15"/>
          <w:szCs w:val="15"/>
          <w:color w:val="auto"/>
        </w:rPr>
        <w:t>As discussed in Note 10 to the consolidated financial statements, the states’ sales and indirect tax reserves balance was $69 million as of December 31, 2022. The Company pays applicable state, franchise, and other taxes in states in which the Company conducts business. There is a high degree of complexity involved in the interpretation and application of states’ sales and indirect tax rules to the Company’s activities. Significant</w:t>
      </w:r>
    </w:p>
    <w:p>
      <w:pPr>
        <w:spacing w:after="0" w:line="7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700"/>
          </w:cols>
          <w:pgMar w:left="320" w:top="440" w:right="879" w:bottom="1440" w:gutter="0" w:footer="0" w:header="0"/>
        </w:sectPr>
      </w:pPr>
    </w:p>
    <w:bookmarkStart w:id="314" w:name="page315"/>
    <w:bookmarkEnd w:id="3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judgments are made by management in estimating these reserves, which include assessing the taxability of goods or services transacted using the Company’s technology solution. Management maintains such reserves until the statute of limitations has passed or upon conclusion with the relevant tax authorities, at which point the tax exposure and related interest and penalties are released.</w:t>
      </w:r>
    </w:p>
    <w:p>
      <w:pPr>
        <w:spacing w:after="0" w:line="175" w:lineRule="exact"/>
        <w:rPr>
          <w:sz w:val="20"/>
          <w:szCs w:val="20"/>
          <w:color w:val="auto"/>
        </w:rPr>
      </w:pPr>
    </w:p>
    <w:p>
      <w:pPr>
        <w:ind w:left="460" w:right="120"/>
        <w:spacing w:after="0" w:line="254" w:lineRule="auto"/>
        <w:rPr>
          <w:sz w:val="20"/>
          <w:szCs w:val="20"/>
          <w:color w:val="auto"/>
        </w:rPr>
      </w:pPr>
      <w:r>
        <w:rPr>
          <w:rFonts w:ascii="Arial" w:cs="Arial" w:eastAsia="Arial" w:hAnsi="Arial"/>
          <w:sz w:val="17"/>
          <w:szCs w:val="17"/>
          <w:color w:val="auto"/>
        </w:rPr>
        <w:t>The principal considerations for our determination that performing procedures relating to states’ sales and indirect tax reserves is a critical audit matter are the significant judgment by management when determining the states’ sales and indirect tax reserves, including the taxability of goods or services transacted using the Company’s technology solution. This in turn led to a high degree of auditor judgment, subjectivity, and effort in performing procedures and evaluating audit evidence relating to the states’ sales and indirect tax reserves. In addition, the audit effort involved the use of professionals with specialized skill and knowledge.</w:t>
      </w:r>
    </w:p>
    <w:p>
      <w:pPr>
        <w:spacing w:after="0" w:line="181"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evaluating management’s assessment of the states’ sales and indirect tax rules enacted by the taxing authorities, (ii) obtaining and evaluating tax and legal analyses from third parties, (iii) evaluating the status and results of sales and indirect tax audits by the relevant tax authorities, (iv) testing the information used in the states’ sales and indirect reserve calculations related to the underlying sales activity and tax rates, and (v) evaluating the reasonableness of management’s state sales and indirect tax reserves. Professionals with specialized skill and knowledge were used to assist in the evaluation of management’s assessment of the taxability of the sales of the Company’s or third-party goods or services transacted using the Company’s technology solution.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PricewaterhouseCoopers LLP</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San Francisco, California</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March 17, 2023</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2017.</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760"/>
          </w:cols>
          <w:pgMar w:left="320" w:top="440" w:right="819" w:bottom="1440" w:gutter="0" w:footer="0" w:header="0"/>
        </w:sectPr>
      </w:pPr>
    </w:p>
    <w:bookmarkStart w:id="315" w:name="page316"/>
    <w:bookmarkEnd w:id="3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CONSOLIDATED BALANCE SHEETS</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 and per share amounts)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As of December 31,</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As of June 30,</w:t>
            </w:r>
          </w:p>
        </w:tc>
        <w:tc>
          <w:tcPr>
            <w:tcW w:w="0" w:type="dxa"/>
            <w:vAlign w:val="bottom"/>
          </w:tcPr>
          <w:p>
            <w:pPr>
              <w:spacing w:after="0"/>
              <w:rPr>
                <w:sz w:val="1"/>
                <w:szCs w:val="1"/>
                <w:color w:val="auto"/>
              </w:rPr>
            </w:pPr>
          </w:p>
        </w:tc>
      </w:tr>
      <w:tr>
        <w:trPr>
          <w:trHeight w:val="132"/>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05"/>
              <w:spacing w:after="0" w:line="13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0"/>
              <w:spacing w:after="0" w:line="132" w:lineRule="exact"/>
              <w:rPr>
                <w:sz w:val="20"/>
                <w:szCs w:val="20"/>
                <w:color w:val="auto"/>
              </w:rPr>
            </w:pPr>
            <w:r>
              <w:rPr>
                <w:rFonts w:ascii="Arial" w:cs="Arial" w:eastAsia="Arial" w:hAnsi="Arial"/>
                <w:sz w:val="13"/>
                <w:szCs w:val="13"/>
                <w:b w:val="1"/>
                <w:bCs w:val="1"/>
                <w:color w:val="auto"/>
              </w:rPr>
              <w:t>2022</w:t>
            </w: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25"/>
              <w:spacing w:after="0" w:line="132" w:lineRule="exact"/>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25"/>
              <w:spacing w:after="0" w:line="132" w:lineRule="exact"/>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1,146</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1,505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ind w:left="300"/>
              <w:spacing w:after="0"/>
              <w:rPr>
                <w:sz w:val="20"/>
                <w:szCs w:val="20"/>
                <w:color w:val="auto"/>
              </w:rPr>
            </w:pPr>
            <w:r>
              <w:rPr>
                <w:rFonts w:ascii="Arial" w:cs="Arial" w:eastAsia="Arial" w:hAnsi="Arial"/>
                <w:sz w:val="15"/>
                <w:szCs w:val="15"/>
                <w:color w:val="auto"/>
              </w:rPr>
              <w:t>Short-term marketable securities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348</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209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Accounts receivable, net of allowance of $2, $2, and $3 (unaudited), respectively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ind w:left="300"/>
              <w:spacing w:after="0"/>
              <w:rPr>
                <w:sz w:val="20"/>
                <w:szCs w:val="20"/>
                <w:color w:val="auto"/>
              </w:rPr>
            </w:pPr>
            <w:r>
              <w:rPr>
                <w:rFonts w:ascii="Arial" w:cs="Arial" w:eastAsia="Arial" w:hAnsi="Arial"/>
                <w:sz w:val="15"/>
                <w:szCs w:val="15"/>
                <w:color w:val="auto"/>
              </w:rPr>
              <w:t>Restricted cash and cash equivalents, current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60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2,395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2,740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Long-term marketable securities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Restricted cash and cash equivalents, noncurrent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263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317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 net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Other assets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2,961</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3,669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5"/>
                <w:szCs w:val="15"/>
                <w:b w:val="1"/>
                <w:bCs w:val="1"/>
                <w:color w:val="auto"/>
              </w:rPr>
              <w:t>LIABILITIES, REDEEMABLE CONVERTIBLE PREFERRED STOCK, AND</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60" w:type="dxa"/>
            <w:vAlign w:val="bottom"/>
          </w:tcPr>
          <w:p>
            <w:pPr>
              <w:ind w:left="140"/>
              <w:spacing w:after="0"/>
              <w:rPr>
                <w:sz w:val="20"/>
                <w:szCs w:val="20"/>
                <w:color w:val="auto"/>
              </w:rPr>
            </w:pPr>
            <w:r>
              <w:rPr>
                <w:rFonts w:ascii="Arial" w:cs="Arial" w:eastAsia="Arial" w:hAnsi="Arial"/>
                <w:sz w:val="15"/>
                <w:szCs w:val="15"/>
                <w:b w:val="1"/>
                <w:bCs w:val="1"/>
                <w:color w:val="auto"/>
              </w:rPr>
              <w:t>STOCKHOLDERS’ EQUITY (DEFICIT)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6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60</w:t>
            </w:r>
          </w:p>
        </w:tc>
        <w:tc>
          <w:tcPr>
            <w:tcW w:w="840" w:type="dxa"/>
            <w:vAlign w:val="bottom"/>
            <w:gridSpan w:val="2"/>
          </w:tcPr>
          <w:p>
            <w:pPr>
              <w:jc w:val="right"/>
              <w:ind w:right="64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88</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Accrued and other current liabilities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tcPr>
          <w:p>
            <w:pPr>
              <w:ind w:left="300"/>
              <w:spacing w:after="0"/>
              <w:rPr>
                <w:sz w:val="20"/>
                <w:szCs w:val="20"/>
                <w:color w:val="auto"/>
              </w:rPr>
            </w:pPr>
            <w:r>
              <w:rPr>
                <w:rFonts w:ascii="Arial" w:cs="Arial" w:eastAsia="Arial" w:hAnsi="Arial"/>
                <w:sz w:val="15"/>
                <w:szCs w:val="15"/>
                <w:color w:val="auto"/>
              </w:rPr>
              <w:t>Operating lease liabilities, current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Deferred revenue</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600"/>
              <w:spacing w:after="0"/>
              <w:rPr>
                <w:sz w:val="20"/>
                <w:szCs w:val="20"/>
                <w:color w:val="auto"/>
              </w:rPr>
            </w:pPr>
            <w:r>
              <w:rPr>
                <w:rFonts w:ascii="Arial" w:cs="Arial" w:eastAsia="Arial" w:hAnsi="Arial"/>
                <w:sz w:val="15"/>
                <w:szCs w:val="15"/>
                <w:color w:val="auto"/>
              </w:rPr>
              <w:t>Total current liabilities</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795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noncurrent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5"/>
                <w:szCs w:val="15"/>
                <w:color w:val="auto"/>
              </w:rPr>
              <w:t>Commitments and contingencies (Note 10)</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w w:val="92"/>
              </w:rPr>
              <w:t>Redeemable convertible preferred stock, $0.0001 par value per share; 178,319 shares authorized as of</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1"/>
              </w:rPr>
              <w:t>December 31, 2021 and 2022 and June 30, 2023 (unaudited); 167,302 shares issued and outstanding</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as of December 31, 2021 and 2022 and June 30, 2023 (unaudited); liquidation preference of $2,828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 of December 31, 2021 and 2022 and June 30, 2023 (unaudited)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2,822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2,822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60" w:type="dxa"/>
            <w:vAlign w:val="bottom"/>
          </w:tcPr>
          <w:p>
            <w:pPr>
              <w:spacing w:after="0"/>
              <w:rPr>
                <w:sz w:val="20"/>
                <w:szCs w:val="20"/>
                <w:color w:val="auto"/>
              </w:rPr>
            </w:pPr>
            <w:r>
              <w:rPr>
                <w:rFonts w:ascii="Arial" w:cs="Arial" w:eastAsia="Arial" w:hAnsi="Arial"/>
                <w:sz w:val="15"/>
                <w:szCs w:val="15"/>
                <w:color w:val="auto"/>
              </w:rPr>
              <w:t>Stockholders’ equity (deficit):</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2"/>
              </w:rPr>
              <w:t>Common stock, $0.0001 par value per share; 820,509 shares authorized as of December 31, 2021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460"/>
              <w:spacing w:after="0"/>
              <w:rPr>
                <w:sz w:val="20"/>
                <w:szCs w:val="20"/>
                <w:color w:val="auto"/>
              </w:rPr>
            </w:pPr>
            <w:r>
              <w:rPr>
                <w:rFonts w:ascii="Arial" w:cs="Arial" w:eastAsia="Arial" w:hAnsi="Arial"/>
                <w:sz w:val="15"/>
                <w:szCs w:val="15"/>
                <w:color w:val="auto"/>
                <w:w w:val="99"/>
              </w:rPr>
              <w:t>and 2022 and June 30, 2023 (unaudited); 69,535, 72,230, and 72,376 shares issued and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460"/>
              <w:spacing w:after="0"/>
              <w:rPr>
                <w:sz w:val="20"/>
                <w:szCs w:val="20"/>
                <w:color w:val="auto"/>
              </w:rPr>
            </w:pPr>
            <w:r>
              <w:rPr>
                <w:rFonts w:ascii="Arial" w:cs="Arial" w:eastAsia="Arial" w:hAnsi="Arial"/>
                <w:sz w:val="15"/>
                <w:szCs w:val="15"/>
                <w:color w:val="auto"/>
                <w:w w:val="95"/>
              </w:rPr>
              <w:t>outstanding as of December 31, 2021 and 2022 and June 30, 2023 (unaudited), respectively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360" w:type="dxa"/>
            <w:vAlign w:val="bottom"/>
          </w:tcPr>
          <w:p>
            <w:pPr>
              <w:ind w:left="300"/>
              <w:spacing w:after="0"/>
              <w:rPr>
                <w:sz w:val="20"/>
                <w:szCs w:val="20"/>
                <w:color w:val="auto"/>
              </w:rPr>
            </w:pPr>
            <w:r>
              <w:rPr>
                <w:rFonts w:ascii="Arial" w:cs="Arial" w:eastAsia="Arial" w:hAnsi="Arial"/>
                <w:sz w:val="15"/>
                <w:szCs w:val="15"/>
                <w:color w:val="auto"/>
                <w:w w:val="91"/>
              </w:rPr>
              <w:t>Exchangeable shares, no par value; 702 shares authorized as of December 31, 2021 and 2022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60" w:type="dxa"/>
            <w:vAlign w:val="bottom"/>
          </w:tcPr>
          <w:p>
            <w:pPr>
              <w:ind w:left="460"/>
              <w:spacing w:after="0"/>
              <w:rPr>
                <w:sz w:val="20"/>
                <w:szCs w:val="20"/>
                <w:color w:val="auto"/>
              </w:rPr>
            </w:pPr>
            <w:r>
              <w:rPr>
                <w:rFonts w:ascii="Arial" w:cs="Arial" w:eastAsia="Arial" w:hAnsi="Arial"/>
                <w:sz w:val="15"/>
                <w:szCs w:val="15"/>
                <w:color w:val="auto"/>
                <w:w w:val="95"/>
              </w:rPr>
              <w:t>June 30, 2023 (unaudited); 689 shares issued and outstanding as of December 31, 2021 and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460"/>
              <w:spacing w:after="0"/>
              <w:rPr>
                <w:sz w:val="20"/>
                <w:szCs w:val="20"/>
                <w:color w:val="auto"/>
              </w:rPr>
            </w:pPr>
            <w:r>
              <w:rPr>
                <w:rFonts w:ascii="Arial" w:cs="Arial" w:eastAsia="Arial" w:hAnsi="Arial"/>
                <w:sz w:val="15"/>
                <w:szCs w:val="15"/>
                <w:color w:val="auto"/>
              </w:rPr>
              <w:t>2022 and June 30, 2023 (unaudited)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(1,405)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(977)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600"/>
              <w:spacing w:after="0"/>
              <w:rPr>
                <w:sz w:val="20"/>
                <w:szCs w:val="20"/>
                <w:color w:val="auto"/>
              </w:rPr>
            </w:pPr>
            <w:r>
              <w:rPr>
                <w:rFonts w:ascii="Arial" w:cs="Arial" w:eastAsia="Arial" w:hAnsi="Arial"/>
                <w:sz w:val="15"/>
                <w:szCs w:val="15"/>
                <w:color w:val="auto"/>
              </w:rPr>
              <w:t>Total stockholders’ equity (deficit)</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(573)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shd w:val="clear" w:color="auto" w:fill="CCEEFF"/>
          </w:tcPr>
          <w:p>
            <w:pPr>
              <w:ind w:left="600"/>
              <w:spacing w:after="0"/>
              <w:rPr>
                <w:sz w:val="20"/>
                <w:szCs w:val="20"/>
                <w:color w:val="auto"/>
              </w:rPr>
            </w:pPr>
            <w:r>
              <w:rPr>
                <w:rFonts w:ascii="Arial" w:cs="Arial" w:eastAsia="Arial" w:hAnsi="Arial"/>
                <w:sz w:val="15"/>
                <w:szCs w:val="15"/>
                <w:color w:val="auto"/>
                <w:w w:val="98"/>
              </w:rPr>
              <w:t>Total liabilities, redeemable convertible preferred stock, and stockholders’ equity (deficit)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2,961</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0"/>
              </w:rPr>
              <w:t>3,669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00"/>
          </w:cols>
          <w:pgMar w:left="320" w:top="440" w:right="779" w:bottom="1440" w:gutter="0" w:footer="0" w:header="0"/>
        </w:sectPr>
      </w:pPr>
    </w:p>
    <w:bookmarkStart w:id="316" w:name="page317"/>
    <w:bookmarkEnd w:id="3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 and per share amounts)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9"/>
            <w:vMerge w:val="restart"/>
          </w:tcPr>
          <w:p>
            <w:pPr>
              <w:jc w:val="center"/>
              <w:ind w:right="420"/>
              <w:spacing w:after="0"/>
              <w:rPr>
                <w:sz w:val="20"/>
                <w:szCs w:val="20"/>
                <w:color w:val="auto"/>
              </w:rPr>
            </w:pPr>
            <w:r>
              <w:rPr>
                <w:rFonts w:ascii="Arial" w:cs="Arial" w:eastAsia="Arial" w:hAnsi="Arial"/>
                <w:sz w:val="13"/>
                <w:szCs w:val="13"/>
                <w:b w:val="1"/>
                <w:bCs w:val="1"/>
                <w:color w:val="auto"/>
                <w:w w:val="93"/>
              </w:rPr>
              <w:t>Year Ended December 31,</w:t>
            </w:r>
          </w:p>
        </w:tc>
        <w:tc>
          <w:tcPr>
            <w:tcW w:w="180" w:type="dxa"/>
            <w:vAlign w:val="bottom"/>
          </w:tcPr>
          <w:p>
            <w:pPr>
              <w:spacing w:after="0"/>
              <w:rPr>
                <w:sz w:val="13"/>
                <w:szCs w:val="13"/>
                <w:color w:val="auto"/>
              </w:rPr>
            </w:pPr>
          </w:p>
        </w:tc>
        <w:tc>
          <w:tcPr>
            <w:tcW w:w="184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9"/>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center"/>
              <w:ind w:left="338"/>
              <w:spacing w:after="0"/>
              <w:rPr>
                <w:sz w:val="20"/>
                <w:szCs w:val="20"/>
                <w:color w:val="auto"/>
              </w:rPr>
            </w:pPr>
            <w:r>
              <w:rPr>
                <w:rFonts w:ascii="Arial" w:cs="Arial" w:eastAsia="Arial" w:hAnsi="Arial"/>
                <w:sz w:val="13"/>
                <w:szCs w:val="13"/>
                <w:b w:val="1"/>
                <w:bCs w:val="1"/>
                <w:color w:val="auto"/>
                <w:w w:val="92"/>
              </w:rPr>
              <w:t>June 30,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2"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6"/>
              <w:spacing w:after="0" w:line="13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6"/>
              <w:spacing w:after="0" w:line="132" w:lineRule="exact"/>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8"/>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6"/>
              <w:spacing w:after="0" w:line="132"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jc w:val="center"/>
              <w:ind w:left="338"/>
              <w:spacing w:after="0" w:line="132" w:lineRule="exact"/>
              <w:rPr>
                <w:sz w:val="20"/>
                <w:szCs w:val="20"/>
                <w:color w:val="auto"/>
              </w:rPr>
            </w:pPr>
            <w:r>
              <w:rPr>
                <w:rFonts w:ascii="Arial" w:cs="Arial" w:eastAsia="Arial" w:hAnsi="Arial"/>
                <w:sz w:val="13"/>
                <w:szCs w:val="13"/>
                <w:b w:val="1"/>
                <w:bCs w:val="1"/>
                <w:color w:val="auto"/>
                <w:w w:val="96"/>
              </w:rPr>
              <w:t>(unaudited)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2,551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Cost of revenue</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598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608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720</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1,831</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Operations and support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324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252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194</w:t>
            </w: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368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518</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158</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660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339</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1,769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7"/>
                <w:szCs w:val="17"/>
                <w:color w:val="auto"/>
              </w:rPr>
              <w:t>Income (loss) from operations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provision for (benefit from) income taxes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71</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(357)</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Undistributed earnings attributable to preferred stockholders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(351)</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common stockholders, 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Undistributed earnings reallocated to common stockholders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common stockholders,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7"/>
                <w:szCs w:val="17"/>
                <w:color w:val="auto"/>
                <w:w w:val="95"/>
              </w:rPr>
              <w:t>Net income (loss) per share attributable to common stockholders (Note 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32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(1.12)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0.96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(1.03)</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8"/>
              </w:rPr>
              <w:t>Weighted-average shares used in computing net income (loss) per share</w:t>
            </w: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attributable to common stockholders: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57,929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w w:val="92"/>
              </w:rPr>
              <w:t>65,874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71,853</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71,668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72,222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57,929</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65,874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101,480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71,668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00"/>
          </w:cols>
          <w:pgMar w:left="320" w:top="440" w:right="779"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93"/>
              </w:rPr>
              <w:t>Year Ended 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June 30,</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line="13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line="132" w:lineRule="exact"/>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2"/>
              <w:spacing w:after="0" w:line="132" w:lineRule="exact"/>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jc w:val="center"/>
              <w:ind w:left="322"/>
              <w:spacing w:after="0" w:line="132" w:lineRule="exact"/>
              <w:rPr>
                <w:sz w:val="20"/>
                <w:szCs w:val="20"/>
                <w:color w:val="auto"/>
              </w:rPr>
            </w:pPr>
            <w:r>
              <w:rPr>
                <w:rFonts w:ascii="Arial" w:cs="Arial" w:eastAsia="Arial" w:hAnsi="Arial"/>
                <w:sz w:val="13"/>
                <w:szCs w:val="13"/>
                <w:b w:val="1"/>
                <w:bCs w:val="1"/>
                <w:color w:val="auto"/>
                <w:w w:val="96"/>
              </w:rPr>
              <w:t>(unaudited)</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Net unrealized gain (loss) on available-for-sale</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marketable securities, net of tax</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340"/>
              <w:spacing w:after="0"/>
              <w:rPr>
                <w:sz w:val="20"/>
                <w:szCs w:val="20"/>
                <w:color w:val="auto"/>
              </w:rPr>
            </w:pPr>
            <w:r>
              <w:rPr>
                <w:rFonts w:ascii="Arial" w:cs="Arial" w:eastAsia="Arial" w:hAnsi="Arial"/>
                <w:sz w:val="17"/>
                <w:szCs w:val="17"/>
                <w:color w:val="auto"/>
              </w:rPr>
              <w:t>Change in foreign currency translation adjustments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33"/>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other comprehensive income (loss)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(69)</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(74)</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424</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33"/>
              <w:spacing w:after="0"/>
              <w:rPr>
                <w:sz w:val="20"/>
                <w:szCs w:val="20"/>
                <w:color w:val="auto"/>
              </w:rPr>
            </w:pPr>
            <w:r>
              <w:rPr>
                <w:rFonts w:ascii="Arial" w:cs="Arial" w:eastAsia="Arial" w:hAnsi="Arial"/>
                <w:sz w:val="17"/>
                <w:szCs w:val="17"/>
                <w:color w:val="auto"/>
              </w:rPr>
              <w:t>(78)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800"/>
          </w:cols>
          <w:pgMar w:left="320" w:top="440" w:right="779" w:bottom="1440" w:gutter="0" w:footer="0" w:header="0"/>
        </w:sectPr>
      </w:pPr>
    </w:p>
    <w:bookmarkStart w:id="318" w:name="page319"/>
    <w:bookmarkEnd w:id="3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(DEFICIT)</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840" w:type="dxa"/>
            <w:vAlign w:val="bottom"/>
          </w:tcPr>
          <w:p>
            <w:pPr>
              <w:spacing w:after="0" w:line="20" w:lineRule="exact"/>
              <w:rPr>
                <w:sz w:val="1"/>
                <w:szCs w:val="1"/>
                <w:color w:val="auto"/>
              </w:rPr>
            </w:pPr>
          </w:p>
        </w:tc>
        <w:tc>
          <w:tcPr>
            <w:tcW w:w="13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1"/>
              </w:rPr>
              <w:t>Redeemable</w:t>
            </w: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vMerge w:val="restart"/>
          </w:tcPr>
          <w:p>
            <w:pPr>
              <w:jc w:val="center"/>
              <w:ind w:left="119"/>
              <w:spacing w:after="0"/>
              <w:rPr>
                <w:sz w:val="20"/>
                <w:szCs w:val="20"/>
                <w:color w:val="auto"/>
              </w:rPr>
            </w:pPr>
            <w:r>
              <w:rPr>
                <w:rFonts w:ascii="Arial" w:cs="Arial" w:eastAsia="Arial" w:hAnsi="Arial"/>
                <w:sz w:val="13"/>
                <w:szCs w:val="13"/>
                <w:b w:val="1"/>
                <w:bCs w:val="1"/>
                <w:color w:val="auto"/>
                <w:w w:val="91"/>
              </w:rPr>
              <w:t>Exchangeable</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84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300" w:type="dxa"/>
            <w:vAlign w:val="bottom"/>
            <w:gridSpan w:val="5"/>
          </w:tcPr>
          <w:p>
            <w:pPr>
              <w:jc w:val="center"/>
              <w:ind w:right="10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6"/>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2"/>
              </w:rPr>
              <w:t>Preferred 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6"/>
            <w:vMerge w:val="continue"/>
          </w:tcPr>
          <w:p>
            <w:pPr>
              <w:spacing w:after="0"/>
              <w:rPr>
                <w:sz w:val="13"/>
                <w:szCs w:val="13"/>
                <w:color w:val="auto"/>
              </w:rPr>
            </w:pPr>
          </w:p>
        </w:tc>
        <w:tc>
          <w:tcPr>
            <w:tcW w:w="1000" w:type="dxa"/>
            <w:vAlign w:val="bottom"/>
            <w:gridSpan w:val="3"/>
          </w:tcPr>
          <w:p>
            <w:pPr>
              <w:jc w:val="center"/>
              <w:ind w:left="119"/>
              <w:spacing w:after="0"/>
              <w:rPr>
                <w:sz w:val="20"/>
                <w:szCs w:val="20"/>
                <w:color w:val="auto"/>
              </w:rPr>
            </w:pPr>
            <w:r>
              <w:rPr>
                <w:rFonts w:ascii="Arial" w:cs="Arial" w:eastAsia="Arial" w:hAnsi="Arial"/>
                <w:sz w:val="13"/>
                <w:szCs w:val="13"/>
                <w:b w:val="1"/>
                <w:bCs w:val="1"/>
                <w:color w:val="auto"/>
                <w:w w:val="92"/>
              </w:rPr>
              <w:t>Shares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Comprehensive</w:t>
            </w:r>
          </w:p>
        </w:tc>
        <w:tc>
          <w:tcPr>
            <w:tcW w:w="4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4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9"/>
              <w:spacing w:after="0" w:line="132"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40"/>
              <w:spacing w:after="0" w:line="13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3"/>
                <w:szCs w:val="13"/>
                <w:b w:val="1"/>
                <w:bCs w:val="1"/>
                <w:color w:val="auto"/>
                <w:w w:val="96"/>
              </w:rPr>
              <w:t>Capital</w:t>
            </w:r>
          </w:p>
        </w:tc>
        <w:tc>
          <w:tcPr>
            <w:tcW w:w="1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92"/>
              </w:rPr>
              <w:t>Income (Loss)</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7"/>
              <w:spacing w:after="0" w:line="132" w:lineRule="exact"/>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7"/>
              <w:spacing w:after="0" w:line="132" w:lineRule="exact"/>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Balances at January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153,424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$1,932</w:t>
            </w: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54,423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(1,048)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Exercise of common stock options</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2,758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9"/>
              </w:rPr>
              <w:t>Exercise of non-voting common stock</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warrants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line="190" w:lineRule="exact"/>
              <w:rPr>
                <w:sz w:val="20"/>
                <w:szCs w:val="20"/>
                <w:color w:val="auto"/>
              </w:rPr>
            </w:pPr>
            <w:r>
              <w:rPr>
                <w:rFonts w:ascii="Arial" w:cs="Arial" w:eastAsia="Arial" w:hAnsi="Arial"/>
                <w:sz w:val="17"/>
                <w:szCs w:val="17"/>
                <w:color w:val="auto"/>
              </w:rPr>
              <w:t>Amortization of non-voting common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160"/>
              <w:spacing w:after="0"/>
              <w:rPr>
                <w:sz w:val="20"/>
                <w:szCs w:val="20"/>
                <w:color w:val="auto"/>
              </w:rPr>
            </w:pPr>
            <w:r>
              <w:rPr>
                <w:rFonts w:ascii="Arial" w:cs="Arial" w:eastAsia="Arial" w:hAnsi="Arial"/>
                <w:sz w:val="17"/>
                <w:szCs w:val="17"/>
                <w:color w:val="auto"/>
              </w:rPr>
              <w:t>stock warrants</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Amortization of non-voting common</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 issuable pursuant to</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subscription agreement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0"/>
        </w:trPr>
        <w:tc>
          <w:tcPr>
            <w:tcW w:w="2840" w:type="dxa"/>
            <w:vAlign w:val="bottom"/>
          </w:tcPr>
          <w:p>
            <w:pPr>
              <w:spacing w:after="0" w:line="190" w:lineRule="exact"/>
              <w:rPr>
                <w:sz w:val="20"/>
                <w:szCs w:val="20"/>
                <w:color w:val="auto"/>
              </w:rPr>
            </w:pPr>
            <w:r>
              <w:rPr>
                <w:rFonts w:ascii="Arial" w:cs="Arial" w:eastAsia="Arial" w:hAnsi="Arial"/>
                <w:sz w:val="17"/>
                <w:szCs w:val="17"/>
                <w:color w:val="auto"/>
              </w:rPr>
              <w:t>Issuance of Series G redeemable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60"/>
              <w:spacing w:after="0"/>
              <w:rPr>
                <w:sz w:val="20"/>
                <w:szCs w:val="20"/>
                <w:color w:val="auto"/>
              </w:rPr>
            </w:pPr>
            <w:r>
              <w:rPr>
                <w:rFonts w:ascii="Arial" w:cs="Arial" w:eastAsia="Arial" w:hAnsi="Arial"/>
                <w:sz w:val="17"/>
                <w:szCs w:val="17"/>
                <w:color w:val="auto"/>
              </w:rPr>
              <w:t>convertible preferred stock, net of</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160"/>
              <w:spacing w:after="0"/>
              <w:rPr>
                <w:sz w:val="20"/>
                <w:szCs w:val="20"/>
                <w:color w:val="auto"/>
              </w:rPr>
            </w:pPr>
            <w:r>
              <w:rPr>
                <w:rFonts w:ascii="Arial" w:cs="Arial" w:eastAsia="Arial" w:hAnsi="Arial"/>
                <w:sz w:val="17"/>
                <w:szCs w:val="17"/>
                <w:color w:val="auto"/>
              </w:rPr>
              <w:t>issuance costs</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6,758</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325</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8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Issuance of Series H redeemable</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convertible preferred stock, net of</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300</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8"/>
              </w:rPr>
              <w:t>Issuance of non-voting common stock</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 connection with subscription</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agreement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Forfeiture of exchangeable shares</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8"/>
              </w:rPr>
              <w:t>Issuance of non-voting common stock</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 exchangeable shares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840" w:type="dxa"/>
            <w:vAlign w:val="bottom"/>
          </w:tcPr>
          <w:p>
            <w:pPr>
              <w:spacing w:after="0" w:line="190" w:lineRule="exact"/>
              <w:rPr>
                <w:sz w:val="20"/>
                <w:szCs w:val="20"/>
                <w:color w:val="auto"/>
              </w:rPr>
            </w:pPr>
            <w:r>
              <w:rPr>
                <w:rFonts w:ascii="Arial" w:cs="Arial" w:eastAsia="Arial" w:hAnsi="Arial"/>
                <w:sz w:val="17"/>
                <w:szCs w:val="17"/>
                <w:color w:val="auto"/>
              </w:rPr>
              <w:t>Foreign currency translation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7"/>
                <w:szCs w:val="17"/>
                <w:color w:val="auto"/>
              </w:rPr>
              <w:t>Balances at December 31, 2020</w:t>
            </w: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165,182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2,557</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60,437</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689</w:t>
            </w: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351</w:t>
            </w:r>
          </w:p>
        </w:tc>
        <w:tc>
          <w:tcPr>
            <w:tcW w:w="18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(1,332)</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800"/>
          </w:cols>
          <w:pgMar w:left="320" w:top="440" w:right="779" w:bottom="1440" w:gutter="0" w:footer="0" w:header="0"/>
        </w:sectPr>
      </w:pPr>
    </w:p>
    <w:bookmarkStart w:id="319" w:name="page320"/>
    <w:bookmarkEnd w:id="3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(DEFICIT), CONTINUED</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8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3"/>
              </w:rPr>
              <w:t>Redeemable</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5"/>
            <w:vMerge w:val="restart"/>
          </w:tcPr>
          <w:p>
            <w:pPr>
              <w:jc w:val="center"/>
              <w:ind w:right="60"/>
              <w:spacing w:after="0"/>
              <w:rPr>
                <w:sz w:val="20"/>
                <w:szCs w:val="20"/>
                <w:color w:val="auto"/>
              </w:rPr>
            </w:pPr>
            <w:r>
              <w:rPr>
                <w:rFonts w:ascii="Arial" w:cs="Arial" w:eastAsia="Arial" w:hAnsi="Arial"/>
                <w:sz w:val="13"/>
                <w:szCs w:val="13"/>
                <w:b w:val="1"/>
                <w:bCs w:val="1"/>
                <w:color w:val="auto"/>
                <w:w w:val="91"/>
              </w:rPr>
              <w:t>Exchangeable</w:t>
            </w:r>
          </w:p>
        </w:tc>
        <w:tc>
          <w:tcPr>
            <w:tcW w:w="80" w:type="dxa"/>
            <w:vAlign w:val="bottom"/>
          </w:tcPr>
          <w:p>
            <w:pPr>
              <w:spacing w:after="0" w:line="20" w:lineRule="exact"/>
              <w:rPr>
                <w:sz w:val="1"/>
                <w:szCs w:val="1"/>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80" w:type="dxa"/>
            <w:vAlign w:val="bottom"/>
            <w:gridSpan w:val="4"/>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6"/>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11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6"/>
            <w:vMerge w:val="continue"/>
          </w:tcPr>
          <w:p>
            <w:pPr>
              <w:spacing w:after="0"/>
              <w:rPr>
                <w:sz w:val="13"/>
                <w:szCs w:val="13"/>
                <w:color w:val="auto"/>
              </w:rPr>
            </w:pPr>
          </w:p>
        </w:tc>
        <w:tc>
          <w:tcPr>
            <w:tcW w:w="860" w:type="dxa"/>
            <w:vAlign w:val="bottom"/>
            <w:gridSpan w:val="3"/>
          </w:tcPr>
          <w:p>
            <w:pPr>
              <w:jc w:val="center"/>
              <w:ind w:left="182"/>
              <w:spacing w:after="0"/>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Comprehensive</w:t>
            </w:r>
          </w:p>
        </w:tc>
        <w:tc>
          <w:tcPr>
            <w:tcW w:w="4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20" w:type="dxa"/>
            <w:vAlign w:val="bottom"/>
            <w:tcBorders>
              <w:top w:val="single" w:sz="8" w:color="auto"/>
            </w:tcBorders>
            <w:gridSpan w:val="2"/>
          </w:tcPr>
          <w:p>
            <w:pPr>
              <w:ind w:left="100"/>
              <w:spacing w:after="0" w:line="132"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line="132" w:lineRule="exact"/>
              <w:rPr>
                <w:sz w:val="20"/>
                <w:szCs w:val="20"/>
                <w:color w:val="auto"/>
              </w:rPr>
            </w:pPr>
            <w:r>
              <w:rPr>
                <w:rFonts w:ascii="Arial" w:cs="Arial" w:eastAsia="Arial" w:hAnsi="Arial"/>
                <w:sz w:val="13"/>
                <w:szCs w:val="13"/>
                <w:b w:val="1"/>
                <w:bCs w:val="1"/>
                <w:color w:val="auto"/>
                <w:w w:val="96"/>
              </w:rPr>
              <w:t>Capital</w:t>
            </w:r>
          </w:p>
        </w:tc>
        <w:tc>
          <w:tcPr>
            <w:tcW w:w="1000" w:type="dxa"/>
            <w:vAlign w:val="bottom"/>
            <w:gridSpan w:val="3"/>
          </w:tcPr>
          <w:p>
            <w:pPr>
              <w:jc w:val="center"/>
              <w:ind w:right="120"/>
              <w:spacing w:after="0" w:line="132" w:lineRule="exact"/>
              <w:rPr>
                <w:sz w:val="20"/>
                <w:szCs w:val="20"/>
                <w:color w:val="auto"/>
              </w:rPr>
            </w:pPr>
            <w:r>
              <w:rPr>
                <w:rFonts w:ascii="Arial" w:cs="Arial" w:eastAsia="Arial" w:hAnsi="Arial"/>
                <w:sz w:val="13"/>
                <w:szCs w:val="13"/>
                <w:b w:val="1"/>
                <w:bCs w:val="1"/>
                <w:color w:val="auto"/>
                <w:w w:val="90"/>
              </w:rPr>
              <w:t>Income (Loss)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420"/>
              <w:spacing w:after="0" w:line="132" w:lineRule="exact"/>
              <w:rPr>
                <w:sz w:val="20"/>
                <w:szCs w:val="20"/>
                <w:color w:val="auto"/>
              </w:rPr>
            </w:pPr>
            <w:r>
              <w:rPr>
                <w:rFonts w:ascii="Arial" w:cs="Arial" w:eastAsia="Arial" w:hAnsi="Arial"/>
                <w:sz w:val="13"/>
                <w:szCs w:val="13"/>
                <w:b w:val="1"/>
                <w:bCs w:val="1"/>
                <w:color w:val="auto"/>
              </w:rPr>
              <w:t>Deficit</w:t>
            </w:r>
          </w:p>
        </w:tc>
        <w:tc>
          <w:tcPr>
            <w:tcW w:w="500" w:type="dxa"/>
            <w:vAlign w:val="bottom"/>
            <w:gridSpan w:val="2"/>
          </w:tcPr>
          <w:p>
            <w:pPr>
              <w:jc w:val="right"/>
              <w:ind w:right="140"/>
              <w:spacing w:after="0" w:line="13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at December 31, 2020</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165,182</w:t>
            </w: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6"/>
              </w:rPr>
              <w:t>$ 2,557</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60,437</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ind w:left="140"/>
              <w:spacing w:after="0" w:line="183" w:lineRule="exact"/>
              <w:rPr>
                <w:sz w:val="20"/>
                <w:szCs w:val="20"/>
                <w:color w:val="auto"/>
              </w:rPr>
            </w:pPr>
            <w:r>
              <w:rPr>
                <w:rFonts w:ascii="Arial" w:cs="Arial" w:eastAsia="Arial" w:hAnsi="Arial"/>
                <w:sz w:val="16"/>
                <w:szCs w:val="16"/>
                <w:color w:val="auto"/>
                <w:w w:val="87"/>
              </w:rPr>
              <w:t>—</w:t>
            </w: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689</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6"/>
                <w:szCs w:val="16"/>
                <w:color w:val="auto"/>
                <w:w w:val="87"/>
              </w:rPr>
              <w:t>—</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(1,332)</w:t>
            </w: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0"/>
              </w:rPr>
              <w:t>$(981)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Exercise of common stock options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1,051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Exercise of non-voting common stock</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spacing w:after="0" w:line="172" w:lineRule="exact"/>
              <w:rPr>
                <w:sz w:val="20"/>
                <w:szCs w:val="20"/>
                <w:color w:val="auto"/>
              </w:rPr>
            </w:pPr>
            <w:r>
              <w:rPr>
                <w:rFonts w:ascii="Arial" w:cs="Arial" w:eastAsia="Arial" w:hAnsi="Arial"/>
                <w:sz w:val="16"/>
                <w:szCs w:val="16"/>
                <w:color w:val="auto"/>
              </w:rPr>
              <w:t>Amortization of non-voting common stock</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40"/>
              <w:spacing w:after="0"/>
              <w:rPr>
                <w:sz w:val="20"/>
                <w:szCs w:val="20"/>
                <w:color w:val="auto"/>
              </w:rPr>
            </w:pPr>
            <w:r>
              <w:rPr>
                <w:rFonts w:ascii="Arial" w:cs="Arial" w:eastAsia="Arial" w:hAnsi="Arial"/>
                <w:sz w:val="16"/>
                <w:szCs w:val="16"/>
                <w:color w:val="auto"/>
              </w:rPr>
              <w:t>warrants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Amortization of non-voting common stock</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issuable pursuant to subscription</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agreement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spacing w:after="0" w:line="172" w:lineRule="exact"/>
              <w:rPr>
                <w:sz w:val="20"/>
                <w:szCs w:val="20"/>
                <w:color w:val="auto"/>
              </w:rPr>
            </w:pPr>
            <w:r>
              <w:rPr>
                <w:rFonts w:ascii="Arial" w:cs="Arial" w:eastAsia="Arial" w:hAnsi="Arial"/>
                <w:sz w:val="16"/>
                <w:szCs w:val="16"/>
                <w:color w:val="auto"/>
                <w:w w:val="96"/>
              </w:rPr>
              <w:t>Issuance of Series I redeemable convertible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40"/>
              <w:spacing w:after="0"/>
              <w:rPr>
                <w:sz w:val="20"/>
                <w:szCs w:val="20"/>
                <w:color w:val="auto"/>
              </w:rPr>
            </w:pPr>
            <w:r>
              <w:rPr>
                <w:rFonts w:ascii="Arial" w:cs="Arial" w:eastAsia="Arial" w:hAnsi="Arial"/>
                <w:sz w:val="16"/>
                <w:szCs w:val="16"/>
                <w:color w:val="auto"/>
              </w:rPr>
              <w:t>preferred stock, net of issuance costs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2,120</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265</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spacing w:after="0" w:line="172" w:lineRule="exact"/>
              <w:rPr>
                <w:sz w:val="20"/>
                <w:szCs w:val="20"/>
                <w:color w:val="auto"/>
              </w:rPr>
            </w:pPr>
            <w:r>
              <w:rPr>
                <w:rFonts w:ascii="Arial" w:cs="Arial" w:eastAsia="Arial" w:hAnsi="Arial"/>
                <w:sz w:val="16"/>
                <w:szCs w:val="16"/>
                <w:color w:val="auto"/>
              </w:rPr>
              <w:t>Issuance of non-voting common stock in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40"/>
              <w:spacing w:after="0"/>
              <w:rPr>
                <w:sz w:val="20"/>
                <w:szCs w:val="20"/>
                <w:color w:val="auto"/>
              </w:rPr>
            </w:pPr>
            <w:r>
              <w:rPr>
                <w:rFonts w:ascii="Arial" w:cs="Arial" w:eastAsia="Arial" w:hAnsi="Arial"/>
                <w:sz w:val="16"/>
                <w:szCs w:val="16"/>
                <w:color w:val="auto"/>
              </w:rPr>
              <w:t>connection with subscription agreement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464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non-voting common stock</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spacing w:after="0" w:line="172" w:lineRule="exact"/>
              <w:rPr>
                <w:sz w:val="20"/>
                <w:szCs w:val="20"/>
                <w:color w:val="auto"/>
              </w:rPr>
            </w:pPr>
            <w:r>
              <w:rPr>
                <w:rFonts w:ascii="Arial" w:cs="Arial" w:eastAsia="Arial" w:hAnsi="Arial"/>
                <w:sz w:val="16"/>
                <w:szCs w:val="16"/>
                <w:color w:val="auto"/>
              </w:rPr>
              <w:t>Issuance of non-voting common stock in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40"/>
              <w:spacing w:after="0"/>
              <w:rPr>
                <w:sz w:val="20"/>
                <w:szCs w:val="20"/>
                <w:color w:val="auto"/>
              </w:rPr>
            </w:pPr>
            <w:r>
              <w:rPr>
                <w:rFonts w:ascii="Arial" w:cs="Arial" w:eastAsia="Arial" w:hAnsi="Arial"/>
                <w:sz w:val="16"/>
                <w:szCs w:val="16"/>
                <w:color w:val="auto"/>
              </w:rPr>
              <w:t>connection with business acquisitions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2,105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255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Issuance of restricted non-voting common</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 connection with business</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spacing w:after="0" w:line="172" w:lineRule="exact"/>
              <w:rPr>
                <w:sz w:val="20"/>
                <w:szCs w:val="20"/>
                <w:color w:val="auto"/>
              </w:rPr>
            </w:pPr>
            <w:r>
              <w:rPr>
                <w:rFonts w:ascii="Arial" w:cs="Arial" w:eastAsia="Arial" w:hAnsi="Arial"/>
                <w:sz w:val="16"/>
                <w:szCs w:val="16"/>
                <w:color w:val="auto"/>
              </w:rPr>
              <w:t>Issuance of restricted non-voting common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40"/>
              <w:spacing w:after="0"/>
              <w:rPr>
                <w:sz w:val="20"/>
                <w:szCs w:val="20"/>
                <w:color w:val="auto"/>
              </w:rPr>
            </w:pPr>
            <w:r>
              <w:rPr>
                <w:rFonts w:ascii="Arial" w:cs="Arial" w:eastAsia="Arial" w:hAnsi="Arial"/>
                <w:sz w:val="16"/>
                <w:szCs w:val="16"/>
                <w:color w:val="auto"/>
              </w:rPr>
              <w:t>stock</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Net unrealized loss on available-for-sale</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Net loss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Balances at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167,302</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$ 2,822</w:t>
            </w: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69,535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833</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00"/>
          </w:cols>
          <w:pgMar w:left="320" w:top="440" w:right="77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(DEFICIT), CONTINUED</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Redeemable</w:t>
            </w: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6"/>
            <w:vMerge w:val="restart"/>
          </w:tcPr>
          <w:p>
            <w:pPr>
              <w:ind w:left="160"/>
              <w:spacing w:after="0"/>
              <w:rPr>
                <w:sz w:val="20"/>
                <w:szCs w:val="20"/>
                <w:color w:val="auto"/>
              </w:rPr>
            </w:pPr>
            <w:r>
              <w:rPr>
                <w:rFonts w:ascii="Arial" w:cs="Arial" w:eastAsia="Arial" w:hAnsi="Arial"/>
                <w:sz w:val="13"/>
                <w:szCs w:val="13"/>
                <w:b w:val="1"/>
                <w:bCs w:val="1"/>
                <w:color w:val="auto"/>
              </w:rPr>
              <w:t>Exchangeable</w:t>
            </w:r>
          </w:p>
        </w:tc>
        <w:tc>
          <w:tcPr>
            <w:tcW w:w="80" w:type="dxa"/>
            <w:vAlign w:val="bottom"/>
          </w:tcPr>
          <w:p>
            <w:pPr>
              <w:spacing w:after="0" w:line="20" w:lineRule="exact"/>
              <w:rPr>
                <w:sz w:val="1"/>
                <w:szCs w:val="1"/>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line="20" w:lineRule="exact"/>
              <w:rPr>
                <w:sz w:val="1"/>
                <w:szCs w:val="1"/>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40" w:type="dxa"/>
            <w:vAlign w:val="bottom"/>
            <w:gridSpan w:val="4"/>
          </w:tcPr>
          <w:p>
            <w:pPr>
              <w:jc w:val="center"/>
              <w:ind w:right="10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11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2"/>
              </w:rPr>
              <w:t>Preferred 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840" w:type="dxa"/>
            <w:vAlign w:val="bottom"/>
            <w:gridSpan w:val="4"/>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
              <w:spacing w:after="0" w:line="132"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2"/>
              </w:rPr>
              <w:t>Shares</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7"/>
              </w:rPr>
              <w:t>Amount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8"/>
              <w:spacing w:after="0" w:line="132" w:lineRule="exact"/>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92"/>
              </w:rPr>
              <w:t>Income (Loss)</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32" w:lineRule="exact"/>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Balances at December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167,302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$ 2,822</w:t>
            </w: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69,535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(573)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Exercise of common stock options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149</w:t>
            </w:r>
          </w:p>
        </w:tc>
        <w:tc>
          <w:tcPr>
            <w:tcW w:w="22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Exercise of non-voting common stock</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warrants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1,858</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90" w:lineRule="exact"/>
              <w:rPr>
                <w:sz w:val="20"/>
                <w:szCs w:val="20"/>
                <w:color w:val="auto"/>
              </w:rPr>
            </w:pPr>
            <w:r>
              <w:rPr>
                <w:rFonts w:ascii="Arial" w:cs="Arial" w:eastAsia="Arial" w:hAnsi="Arial"/>
                <w:sz w:val="17"/>
                <w:szCs w:val="17"/>
                <w:color w:val="auto"/>
              </w:rPr>
              <w:t>Modification of non-voting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stock warrants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90" w:lineRule="exact"/>
              <w:rPr>
                <w:sz w:val="20"/>
                <w:szCs w:val="20"/>
                <w:color w:val="auto"/>
              </w:rPr>
            </w:pPr>
            <w:r>
              <w:rPr>
                <w:rFonts w:ascii="Arial" w:cs="Arial" w:eastAsia="Arial" w:hAnsi="Arial"/>
                <w:sz w:val="17"/>
                <w:szCs w:val="17"/>
                <w:color w:val="auto"/>
                <w:w w:val="95"/>
              </w:rPr>
              <w:t>Issuance of non-voting common stock in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connection with subscription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agreement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465</w:t>
            </w:r>
          </w:p>
        </w:tc>
        <w:tc>
          <w:tcPr>
            <w:tcW w:w="22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4"/>
              </w:rPr>
              <w:t>Issuance of non-voting restricted stock in</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connection with business acquisitions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7"/>
                <w:szCs w:val="17"/>
                <w:color w:val="auto"/>
                <w:w w:val="94"/>
              </w:rPr>
              <w:t>Foreign currency translation adjustments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5"/>
              </w:rPr>
              <w:t>Net unrealized loss on available-for-sale</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marketable securities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Net income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167,302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$ 2,822</w:t>
            </w: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72,230</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689</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918</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00"/>
          </w:cols>
          <w:pgMar w:left="320" w:top="440" w:right="779" w:bottom="1440" w:gutter="0" w:footer="0" w:header="0"/>
        </w:sectPr>
      </w:pPr>
    </w:p>
    <w:bookmarkStart w:id="321" w:name="page322"/>
    <w:bookmarkEnd w:id="3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(DEFICIT), CONTINUED</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6"/>
              </w:rPr>
              <w:t>Redeemable Convertible</w:t>
            </w: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Exchangeable</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vMerge w:val="restart"/>
          </w:tcPr>
          <w:p>
            <w:pPr>
              <w:jc w:val="right"/>
              <w:ind w:right="100"/>
              <w:spacing w:after="0" w:line="139"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440" w:type="dxa"/>
            <w:vAlign w:val="bottom"/>
            <w:gridSpan w:val="4"/>
            <w:vMerge w:val="restart"/>
          </w:tcPr>
          <w:p>
            <w:pPr>
              <w:jc w:val="right"/>
              <w:ind w:right="176"/>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vMerge w:val="restart"/>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vMerge w:val="restart"/>
          </w:tcPr>
          <w:p>
            <w:pPr>
              <w:spacing w:after="0"/>
              <w:rPr>
                <w:sz w:val="5"/>
                <w:szCs w:val="5"/>
                <w:color w:val="auto"/>
              </w:rPr>
            </w:pPr>
          </w:p>
        </w:tc>
        <w:tc>
          <w:tcPr>
            <w:tcW w:w="980" w:type="dxa"/>
            <w:vAlign w:val="bottom"/>
            <w:gridSpan w:val="4"/>
            <w:vMerge w:val="restart"/>
          </w:tcPr>
          <w:p>
            <w:pPr>
              <w:jc w:val="right"/>
              <w:ind w:right="149"/>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4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80" w:type="dxa"/>
            <w:vAlign w:val="bottom"/>
            <w:tcBorders>
              <w:bottom w:val="single" w:sz="8" w:color="auto"/>
            </w:tcBorders>
            <w:gridSpan w:val="4"/>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right"/>
              <w:ind w:right="200"/>
              <w:spacing w:after="0" w:line="13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8"/>
                <w:szCs w:val="8"/>
                <w:color w:val="auto"/>
              </w:rPr>
            </w:pPr>
          </w:p>
        </w:tc>
        <w:tc>
          <w:tcPr>
            <w:tcW w:w="10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8"/>
                <w:szCs w:val="8"/>
                <w:color w:val="auto"/>
              </w:rPr>
            </w:pPr>
          </w:p>
        </w:tc>
        <w:tc>
          <w:tcPr>
            <w:tcW w:w="880" w:type="dxa"/>
            <w:vAlign w:val="bottom"/>
            <w:gridSpan w:val="3"/>
            <w:vMerge w:val="restart"/>
          </w:tcPr>
          <w:p>
            <w:pPr>
              <w:spacing w:after="0" w:line="13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
                <w:szCs w:val="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60" w:type="dxa"/>
            <w:vAlign w:val="bottom"/>
            <w:vMerge w:val="restart"/>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vMerge w:val="restart"/>
          </w:tcPr>
          <w:p>
            <w:pPr>
              <w:spacing w:after="0"/>
              <w:rPr>
                <w:sz w:val="2"/>
                <w:szCs w:val="2"/>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vMerge w:val="restart"/>
          </w:tcPr>
          <w:p>
            <w:pPr>
              <w:spacing w:after="0"/>
              <w:rPr>
                <w:sz w:val="2"/>
                <w:szCs w:val="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00" w:type="dxa"/>
            <w:vAlign w:val="bottom"/>
            <w:tcBorders>
              <w:left w:val="single" w:sz="8" w:color="auto"/>
              <w:bottom w:val="single" w:sz="8" w:color="CCEEFF"/>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5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Balances at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167,302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2,822</w:t>
            </w:r>
          </w:p>
        </w:tc>
        <w:tc>
          <w:tcPr>
            <w:tcW w:w="6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69,535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$(573)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line="190" w:lineRule="exact"/>
              <w:rPr>
                <w:sz w:val="20"/>
                <w:szCs w:val="20"/>
                <w:color w:val="auto"/>
              </w:rPr>
            </w:pPr>
            <w:r>
              <w:rPr>
                <w:rFonts w:ascii="Arial" w:cs="Arial" w:eastAsia="Arial" w:hAnsi="Arial"/>
                <w:sz w:val="17"/>
                <w:szCs w:val="17"/>
                <w:color w:val="auto"/>
              </w:rPr>
              <w:t>Exercise of common stock options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7"/>
                <w:szCs w:val="17"/>
                <w:color w:val="auto"/>
              </w:rPr>
              <w:t>(unaudited)</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auto"/>
            </w:tcBorders>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4"/>
              </w:rPr>
              <w:t>Exercise of non-voting common stock</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warrants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1,858</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line="190" w:lineRule="exact"/>
              <w:rPr>
                <w:sz w:val="20"/>
                <w:szCs w:val="20"/>
                <w:color w:val="auto"/>
              </w:rPr>
            </w:pPr>
            <w:r>
              <w:rPr>
                <w:rFonts w:ascii="Arial" w:cs="Arial" w:eastAsia="Arial" w:hAnsi="Arial"/>
                <w:sz w:val="17"/>
                <w:szCs w:val="17"/>
                <w:color w:val="auto"/>
              </w:rPr>
              <w:t>Stock-based compensation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7"/>
                <w:szCs w:val="17"/>
                <w:color w:val="auto"/>
              </w:rPr>
              <w:t>(unaudited)</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auto"/>
            </w:tcBorders>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3"/>
              </w:rPr>
              <w:t>Issuance of non-voting common stock</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 connection with subscription</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agreement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line="190" w:lineRule="exact"/>
              <w:rPr>
                <w:sz w:val="20"/>
                <w:szCs w:val="20"/>
                <w:color w:val="auto"/>
              </w:rPr>
            </w:pPr>
            <w:r>
              <w:rPr>
                <w:rFonts w:ascii="Arial" w:cs="Arial" w:eastAsia="Arial" w:hAnsi="Arial"/>
                <w:sz w:val="17"/>
                <w:szCs w:val="17"/>
                <w:color w:val="auto"/>
              </w:rPr>
              <w:t>Foreign currency translation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7"/>
                <w:szCs w:val="17"/>
                <w:color w:val="auto"/>
              </w:rPr>
              <w:t>adjustments (unaudited)</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auto"/>
            </w:tcBorders>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8"/>
              </w:rPr>
              <w:t>Net unrealized loss on available-for-</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 marketable securities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Net loss (unaudited)</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w w:val="91"/>
              </w:rPr>
              <w:t>Balances at June 30, 2022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167,302</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2,822</w:t>
            </w:r>
          </w:p>
        </w:tc>
        <w:tc>
          <w:tcPr>
            <w:tcW w:w="100" w:type="dxa"/>
            <w:vAlign w:val="bottom"/>
            <w:tcBorders>
              <w:lef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71,943</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689</w:t>
            </w:r>
          </w:p>
        </w:tc>
        <w:tc>
          <w:tcPr>
            <w:tcW w:w="420" w:type="dxa"/>
            <w:vAlign w:val="bottom"/>
            <w:gridSpan w:val="2"/>
            <w:shd w:val="clear" w:color="auto" w:fill="CCEEFF"/>
          </w:tcPr>
          <w:p>
            <w:pPr>
              <w:jc w:val="right"/>
              <w:ind w:right="189"/>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881</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(1,479)</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00"/>
          </w:cols>
          <w:pgMar w:left="320" w:top="440" w:right="779"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(DEFICIT), CONTINUED</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 except share amounts, which are reflected in thousands)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1"/>
              </w:rPr>
              <w:t>Redeemable</w:t>
            </w: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vMerge w:val="restart"/>
          </w:tcPr>
          <w:p>
            <w:pPr>
              <w:jc w:val="center"/>
              <w:ind w:left="80"/>
              <w:spacing w:after="0"/>
              <w:rPr>
                <w:sz w:val="20"/>
                <w:szCs w:val="20"/>
                <w:color w:val="auto"/>
              </w:rPr>
            </w:pPr>
            <w:r>
              <w:rPr>
                <w:rFonts w:ascii="Arial" w:cs="Arial" w:eastAsia="Arial" w:hAnsi="Arial"/>
                <w:sz w:val="13"/>
                <w:szCs w:val="13"/>
                <w:b w:val="1"/>
                <w:bCs w:val="1"/>
                <w:color w:val="auto"/>
                <w:w w:val="93"/>
              </w:rPr>
              <w:t>Exchangeable</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7"/>
              </w:rPr>
              <w:t>Additional</w:t>
            </w: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gridSpan w:val="5"/>
          </w:tcPr>
          <w:p>
            <w:pPr>
              <w:jc w:val="center"/>
              <w:ind w:right="100"/>
              <w:spacing w:after="0" w:line="139" w:lineRule="exact"/>
              <w:rPr>
                <w:sz w:val="20"/>
                <w:szCs w:val="20"/>
                <w:color w:val="auto"/>
              </w:rPr>
            </w:pPr>
            <w:r>
              <w:rPr>
                <w:rFonts w:ascii="Arial" w:cs="Arial" w:eastAsia="Arial" w:hAnsi="Arial"/>
                <w:sz w:val="13"/>
                <w:szCs w:val="13"/>
                <w:b w:val="1"/>
                <w:bCs w:val="1"/>
                <w:color w:val="auto"/>
                <w:w w:val="95"/>
              </w:rPr>
              <w:t>Convertible</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Common Stock</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7"/>
              </w:rPr>
              <w:t>Other</w:t>
            </w: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980" w:type="dxa"/>
            <w:vAlign w:val="bottom"/>
            <w:gridSpan w:val="3"/>
          </w:tcPr>
          <w:p>
            <w:pPr>
              <w:jc w:val="center"/>
              <w:ind w:left="80"/>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Comprehensive</w:t>
            </w:r>
          </w:p>
        </w:tc>
        <w:tc>
          <w:tcPr>
            <w:tcW w:w="9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41"/>
              <w:spacing w:after="0" w:line="13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9"/>
              <w:spacing w:after="0" w:line="132" w:lineRule="exact"/>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90"/>
              </w:rPr>
              <w:t>Income (Loss)</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7"/>
              <w:spacing w:after="0" w:line="132" w:lineRule="exact"/>
              <w:rPr>
                <w:sz w:val="20"/>
                <w:szCs w:val="20"/>
                <w:color w:val="auto"/>
              </w:rPr>
            </w:pPr>
            <w:r>
              <w:rPr>
                <w:rFonts w:ascii="Arial" w:cs="Arial" w:eastAsia="Arial" w:hAnsi="Arial"/>
                <w:sz w:val="13"/>
                <w:szCs w:val="13"/>
                <w:b w:val="1"/>
                <w:bCs w:val="1"/>
                <w:color w:val="auto"/>
              </w:rPr>
              <w:t>Deficit</w:t>
            </w:r>
          </w:p>
        </w:tc>
        <w:tc>
          <w:tcPr>
            <w:tcW w:w="1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Balances at December 31, 2022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167,302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$2,822</w:t>
            </w: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72,230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Pr>
          <w:p>
            <w:pPr>
              <w:spacing w:after="0" w:line="190" w:lineRule="exact"/>
              <w:rPr>
                <w:sz w:val="20"/>
                <w:szCs w:val="20"/>
                <w:color w:val="auto"/>
              </w:rPr>
            </w:pPr>
            <w:r>
              <w:rPr>
                <w:rFonts w:ascii="Arial" w:cs="Arial" w:eastAsia="Arial" w:hAnsi="Arial"/>
                <w:sz w:val="17"/>
                <w:szCs w:val="17"/>
                <w:color w:val="auto"/>
              </w:rPr>
              <w:t>Exercise of common stock options</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(unaudited)</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123</w:t>
            </w: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9"/>
              </w:rPr>
              <w:t>Issuance of non-voting common stock</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upon settlement of restricted stock</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units (unaudited)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Pr>
          <w:p>
            <w:pPr>
              <w:spacing w:after="0" w:line="190" w:lineRule="exact"/>
              <w:rPr>
                <w:sz w:val="20"/>
                <w:szCs w:val="20"/>
                <w:color w:val="auto"/>
              </w:rPr>
            </w:pPr>
            <w:r>
              <w:rPr>
                <w:rFonts w:ascii="Arial" w:cs="Arial" w:eastAsia="Arial" w:hAnsi="Arial"/>
                <w:sz w:val="17"/>
                <w:szCs w:val="17"/>
                <w:color w:val="auto"/>
              </w:rPr>
              <w:t>Non-voting common stock withheld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related to net share settlement</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(unaudited)</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w w:val="96"/>
              </w:rPr>
              <w:t>Stock-based compensation (unaudited)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Pr>
          <w:p>
            <w:pPr>
              <w:spacing w:after="0" w:line="190" w:lineRule="exact"/>
              <w:rPr>
                <w:sz w:val="20"/>
                <w:szCs w:val="20"/>
                <w:color w:val="auto"/>
              </w:rPr>
            </w:pPr>
            <w:r>
              <w:rPr>
                <w:rFonts w:ascii="Arial" w:cs="Arial" w:eastAsia="Arial" w:hAnsi="Arial"/>
                <w:sz w:val="17"/>
                <w:szCs w:val="17"/>
                <w:color w:val="auto"/>
                <w:w w:val="92"/>
              </w:rPr>
              <w:t>Foreign currency translation adjustments</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(unaudited)</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3"/>
              </w:rPr>
              <w:t>Net unrealized gain on available-for-sale</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marketable securities (unaudited)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Net income (unaudited)</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242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w w:val="97"/>
              </w:rPr>
              <w:t>Balances at June 30, 2023 (unaudited)</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167,302</w:t>
            </w: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2,822</w:t>
            </w:r>
          </w:p>
        </w:tc>
        <w:tc>
          <w:tcPr>
            <w:tcW w:w="20" w:type="dxa"/>
            <w:vAlign w:val="bottom"/>
            <w:shd w:val="clear" w:color="auto" w:fill="000000"/>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72,376</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689</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928</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00"/>
          </w:cols>
          <w:pgMar w:left="320" w:top="440" w:right="779" w:bottom="1440" w:gutter="0" w:footer="0" w:header="0"/>
        </w:sectPr>
      </w:pPr>
    </w:p>
    <w:bookmarkStart w:id="323" w:name="page324"/>
    <w:bookmarkEnd w:id="3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11"/>
            <w:vMerge w:val="restart"/>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11"/>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left="221"/>
              <w:spacing w:after="0"/>
              <w:rPr>
                <w:sz w:val="20"/>
                <w:szCs w:val="20"/>
                <w:color w:val="auto"/>
              </w:rPr>
            </w:pPr>
            <w:r>
              <w:rPr>
                <w:rFonts w:ascii="Arial" w:cs="Arial" w:eastAsia="Arial" w:hAnsi="Arial"/>
                <w:sz w:val="13"/>
                <w:szCs w:val="13"/>
                <w:b w:val="1"/>
                <w:bCs w:val="1"/>
                <w:color w:val="auto"/>
                <w:w w:val="92"/>
              </w:rPr>
              <w:t>June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0"/>
              <w:spacing w:after="0" w:line="132" w:lineRule="exact"/>
              <w:rPr>
                <w:sz w:val="20"/>
                <w:szCs w:val="20"/>
                <w:color w:val="auto"/>
              </w:rPr>
            </w:pPr>
            <w:r>
              <w:rPr>
                <w:rFonts w:ascii="Arial" w:cs="Arial" w:eastAsia="Arial" w:hAnsi="Arial"/>
                <w:sz w:val="13"/>
                <w:szCs w:val="13"/>
                <w:b w:val="1"/>
                <w:bCs w:val="1"/>
                <w:color w:val="auto"/>
                <w:w w:val="89"/>
              </w:rPr>
              <w:t>2021</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0"/>
              <w:spacing w:after="0" w:line="132" w:lineRule="exact"/>
              <w:rPr>
                <w:sz w:val="20"/>
                <w:szCs w:val="20"/>
                <w:color w:val="auto"/>
              </w:rPr>
            </w:pPr>
            <w:r>
              <w:rPr>
                <w:rFonts w:ascii="Arial" w:cs="Arial" w:eastAsia="Arial" w:hAnsi="Arial"/>
                <w:sz w:val="13"/>
                <w:szCs w:val="13"/>
                <w:b w:val="1"/>
                <w:bCs w:val="1"/>
                <w:color w:val="auto"/>
                <w:w w:val="89"/>
              </w:rPr>
              <w:t>2022</w:t>
            </w:r>
          </w:p>
        </w:tc>
        <w:tc>
          <w:tcPr>
            <w:tcW w:w="3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2" w:lineRule="exact"/>
              <w:rPr>
                <w:sz w:val="20"/>
                <w:szCs w:val="20"/>
                <w:color w:val="auto"/>
              </w:rPr>
            </w:pPr>
            <w:r>
              <w:rPr>
                <w:rFonts w:ascii="Arial" w:cs="Arial" w:eastAsia="Arial" w:hAnsi="Arial"/>
                <w:sz w:val="13"/>
                <w:szCs w:val="13"/>
                <w:b w:val="1"/>
                <w:bCs w:val="1"/>
                <w:color w:val="auto"/>
                <w:w w:val="89"/>
              </w:rPr>
              <w:t>2022</w:t>
            </w:r>
          </w:p>
        </w:tc>
        <w:tc>
          <w:tcPr>
            <w:tcW w:w="3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line="132"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jc w:val="center"/>
              <w:spacing w:after="0" w:line="132" w:lineRule="exact"/>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Net income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20"/>
              <w:spacing w:after="0"/>
              <w:rPr>
                <w:sz w:val="20"/>
                <w:szCs w:val="20"/>
                <w:color w:val="auto"/>
              </w:rPr>
            </w:pPr>
            <w:r>
              <w:rPr>
                <w:rFonts w:ascii="Arial" w:cs="Arial" w:eastAsia="Arial" w:hAnsi="Arial"/>
                <w:sz w:val="16"/>
                <w:szCs w:val="16"/>
                <w:color w:val="auto"/>
              </w:rPr>
              <w:t>(70)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428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w w:val="98"/>
              </w:rPr>
              <w:t>Adjustments to reconcile net income (loss) to net cash provided by (used in) operating activities: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300"/>
              <w:spacing w:after="0"/>
              <w:rPr>
                <w:sz w:val="20"/>
                <w:szCs w:val="20"/>
                <w:color w:val="auto"/>
              </w:rPr>
            </w:pPr>
            <w:r>
              <w:rPr>
                <w:rFonts w:ascii="Arial" w:cs="Arial" w:eastAsia="Arial" w:hAnsi="Arial"/>
                <w:sz w:val="16"/>
                <w:szCs w:val="16"/>
                <w:color w:val="auto"/>
              </w:rPr>
              <w:t>Depreciation and amortization expense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300"/>
              <w:spacing w:after="0"/>
              <w:rPr>
                <w:sz w:val="20"/>
                <w:szCs w:val="20"/>
                <w:color w:val="auto"/>
              </w:rPr>
            </w:pPr>
            <w:r>
              <w:rPr>
                <w:rFonts w:ascii="Arial" w:cs="Arial" w:eastAsia="Arial" w:hAnsi="Arial"/>
                <w:sz w:val="16"/>
                <w:szCs w:val="16"/>
                <w:color w:val="auto"/>
              </w:rPr>
              <w:t>Amortization of non-voting common stock warrants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w w:val="94"/>
              </w:rPr>
              <w:t>Amortization and remeasurement of non-voting common stock issuable pursuant to subscription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agreement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300"/>
              <w:spacing w:after="0"/>
              <w:rPr>
                <w:sz w:val="20"/>
                <w:szCs w:val="20"/>
                <w:color w:val="auto"/>
              </w:rPr>
            </w:pPr>
            <w:r>
              <w:rPr>
                <w:rFonts w:ascii="Arial" w:cs="Arial" w:eastAsia="Arial" w:hAnsi="Arial"/>
                <w:sz w:val="16"/>
                <w:szCs w:val="16"/>
                <w:color w:val="auto"/>
              </w:rPr>
              <w:t>Provision for bad debts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operating lease right-of-use assets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300"/>
              <w:spacing w:after="0"/>
              <w:rPr>
                <w:sz w:val="20"/>
                <w:szCs w:val="20"/>
                <w:color w:val="auto"/>
              </w:rPr>
            </w:pPr>
            <w:r>
              <w:rPr>
                <w:rFonts w:ascii="Arial" w:cs="Arial" w:eastAsia="Arial" w:hAnsi="Arial"/>
                <w:sz w:val="16"/>
                <w:szCs w:val="16"/>
                <w:color w:val="auto"/>
              </w:rPr>
              <w:t>Changes in operating assets and liabilities, net of effects of business acquisitions: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receivable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620"/>
              <w:spacing w:after="0"/>
              <w:rPr>
                <w:sz w:val="20"/>
                <w:szCs w:val="20"/>
                <w:color w:val="auto"/>
              </w:rPr>
            </w:pPr>
            <w:r>
              <w:rPr>
                <w:rFonts w:ascii="Arial" w:cs="Arial" w:eastAsia="Arial" w:hAnsi="Arial"/>
                <w:sz w:val="16"/>
                <w:szCs w:val="16"/>
                <w:color w:val="auto"/>
              </w:rPr>
              <w:t>Prepaid expenses and other assets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620"/>
              <w:spacing w:after="0"/>
              <w:rPr>
                <w:sz w:val="20"/>
                <w:szCs w:val="20"/>
                <w:color w:val="auto"/>
              </w:rPr>
            </w:pPr>
            <w:r>
              <w:rPr>
                <w:rFonts w:ascii="Arial" w:cs="Arial" w:eastAsia="Arial" w:hAnsi="Arial"/>
                <w:sz w:val="16"/>
                <w:szCs w:val="16"/>
                <w:color w:val="auto"/>
              </w:rPr>
              <w:t>Accrued and other current liabilities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Deferred revenue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ind w:left="620"/>
              <w:spacing w:after="0"/>
              <w:rPr>
                <w:sz w:val="20"/>
                <w:szCs w:val="20"/>
                <w:color w:val="auto"/>
              </w:rPr>
            </w:pPr>
            <w:r>
              <w:rPr>
                <w:rFonts w:ascii="Arial" w:cs="Arial" w:eastAsia="Arial" w:hAnsi="Arial"/>
                <w:sz w:val="16"/>
                <w:szCs w:val="16"/>
                <w:color w:val="auto"/>
              </w:rPr>
              <w:t>Operating lease liabilities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long-term liabilities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00" w:type="dxa"/>
            <w:vAlign w:val="bottom"/>
          </w:tcPr>
          <w:p>
            <w:pPr>
              <w:ind w:left="940"/>
              <w:spacing w:after="0"/>
              <w:rPr>
                <w:sz w:val="20"/>
                <w:szCs w:val="20"/>
                <w:color w:val="auto"/>
              </w:rPr>
            </w:pPr>
            <w:r>
              <w:rPr>
                <w:rFonts w:ascii="Arial" w:cs="Arial" w:eastAsia="Arial" w:hAnsi="Arial"/>
                <w:sz w:val="16"/>
                <w:szCs w:val="16"/>
                <w:color w:val="auto"/>
              </w:rPr>
              <w:t>Net cash provided by (used in) operating activities</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82"/>
              </w:rPr>
              <w:t>242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Purchases of property and equipment, including capitalized internal-use software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patents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Acquisitions of businesses, net of cash acquired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3"/>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Proceeds from the issuance of redeemable convertible preferred stock, net of issuance cost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625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non-voting common stock warrants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Proceeds from modification of non-voting common stock warrants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non-voting common stock</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Changes in advances from payment card issuer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940"/>
              <w:spacing w:after="0"/>
              <w:rPr>
                <w:sz w:val="20"/>
                <w:szCs w:val="20"/>
                <w:color w:val="auto"/>
              </w:rPr>
            </w:pPr>
            <w:r>
              <w:rPr>
                <w:rFonts w:ascii="Arial" w:cs="Arial" w:eastAsia="Arial" w:hAnsi="Arial"/>
                <w:sz w:val="16"/>
                <w:szCs w:val="16"/>
                <w:color w:val="auto"/>
              </w:rPr>
              <w:t>Net cash provided by (used in) financing activities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671</w:t>
            </w:r>
          </w:p>
        </w:tc>
        <w:tc>
          <w:tcPr>
            <w:tcW w:w="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464</w:t>
            </w:r>
          </w:p>
        </w:tc>
        <w:tc>
          <w:tcPr>
            <w:tcW w:w="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93</w:t>
            </w: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w w:val="99"/>
              </w:rPr>
              <w:t>Effect of foreign exchange on cash, cash equivalents, and restricted cash and cash equivalents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1"/>
        </w:trPr>
        <w:tc>
          <w:tcPr>
            <w:tcW w:w="6720" w:type="dxa"/>
            <w:vAlign w:val="bottom"/>
            <w:gridSpan w:val="2"/>
          </w:tcPr>
          <w:p>
            <w:pPr>
              <w:spacing w:after="0"/>
              <w:rPr>
                <w:sz w:val="20"/>
                <w:szCs w:val="20"/>
                <w:color w:val="auto"/>
              </w:rPr>
            </w:pPr>
            <w:r>
              <w:rPr>
                <w:rFonts w:ascii="Arial" w:cs="Arial" w:eastAsia="Arial" w:hAnsi="Arial"/>
                <w:sz w:val="16"/>
                <w:szCs w:val="16"/>
                <w:color w:val="auto"/>
              </w:rPr>
              <w:t>Net increase (decrease) in cash, cash equivalents, and restricted cash and cash equivalents</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82"/>
              </w:rPr>
              <w:t>333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equivalents—beginning of period</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1,236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1,165</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1,165</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4"/>
              </w:rPr>
              <w:t>1,599</w:t>
            </w:r>
          </w:p>
        </w:tc>
        <w:tc>
          <w:tcPr>
            <w:tcW w:w="0" w:type="dxa"/>
            <w:vAlign w:val="bottom"/>
          </w:tcPr>
          <w:p>
            <w:pPr>
              <w:spacing w:after="0"/>
              <w:rPr>
                <w:sz w:val="1"/>
                <w:szCs w:val="1"/>
                <w:color w:val="auto"/>
              </w:rPr>
            </w:pPr>
          </w:p>
        </w:tc>
      </w:tr>
      <w:tr>
        <w:trPr>
          <w:trHeight w:val="195"/>
        </w:trPr>
        <w:tc>
          <w:tcPr>
            <w:tcW w:w="67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equivalents—end of period</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1,236</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1,599</w:t>
            </w:r>
          </w:p>
        </w:tc>
        <w:tc>
          <w:tcPr>
            <w:tcW w:w="3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1,425</w:t>
            </w:r>
          </w:p>
        </w:tc>
        <w:tc>
          <w:tcPr>
            <w:tcW w:w="3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4"/>
              </w:rPr>
              <w:t>1,932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800"/>
          </w:cols>
          <w:pgMar w:left="320" w:top="440" w:right="779" w:bottom="1440" w:gutter="0" w:footer="0" w:header="0"/>
        </w:sectPr>
      </w:pPr>
    </w:p>
    <w:bookmarkStart w:id="324" w:name="page325"/>
    <w:bookmarkEnd w:id="3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i w:val="1"/>
          <w:iCs w:val="1"/>
          <w:color w:val="auto"/>
        </w:rPr>
        <w:t>(in millions)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10"/>
            <w:vMerge w:val="restart"/>
          </w:tcPr>
          <w:p>
            <w:pPr>
              <w:jc w:val="right"/>
              <w:ind w:right="3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126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10"/>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2"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2" w:lineRule="exact"/>
              <w:rPr>
                <w:sz w:val="20"/>
                <w:szCs w:val="20"/>
                <w:color w:val="auto"/>
              </w:rPr>
            </w:pPr>
            <w:r>
              <w:rPr>
                <w:rFonts w:ascii="Arial" w:cs="Arial" w:eastAsia="Arial" w:hAnsi="Arial"/>
                <w:sz w:val="13"/>
                <w:szCs w:val="13"/>
                <w:b w:val="1"/>
                <w:bCs w:val="1"/>
                <w:color w:val="auto"/>
                <w:w w:val="89"/>
              </w:rPr>
              <w:t>2021</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2" w:lineRule="exact"/>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9"/>
              <w:spacing w:after="0" w:line="132" w:lineRule="exact"/>
              <w:rPr>
                <w:sz w:val="20"/>
                <w:szCs w:val="20"/>
                <w:color w:val="auto"/>
              </w:rPr>
            </w:pPr>
            <w:r>
              <w:rPr>
                <w:rFonts w:ascii="Arial" w:cs="Arial" w:eastAsia="Arial" w:hAnsi="Arial"/>
                <w:sz w:val="13"/>
                <w:szCs w:val="13"/>
                <w:b w:val="1"/>
                <w:bCs w:val="1"/>
                <w:color w:val="auto"/>
                <w:w w:val="89"/>
              </w:rPr>
              <w:t>2022</w:t>
            </w: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2" w:lineRule="exact"/>
              <w:rPr>
                <w:sz w:val="20"/>
                <w:szCs w:val="20"/>
                <w:color w:val="auto"/>
              </w:rPr>
            </w:pPr>
            <w:r>
              <w:rPr>
                <w:rFonts w:ascii="Arial" w:cs="Arial" w:eastAsia="Arial" w:hAnsi="Arial"/>
                <w:sz w:val="13"/>
                <w:szCs w:val="13"/>
                <w:b w:val="1"/>
                <w:bCs w:val="1"/>
                <w:color w:val="auto"/>
                <w:w w:val="89"/>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center"/>
              <w:spacing w:after="0" w:line="132" w:lineRule="exact"/>
              <w:rPr>
                <w:sz w:val="20"/>
                <w:szCs w:val="20"/>
                <w:color w:val="auto"/>
              </w:rPr>
            </w:pPr>
            <w:r>
              <w:rPr>
                <w:rFonts w:ascii="Arial" w:cs="Arial" w:eastAsia="Arial" w:hAnsi="Arial"/>
                <w:sz w:val="13"/>
                <w:szCs w:val="13"/>
                <w:b w:val="1"/>
                <w:bCs w:val="1"/>
                <w:color w:val="auto"/>
                <w:w w:val="93"/>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Cash paid for income taxes, net of tax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SUPPLEMENTAL DISCLOSURE OF NON-CASH INVESTING AND FINANCING</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ACTIVITIES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Stock-based compensation capitalized as internal-use software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Issuance of non-voting common stock in connection with business acquisitions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Fair value of contingent consideration in connection with a business acquisition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9"/>
              </w:rPr>
              <w:t>Changes in accrued purchases of property and equipment, including capitalized internal-use</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Deferred offering costs not yet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SUPPLEMENTAL DISCLOSURE OF CASH FLOW INFORMATION RELATED TO</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LEASES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Cash paid for amounts included in the measurement of operating lease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 arising from obtaining right-of-use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00" w:type="dxa"/>
            <w:vAlign w:val="bottom"/>
          </w:tcPr>
          <w:p>
            <w:pPr>
              <w:spacing w:after="0" w:line="190" w:lineRule="exact"/>
              <w:rPr>
                <w:sz w:val="20"/>
                <w:szCs w:val="20"/>
                <w:color w:val="auto"/>
              </w:rPr>
            </w:pPr>
            <w:r>
              <w:rPr>
                <w:rFonts w:ascii="Arial" w:cs="Arial" w:eastAsia="Arial" w:hAnsi="Arial"/>
                <w:sz w:val="17"/>
                <w:szCs w:val="17"/>
                <w:color w:val="auto"/>
              </w:rPr>
              <w:t>Reduction in right-of-use assets and corresponding operating lease liabilities due to lease</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tcPr>
          <w:p>
            <w:pPr>
              <w:ind w:left="140"/>
              <w:spacing w:after="0"/>
              <w:rPr>
                <w:sz w:val="20"/>
                <w:szCs w:val="20"/>
                <w:color w:val="auto"/>
              </w:rPr>
            </w:pPr>
            <w:r>
              <w:rPr>
                <w:rFonts w:ascii="Arial" w:cs="Arial" w:eastAsia="Arial" w:hAnsi="Arial"/>
                <w:sz w:val="17"/>
                <w:szCs w:val="17"/>
                <w:color w:val="auto"/>
              </w:rPr>
              <w:t>modifications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0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RECONCILIATION OF CASH, CASH EQUIVALENTS, AND RESTRICTED CASH AND</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CASH EQUIVALENTS TO THE CONSOLIDATED BALANCE SHEETS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1,217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1,146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1,505</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1,406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 current</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Restricted cash and cash equivalents, noncurrent</w:t>
            </w:r>
          </w:p>
        </w:tc>
        <w:tc>
          <w:tcPr>
            <w:tcW w:w="8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Total cash, cash equivalents, and restricted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1,236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1,165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1,599</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1,425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00"/>
          </w:cols>
          <w:pgMar w:left="320" w:top="440" w:right="77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0" w:lineRule="exact"/>
        <w:rPr>
          <w:sz w:val="20"/>
          <w:szCs w:val="20"/>
          <w:color w:val="auto"/>
        </w:rPr>
      </w:pPr>
    </w:p>
    <w:p>
      <w:pPr>
        <w:ind w:left="800" w:hanging="343"/>
        <w:spacing w:after="0"/>
        <w:tabs>
          <w:tab w:leader="none" w:pos="800"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Business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08" w:lineRule="exact"/>
        <w:rPr>
          <w:sz w:val="20"/>
          <w:szCs w:val="20"/>
          <w:color w:val="auto"/>
        </w:rPr>
      </w:pPr>
    </w:p>
    <w:p>
      <w:pPr>
        <w:ind w:left="460" w:right="20"/>
        <w:spacing w:after="0" w:line="268" w:lineRule="auto"/>
        <w:rPr>
          <w:sz w:val="20"/>
          <w:szCs w:val="20"/>
          <w:color w:val="auto"/>
        </w:rPr>
      </w:pPr>
      <w:r>
        <w:rPr>
          <w:rFonts w:ascii="Arial" w:cs="Arial" w:eastAsia="Arial" w:hAnsi="Arial"/>
          <w:sz w:val="16"/>
          <w:szCs w:val="16"/>
          <w:color w:val="auto"/>
        </w:rPr>
        <w:t>Maplebear Inc., doing business as (“DBA”) Instacart (the “Company”), was incorporated in Delaware on August 3, 2012 and is headquartered in San Francisco, California. The Company is a diversified technology business that operates a technology solution that enables connections and transactions among end users, retailers, advertisers, and shoppers mainly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on a fee per transaction basis or for a percentage of the total purchase value from the sale of goods, or some combination thereof. Advertisers have the opportunity to purchase sponsored product ads, display ads, coupons, and a variety of other online advertising services. Shoppers use the Company’s technology solution for fulfillment or delivery service opportunities primarily on a fee per batch basis. The vast majority of shoppers are full-service shoppers, who are independent contractors that pick and deliver orders. The remaining shoppers are primarily in-store shoppers, who are the Company’s employees and only engage in various in-store duties, including picking orders, and do not engage in any delivery services. The Company also sells software-as-a-service offerings targeted at retailers and charges fees for such offerings.</w:t>
      </w:r>
    </w:p>
    <w:p>
      <w:pPr>
        <w:spacing w:after="0" w:line="269" w:lineRule="exact"/>
        <w:rPr>
          <w:sz w:val="20"/>
          <w:szCs w:val="20"/>
          <w:color w:val="auto"/>
        </w:rPr>
      </w:pPr>
    </w:p>
    <w:p>
      <w:pPr>
        <w:ind w:left="800" w:hanging="343"/>
        <w:spacing w:after="0"/>
        <w:tabs>
          <w:tab w:leader="none" w:pos="800"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8" w:lineRule="exact"/>
        <w:rPr>
          <w:sz w:val="20"/>
          <w:szCs w:val="20"/>
          <w:color w:val="auto"/>
        </w:rPr>
      </w:pPr>
    </w:p>
    <w:p>
      <w:pPr>
        <w:ind w:left="460" w:right="20"/>
        <w:spacing w:after="0" w:line="260" w:lineRule="auto"/>
        <w:rPr>
          <w:sz w:val="20"/>
          <w:szCs w:val="20"/>
          <w:color w:val="auto"/>
        </w:rPr>
      </w:pPr>
      <w:r>
        <w:rPr>
          <w:rFonts w:ascii="Arial" w:cs="Arial" w:eastAsia="Arial" w:hAnsi="Arial"/>
          <w:sz w:val="17"/>
          <w:szCs w:val="17"/>
          <w:color w:val="auto"/>
        </w:rPr>
        <w:t>The accompanying consolidated financial statements include those of the Company and its wholly-owned subsidiaries, after elimination of all intercompany accounts and transactions. The Company has prepared the accompanying consolidated financial statements in accordance with accounting principles generally accepted in the United States of America (“U.S. GAAP”).</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Interim Consolidated Financial Information</w:t>
      </w:r>
    </w:p>
    <w:p>
      <w:pPr>
        <w:spacing w:after="0" w:line="108" w:lineRule="exact"/>
        <w:rPr>
          <w:sz w:val="20"/>
          <w:szCs w:val="20"/>
          <w:color w:val="auto"/>
        </w:rPr>
      </w:pPr>
    </w:p>
    <w:p>
      <w:pPr>
        <w:ind w:left="460"/>
        <w:spacing w:after="0" w:line="289" w:lineRule="auto"/>
        <w:rPr>
          <w:sz w:val="20"/>
          <w:szCs w:val="20"/>
          <w:color w:val="auto"/>
        </w:rPr>
      </w:pPr>
      <w:r>
        <w:rPr>
          <w:rFonts w:ascii="Arial" w:cs="Arial" w:eastAsia="Arial" w:hAnsi="Arial"/>
          <w:sz w:val="15"/>
          <w:szCs w:val="15"/>
          <w:color w:val="auto"/>
        </w:rPr>
        <w:t>The accompanying interim consolidated balance sheet as of June 30, 2023 and the interim consolidated statements of operations, comprehensive income (loss), redeemable convertible preferred stock and stockholders’ equity (deficit), and cash flows for the six months ended June 30, 2022 and 2023 and the related notes to such interim consolidated financial statements are unaudited. These unaudited interim consolidated financial statements are presented in accordance with the rules and regulations of the U.S. Securities and Exchange Commission and do not include all disclosures normally required in annual consolidated financial statements prepared in accordance with U.S. GAAP. In management’s opinion, the unaudited interim consolidated financial statements have been prepared on the same basis as the annual financial statements and reflect all adjustments, which include only normal recurring adjustments necessary for the fair statement of the Company’s financial position as of June 30, 2023 and the Company’s consolidated results of operations and cash flows for the six months ended June 30, 2022 and 2023. The results of operations for the six months ended June 30, 2023 are not necessarily indicative of the results to be expected for the full year or any other future interim or annual period.</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08" w:lineRule="exact"/>
        <w:rPr>
          <w:sz w:val="20"/>
          <w:szCs w:val="20"/>
          <w:color w:val="auto"/>
        </w:rPr>
      </w:pPr>
    </w:p>
    <w:p>
      <w:pPr>
        <w:ind w:left="460" w:right="20"/>
        <w:spacing w:after="0" w:line="284" w:lineRule="auto"/>
        <w:rPr>
          <w:sz w:val="20"/>
          <w:szCs w:val="20"/>
          <w:color w:val="auto"/>
        </w:rPr>
      </w:pPr>
      <w:r>
        <w:rPr>
          <w:rFonts w:ascii="Arial" w:cs="Arial" w:eastAsia="Arial" w:hAnsi="Arial"/>
          <w:sz w:val="16"/>
          <w:szCs w:val="16"/>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CODM reviews financial information on a consolidated basis for purposes of making operating decisions,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780"/>
          </w:cols>
          <w:pgMar w:left="320" w:top="440" w:right="799" w:bottom="1440" w:gutter="0" w:footer="0" w:header="0"/>
        </w:sectPr>
      </w:pPr>
    </w:p>
    <w:bookmarkStart w:id="326" w:name="page327"/>
    <w:bookmarkEnd w:id="3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allocating resources, and evaluating financial performance. As such, the Company has one operating and reportable segment. Geographic information is included in Note 3—Revenue and Note 6—Property and Equipment, Net.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8" w:lineRule="exact"/>
        <w:rPr>
          <w:sz w:val="20"/>
          <w:szCs w:val="20"/>
          <w:color w:val="auto"/>
        </w:rPr>
      </w:pPr>
    </w:p>
    <w:p>
      <w:pPr>
        <w:ind w:left="460"/>
        <w:spacing w:after="0" w:line="286" w:lineRule="auto"/>
        <w:rPr>
          <w:sz w:val="20"/>
          <w:szCs w:val="20"/>
          <w:color w:val="auto"/>
        </w:rPr>
      </w:pPr>
      <w:r>
        <w:rPr>
          <w:rFonts w:ascii="Arial" w:cs="Arial" w:eastAsia="Arial" w:hAnsi="Arial"/>
          <w:sz w:val="15"/>
          <w:szCs w:val="15"/>
          <w:color w:val="auto"/>
        </w:rPr>
        <w:t>The preparation of financial statements in conformity with U.S. GAAP requires management to make judgments, estimates, and assumptions that affect the reported amounts of assets and liabilities and disclosure of contingent assets and liabilities 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stock-based compensation,</w:t>
      </w:r>
    </w:p>
    <w:p>
      <w:pPr>
        <w:ind w:left="760" w:hanging="303"/>
        <w:spacing w:after="0"/>
        <w:tabs>
          <w:tab w:leader="none" w:pos="76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valuation of the Company’s common stock and equity awards, (iv) fair value of assets acquired and liabilities assumed for business combinations,</w:t>
      </w:r>
    </w:p>
    <w:p>
      <w:pPr>
        <w:spacing w:after="0" w:line="30" w:lineRule="exact"/>
        <w:rPr>
          <w:rFonts w:ascii="Arial" w:cs="Arial" w:eastAsia="Arial" w:hAnsi="Arial"/>
          <w:sz w:val="15"/>
          <w:szCs w:val="15"/>
          <w:color w:val="auto"/>
        </w:rPr>
      </w:pPr>
    </w:p>
    <w:p>
      <w:pPr>
        <w:ind w:left="460" w:right="100" w:hanging="3"/>
        <w:spacing w:after="0" w:line="253" w:lineRule="auto"/>
        <w:tabs>
          <w:tab w:leader="none" w:pos="699" w:val="left"/>
        </w:tabs>
        <w:numPr>
          <w:ilvl w:val="0"/>
          <w:numId w:val="281"/>
        </w:numPr>
        <w:rPr>
          <w:rFonts w:ascii="Arial" w:cs="Arial" w:eastAsia="Arial" w:hAnsi="Arial"/>
          <w:sz w:val="17"/>
          <w:szCs w:val="17"/>
          <w:color w:val="auto"/>
        </w:rPr>
      </w:pPr>
      <w:r>
        <w:rPr>
          <w:rFonts w:ascii="Arial" w:cs="Arial" w:eastAsia="Arial" w:hAnsi="Arial"/>
          <w:sz w:val="17"/>
          <w:szCs w:val="17"/>
          <w:color w:val="auto"/>
        </w:rPr>
        <w:t>sales and indirect tax reserves, (vi) legal and other loss contingencies, and (vii) income taxes. The Company determines its estimates and judgments on historical experience and on various other assumptions that it believes are reasonable under the circumstances. However, actual results could differ from these estimates, and these differences may be material.</w:t>
      </w:r>
    </w:p>
    <w:p>
      <w:pPr>
        <w:spacing w:after="0" w:line="181" w:lineRule="exact"/>
        <w:rPr>
          <w:sz w:val="20"/>
          <w:szCs w:val="20"/>
          <w:color w:val="auto"/>
        </w:rPr>
      </w:pPr>
    </w:p>
    <w:p>
      <w:pPr>
        <w:ind w:left="460" w:right="140"/>
        <w:spacing w:after="0" w:line="272" w:lineRule="auto"/>
        <w:rPr>
          <w:sz w:val="20"/>
          <w:szCs w:val="20"/>
          <w:color w:val="auto"/>
        </w:rPr>
      </w:pPr>
      <w:r>
        <w:rPr>
          <w:rFonts w:ascii="Arial" w:cs="Arial" w:eastAsia="Arial" w:hAnsi="Arial"/>
          <w:sz w:val="16"/>
          <w:szCs w:val="16"/>
          <w:color w:val="auto"/>
        </w:rPr>
        <w:t>The Company has considered the impacts of the COVID-19 pandemic, macroeconomic trends such as higher inflation, rising interest rates, and associated decreases in consumer discretionary income, the effects of supply chain challenges, cessation of government stimulus, and uncertainty regarding an economic recession on the assumptions and inputs supporting certain of the Company’s estimates, assumptions, and judgments. The level of uncertainties and volatility in the global financial markets and economies, as well as the uncertainties related to the impact of the pandemic, macroeconomic factors, and their effects on the Company’s operations and financial performance, means that these estimates may change in future periods as new events occur and additional information is obtained.</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08"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accounting guidance describes a fair value hierarchy based on three levels of inputs, of which the first two are considered observable and the last unobservable, that may be used to measure fair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three-level hierarchy for fair value measurements is defined as follows:</w:t>
      </w:r>
    </w:p>
    <w:p>
      <w:pPr>
        <w:spacing w:after="0" w:line="23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Inputs to the valuation methodology are quoted prices (unadjusted) for identical assets or liabilities in active markets;</w:t>
      </w:r>
    </w:p>
    <w:p>
      <w:pPr>
        <w:spacing w:after="0" w:line="108" w:lineRule="exact"/>
        <w:rPr>
          <w:sz w:val="20"/>
          <w:szCs w:val="20"/>
          <w:color w:val="auto"/>
        </w:rPr>
      </w:pPr>
    </w:p>
    <w:p>
      <w:pPr>
        <w:jc w:val="both"/>
        <w:ind w:left="1780" w:right="380" w:hanging="898"/>
        <w:spacing w:after="0" w:line="260" w:lineRule="auto"/>
        <w:tabs>
          <w:tab w:leader="none" w:pos="176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Inputs to the valuation methodology include quoted prices for similar assets and liabilities in active markets, and inputs that are observable for the asset or liability other than quoted prices, either directly or indirectly, including inputs in markets that are not considered to be active; and</w:t>
      </w:r>
    </w:p>
    <w:p>
      <w:pPr>
        <w:spacing w:after="0" w:line="7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210" w:lineRule="exact"/>
        <w:rPr>
          <w:sz w:val="20"/>
          <w:szCs w:val="20"/>
          <w:color w:val="auto"/>
        </w:rPr>
      </w:pPr>
    </w:p>
    <w:p>
      <w:pPr>
        <w:ind w:left="460" w:right="80"/>
        <w:spacing w:after="0" w:line="256" w:lineRule="auto"/>
        <w:rPr>
          <w:sz w:val="20"/>
          <w:szCs w:val="20"/>
          <w:color w:val="auto"/>
        </w:rPr>
      </w:pPr>
      <w:r>
        <w:rPr>
          <w:rFonts w:ascii="Arial" w:cs="Arial" w:eastAsia="Arial" w:hAnsi="Arial"/>
          <w:sz w:val="17"/>
          <w:szCs w:val="17"/>
          <w:color w:val="auto"/>
        </w:rPr>
        <w:t>The Company’s financial instruments consist primarily of cash equivalents, marketable securities, accounts receivable, accounts payable, and accrued and other current liabilities. The carrying amounts of the Company’s cash equivalents, accounts receivable, accounts payable, and accrued and other current liabilities approximate fair value due to their short maturities. Refer to Note 4—Fair Value Measurements for further information related to cash equivalents and marketable securities.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80"/>
          </w:cols>
          <w:pgMar w:left="320" w:top="440" w:right="799" w:bottom="1440" w:gutter="0" w:footer="0" w:header="0"/>
        </w:sectPr>
      </w:pPr>
    </w:p>
    <w:bookmarkStart w:id="327" w:name="page328"/>
    <w:bookmarkEnd w:id="3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08" w:lineRule="exact"/>
        <w:rPr>
          <w:sz w:val="20"/>
          <w:szCs w:val="20"/>
          <w:color w:val="auto"/>
        </w:rPr>
      </w:pPr>
    </w:p>
    <w:p>
      <w:pPr>
        <w:ind w:left="460"/>
        <w:spacing w:after="0" w:line="269" w:lineRule="auto"/>
        <w:rPr>
          <w:sz w:val="20"/>
          <w:szCs w:val="20"/>
          <w:color w:val="auto"/>
        </w:rPr>
      </w:pPr>
      <w:r>
        <w:rPr>
          <w:rFonts w:ascii="Arial" w:cs="Arial" w:eastAsia="Arial" w:hAnsi="Arial"/>
          <w:sz w:val="16"/>
          <w:szCs w:val="16"/>
          <w:color w:val="auto"/>
        </w:rPr>
        <w:t>The Company’s reporting currency is the U.S. dollar. The Company determines the functional currency for each of its foreign subsidiaries by reviewing their operations and currencies used in their primary economic environments. Most of the Company’s foreign subsidiaries’ functional currency is the local currency of their respective country. Transactions denominated in currencies other than the functional currency are remeasured to the functional currency at the exchange rate on the transaction date. Monetary assets and liabilities denominated in currencies other than the functional currency are remeasured at period-end using the period-end exchange rate. Gains and losses resulting from remeasurement are recorded in the consolidated statements of operations. Subsidiaries’ assets and liabilities with non-U.S. dollar functional currencies are translated at the period-end rate. Accumulated deficit and other equity items are translated at historical rates, and revenue and expenses are translated at average exchange rates during the period. Gains and losses resulting from the translation of the consolidated balance sheets are recorded as a component of accumulated other comprehensive income (loss).</w:t>
      </w:r>
    </w:p>
    <w:p>
      <w:pPr>
        <w:spacing w:after="0" w:line="170"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Net foreign exchange transaction and remeasurement gains and losses were not material for the years ended December 31, 2020, 2021, or 2022 or the six months ended June 30, 2022 or 2023 (unaudited).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60"/>
        <w:spacing w:after="0" w:line="268" w:lineRule="auto"/>
        <w:rPr>
          <w:sz w:val="20"/>
          <w:szCs w:val="20"/>
          <w:color w:val="auto"/>
        </w:rPr>
      </w:pPr>
      <w:r>
        <w:rPr>
          <w:rFonts w:ascii="Arial" w:cs="Arial" w:eastAsia="Arial" w:hAnsi="Arial"/>
          <w:sz w:val="16"/>
          <w:szCs w:val="16"/>
          <w:color w:val="auto"/>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consisting primarily of third-party legal and consulting costs, are expensed as incurred.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8"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Cash includes demand deposits with banks or financial institutions as well as cash in transit from payment processors. Cash in transit from payment processors was $16 million, $86 million, and $89 million as of December 31, 2021 and 2022 and June 30, 2023 (unaudited), respectively. The Company considers all highly-liquid investments purchased with an original or remaining maturity of 90 days or less at the date of purchase to be cash equivalents. Cash equivalents consist of investments in commercial paper, money market funds, and U.S. government and government agency debt securities.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Cash and Cash Equivalents</w:t>
      </w:r>
    </w:p>
    <w:p>
      <w:pPr>
        <w:spacing w:after="0" w:line="108"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The Company has certificates of deposits that collateralize unconditional, irrevocable letters of credit. The letters of credit are held as security for several of the Company’s operating leases and for corporate insurance policies, certain of which are re-negotiated on an annual basis. As of December 31, 2022 and June 30, 2023 (unaudited), these letters of credit vary in term and have expiration dates through October 2026. The Company has classified these certificates of deposit within restricted cash and cash equivalents, current or noncurrent, on the consolidated balance sheets based on the underlying maturity date of these letters of credit.</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740"/>
          </w:cols>
          <w:pgMar w:left="320" w:top="440" w:right="839" w:bottom="1440" w:gutter="0" w:footer="0" w:header="0"/>
        </w:sectPr>
      </w:pPr>
    </w:p>
    <w:bookmarkStart w:id="328" w:name="page329"/>
    <w:bookmarkEnd w:id="3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74" w:lineRule="auto"/>
        <w:rPr>
          <w:sz w:val="20"/>
          <w:szCs w:val="20"/>
          <w:color w:val="auto"/>
        </w:rPr>
      </w:pPr>
      <w:r>
        <w:rPr>
          <w:rFonts w:ascii="Arial" w:cs="Arial" w:eastAsia="Arial" w:hAnsi="Arial"/>
          <w:sz w:val="16"/>
          <w:szCs w:val="16"/>
          <w:color w:val="auto"/>
        </w:rPr>
        <w:t>Beginning in October 2022, the Company is required to maintain funds in a custodial bank account pursuant to an agreement with a payment card issuer. The withdrawal or general use of these funds is legally restricted. From time to time, these funds may be used to enter in reverse repurchase agreements with a third-party as an overnight lending arrangement. In these cases, the Company classified the reverse repurchase agreements as restricted cash equivalents due to the short-term nature. As of December 31, 2022 and June 30, 2023 (unaudited), $75 million is maintained in the custodial bank account and included within restricted cash and cash equivalents, current, on the consolidated balance sheets.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Accounts Receivable and Allowance</w:t>
      </w:r>
    </w:p>
    <w:p>
      <w:pPr>
        <w:spacing w:after="0" w:line="108" w:lineRule="exact"/>
        <w:rPr>
          <w:sz w:val="20"/>
          <w:szCs w:val="20"/>
          <w:color w:val="auto"/>
        </w:rPr>
      </w:pPr>
    </w:p>
    <w:p>
      <w:pPr>
        <w:ind w:left="460" w:right="40"/>
        <w:spacing w:after="0" w:line="296" w:lineRule="auto"/>
        <w:rPr>
          <w:sz w:val="20"/>
          <w:szCs w:val="20"/>
          <w:color w:val="auto"/>
        </w:rPr>
      </w:pPr>
      <w:r>
        <w:rPr>
          <w:rFonts w:ascii="Arial" w:cs="Arial" w:eastAsia="Arial" w:hAnsi="Arial"/>
          <w:sz w:val="15"/>
          <w:szCs w:val="15"/>
          <w:color w:val="auto"/>
        </w:rPr>
        <w:t>The Company’s accounts receivable primarily consists of retailer and advertiser obligations due under normal trade terms and is reported net of allowance. The Company generally collects the gross transaction amount for each order and remits the purchase value of the related goods to the retailer at the retailers’ point-of-sale. In certain cases, the gross transaction amount is partially or completely collected by the retailer from the end user which the Company later recoups from the retailer. Such amounts are included within accounts receivable, net on the consolidated balance sheets and totaled $427 million, $380 million, and $309 million as of December 31, 2021 and 2022 and June 30, 2023 (unaudited), respectively.</w:t>
      </w:r>
    </w:p>
    <w:p>
      <w:pPr>
        <w:spacing w:after="0" w:line="152" w:lineRule="exact"/>
        <w:rPr>
          <w:sz w:val="20"/>
          <w:szCs w:val="20"/>
          <w:color w:val="auto"/>
        </w:rPr>
      </w:pPr>
    </w:p>
    <w:p>
      <w:pPr>
        <w:ind w:left="460" w:right="20"/>
        <w:spacing w:after="0" w:line="269" w:lineRule="auto"/>
        <w:rPr>
          <w:sz w:val="20"/>
          <w:szCs w:val="20"/>
          <w:color w:val="auto"/>
        </w:rPr>
      </w:pPr>
      <w:r>
        <w:rPr>
          <w:rFonts w:ascii="Arial" w:cs="Arial" w:eastAsia="Arial" w:hAnsi="Arial"/>
          <w:sz w:val="16"/>
          <w:szCs w:val="16"/>
          <w:color w:val="auto"/>
        </w:rPr>
        <w:t>The Company maintains an allowance for credit losses for accounts receivable, which is recorded as an offset to accounts receivable, and changes in this allowance are recorded within general and administrative expense in the consolidated statements of operations. The Company assesses collectability by reviewing accounts receivable on a collective basis when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and makes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 No material write-offs of accounts receivable have been recorded during the years ended December 31, 2020, 2021, or 2022 or the six months ended June 30, 2022 or 2023 (unaudited).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08"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 risk consist principally of cash and cash equivalents, restricted cash and cash equivalents, marketable securities, and accounts receivable. The Company’s cash is held with multiple financial institutions in the United States, for which the balances are regularly in excess of federally insured limits, and in Canada, Australia, and China. The Company’s investments consist primarily of U.S. government and government agency debt securities, commercial paper, and corporate debt securities that management believes are of high credit quality.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customers accounted for 10% or more of the Company’s revenue:</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gridSpan w:val="3"/>
          </w:tcPr>
          <w:p>
            <w:pPr>
              <w:ind w:left="26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40" w:type="dxa"/>
            <w:vAlign w:val="bottom"/>
            <w:gridSpan w:val="3"/>
          </w:tcPr>
          <w:p>
            <w:pPr>
              <w:ind w:left="300"/>
              <w:spacing w:after="0"/>
              <w:rPr>
                <w:sz w:val="20"/>
                <w:szCs w:val="20"/>
                <w:color w:val="auto"/>
              </w:rPr>
            </w:pPr>
            <w:r>
              <w:rPr>
                <w:rFonts w:ascii="Arial" w:cs="Arial" w:eastAsia="Arial" w:hAnsi="Arial"/>
                <w:sz w:val="13"/>
                <w:szCs w:val="13"/>
                <w:b w:val="1"/>
                <w:bCs w:val="1"/>
                <w:color w:val="auto"/>
              </w:rPr>
              <w:t>Six Months Ended June 30,</w:t>
            </w:r>
          </w:p>
        </w:tc>
      </w:tr>
      <w:tr>
        <w:trPr>
          <w:trHeight w:val="132"/>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00" w:type="dxa"/>
            <w:vAlign w:val="bottom"/>
            <w:tcBorders>
              <w:top w:val="single" w:sz="8" w:color="auto"/>
            </w:tcBorders>
          </w:tcPr>
          <w:p>
            <w:pPr>
              <w:ind w:left="60"/>
              <w:spacing w:after="0" w:line="132" w:lineRule="exact"/>
              <w:rPr>
                <w:sz w:val="20"/>
                <w:szCs w:val="20"/>
                <w:color w:val="auto"/>
              </w:rPr>
            </w:pPr>
            <w:r>
              <w:rPr>
                <w:rFonts w:ascii="Arial" w:cs="Arial" w:eastAsia="Arial" w:hAnsi="Arial"/>
                <w:sz w:val="13"/>
                <w:szCs w:val="13"/>
                <w:b w:val="1"/>
                <w:bCs w:val="1"/>
                <w:color w:val="auto"/>
              </w:rPr>
              <w:t>2020</w:t>
            </w:r>
          </w:p>
        </w:tc>
        <w:tc>
          <w:tcPr>
            <w:tcW w:w="1200" w:type="dxa"/>
            <w:vAlign w:val="bottom"/>
            <w:tcBorders>
              <w:top w:val="single" w:sz="8" w:color="auto"/>
            </w:tcBorders>
            <w:gridSpan w:val="2"/>
          </w:tcPr>
          <w:p>
            <w:pPr>
              <w:jc w:val="right"/>
              <w:ind w:right="60"/>
              <w:spacing w:after="0" w:line="132" w:lineRule="exact"/>
              <w:rPr>
                <w:sz w:val="20"/>
                <w:szCs w:val="20"/>
                <w:color w:val="auto"/>
              </w:rPr>
            </w:pPr>
            <w:r>
              <w:rPr>
                <w:rFonts w:ascii="Arial" w:cs="Arial" w:eastAsia="Arial" w:hAnsi="Arial"/>
                <w:sz w:val="13"/>
                <w:szCs w:val="13"/>
                <w:b w:val="1"/>
                <w:bCs w:val="1"/>
                <w:color w:val="auto"/>
              </w:rPr>
              <w:t>2021</w:t>
            </w: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9"/>
              <w:spacing w:after="0" w:line="132" w:lineRule="exact"/>
              <w:rPr>
                <w:sz w:val="20"/>
                <w:szCs w:val="20"/>
                <w:color w:val="auto"/>
              </w:rPr>
            </w:pPr>
            <w:r>
              <w:rPr>
                <w:rFonts w:ascii="Arial" w:cs="Arial" w:eastAsia="Arial" w:hAnsi="Arial"/>
                <w:sz w:val="13"/>
                <w:szCs w:val="13"/>
                <w:b w:val="1"/>
                <w:bCs w:val="1"/>
                <w:color w:val="auto"/>
              </w:rPr>
              <w:t>2022</w:t>
            </w:r>
          </w:p>
        </w:tc>
        <w:tc>
          <w:tcPr>
            <w:tcW w:w="820" w:type="dxa"/>
            <w:vAlign w:val="bottom"/>
          </w:tcPr>
          <w:p>
            <w:pPr>
              <w:spacing w:after="0"/>
              <w:rPr>
                <w:sz w:val="11"/>
                <w:szCs w:val="11"/>
                <w:color w:val="auto"/>
              </w:rPr>
            </w:pPr>
          </w:p>
        </w:tc>
        <w:tc>
          <w:tcPr>
            <w:tcW w:w="700" w:type="dxa"/>
            <w:vAlign w:val="bottom"/>
            <w:tcBorders>
              <w:top w:val="single" w:sz="8" w:color="auto"/>
            </w:tcBorders>
          </w:tcPr>
          <w:p>
            <w:pPr>
              <w:jc w:val="right"/>
              <w:ind w:right="161"/>
              <w:spacing w:after="0" w:line="132" w:lineRule="exact"/>
              <w:rPr>
                <w:sz w:val="20"/>
                <w:szCs w:val="20"/>
                <w:color w:val="auto"/>
              </w:rPr>
            </w:pPr>
            <w:r>
              <w:rPr>
                <w:rFonts w:ascii="Arial" w:cs="Arial" w:eastAsia="Arial" w:hAnsi="Arial"/>
                <w:sz w:val="13"/>
                <w:szCs w:val="13"/>
                <w:b w:val="1"/>
                <w:bCs w:val="1"/>
                <w:color w:val="auto"/>
              </w:rPr>
              <w:t>2022</w:t>
            </w:r>
          </w:p>
        </w:tc>
        <w:tc>
          <w:tcPr>
            <w:tcW w:w="1500" w:type="dxa"/>
            <w:vAlign w:val="bottom"/>
            <w:tcBorders>
              <w:top w:val="single" w:sz="8" w:color="auto"/>
            </w:tcBorders>
          </w:tcPr>
          <w:p>
            <w:pPr>
              <w:jc w:val="right"/>
              <w:ind w:right="141"/>
              <w:spacing w:after="0" w:line="132" w:lineRule="exact"/>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701"/>
              <w:spacing w:after="0" w:line="132" w:lineRule="exact"/>
              <w:rPr>
                <w:sz w:val="20"/>
                <w:szCs w:val="20"/>
                <w:color w:val="auto"/>
              </w:rPr>
            </w:pPr>
            <w:r>
              <w:rPr>
                <w:rFonts w:ascii="Arial" w:cs="Arial" w:eastAsia="Arial" w:hAnsi="Arial"/>
                <w:sz w:val="13"/>
                <w:szCs w:val="13"/>
                <w:b w:val="1"/>
                <w:bCs w:val="1"/>
                <w:color w:val="auto"/>
                <w:w w:val="98"/>
              </w:rPr>
              <w:t>(unaudited)</w:t>
            </w:r>
          </w:p>
        </w:tc>
        <w:tc>
          <w:tcPr>
            <w:tcW w:w="4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8"/>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Customer B</w:t>
            </w:r>
          </w:p>
        </w:tc>
        <w:tc>
          <w:tcPr>
            <w:tcW w:w="400" w:type="dxa"/>
            <w:vAlign w:val="bottom"/>
          </w:tcPr>
          <w:p>
            <w:pPr>
              <w:ind w:left="80"/>
              <w:spacing w:after="0"/>
              <w:rPr>
                <w:sz w:val="20"/>
                <w:szCs w:val="20"/>
                <w:color w:val="auto"/>
              </w:rPr>
            </w:pPr>
            <w:r>
              <w:rPr>
                <w:rFonts w:ascii="Arial" w:cs="Arial" w:eastAsia="Arial" w:hAnsi="Arial"/>
                <w:sz w:val="17"/>
                <w:szCs w:val="17"/>
                <w:color w:val="auto"/>
                <w:w w:val="88"/>
              </w:rPr>
              <w:t>34%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w:t>
            </w:r>
          </w:p>
        </w:tc>
        <w:tc>
          <w:tcPr>
            <w:tcW w:w="150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8"/>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Customer D</w:t>
            </w:r>
          </w:p>
        </w:tc>
        <w:tc>
          <w:tcPr>
            <w:tcW w:w="400" w:type="dxa"/>
            <w:vAlign w:val="bottom"/>
          </w:tcPr>
          <w:p>
            <w:pPr>
              <w:ind w:left="80"/>
              <w:spacing w:after="0"/>
              <w:rPr>
                <w:sz w:val="20"/>
                <w:szCs w:val="20"/>
                <w:color w:val="auto"/>
              </w:rPr>
            </w:pPr>
            <w:r>
              <w:rPr>
                <w:rFonts w:ascii="Arial" w:cs="Arial" w:eastAsia="Arial" w:hAnsi="Arial"/>
                <w:sz w:val="17"/>
                <w:szCs w:val="17"/>
                <w:color w:val="auto"/>
                <w:w w:val="88"/>
              </w:rPr>
              <w:t>15%</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w:t>
            </w:r>
          </w:p>
        </w:tc>
        <w:tc>
          <w:tcPr>
            <w:tcW w:w="150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8"/>
                <w:szCs w:val="18"/>
                <w:color w:val="auto"/>
              </w:rPr>
            </w:pPr>
          </w:p>
        </w:tc>
      </w:tr>
    </w:tbl>
    <w:p>
      <w:pPr>
        <w:spacing w:after="0" w:line="204" w:lineRule="exact"/>
        <w:rPr>
          <w:sz w:val="20"/>
          <w:szCs w:val="20"/>
          <w:color w:val="auto"/>
        </w:rPr>
      </w:pPr>
    </w:p>
    <w:p>
      <w:pPr>
        <w:ind w:left="860" w:hanging="403"/>
        <w:spacing w:after="0"/>
        <w:tabs>
          <w:tab w:leader="none" w:pos="8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Customer did not represent 10% or more of revenue.</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780"/>
          </w:cols>
          <w:pgMar w:left="320" w:top="440" w:right="799" w:bottom="1440" w:gutter="0" w:footer="0" w:header="0"/>
        </w:sectPr>
      </w:pPr>
    </w:p>
    <w:bookmarkStart w:id="329" w:name="page330"/>
    <w:bookmarkEnd w:id="3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One customer, who is a retailer, accounted for 15% of the Company’s accounts receivable as of December 31, 2021. No customers accounted for 10% or more of the Company’s accounts receivable as of December 31, 2022 or June 30, 2023 (unaudited).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08" w:lineRule="exact"/>
        <w:rPr>
          <w:sz w:val="20"/>
          <w:szCs w:val="20"/>
          <w:color w:val="auto"/>
        </w:rPr>
      </w:pPr>
    </w:p>
    <w:p>
      <w:pPr>
        <w:ind w:left="460"/>
        <w:spacing w:after="0" w:line="269" w:lineRule="auto"/>
        <w:rPr>
          <w:sz w:val="20"/>
          <w:szCs w:val="20"/>
          <w:color w:val="auto"/>
        </w:rPr>
      </w:pPr>
      <w:r>
        <w:rPr>
          <w:rFonts w:ascii="Arial" w:cs="Arial" w:eastAsia="Arial" w:hAnsi="Arial"/>
          <w:sz w:val="16"/>
          <w:szCs w:val="16"/>
          <w:color w:val="auto"/>
        </w:rPr>
        <w:t>Marketable securities consist primarily of commercial paper, money market funds, corporate debt securities, and U.S. government and government agency debt securities. The Company invests in a diversified portfolio of marketable securities and limits the concentration of its investments in any particular security. Marketable securities with original maturities at the date of purchase of 90 days or less are included within cash and cash equivalents, and marketable securities with original maturities greater than 90 days, but less than or equal to one year, are included within short-term marketable securities on the consolidated balance sheets. Marketable securities with original maturities as of the balance sheet date greater than one year are included within long-term marketable securities on the consolidated balance sheets. The Company determines the appropriate classification of marketable securities at the time of purchase. Marketable securities are classified as available-for-sale securities and are carried at fair value on the consolidated balance sheets, with all unrealized gains and losses, net of tax except for credit-related impairment losses, recorded as a component of accumulated other comprehensive income (loss).</w:t>
      </w:r>
    </w:p>
    <w:p>
      <w:pPr>
        <w:spacing w:after="0" w:line="170" w:lineRule="exact"/>
        <w:rPr>
          <w:sz w:val="20"/>
          <w:szCs w:val="20"/>
          <w:color w:val="auto"/>
        </w:rPr>
      </w:pPr>
    </w:p>
    <w:p>
      <w:pPr>
        <w:ind w:left="460" w:right="120"/>
        <w:spacing w:after="0" w:line="254" w:lineRule="auto"/>
        <w:rPr>
          <w:sz w:val="20"/>
          <w:szCs w:val="20"/>
          <w:color w:val="auto"/>
        </w:rPr>
      </w:pPr>
      <w:r>
        <w:rPr>
          <w:rFonts w:ascii="Arial" w:cs="Arial" w:eastAsia="Arial" w:hAnsi="Arial"/>
          <w:sz w:val="17"/>
          <w:szCs w:val="17"/>
          <w:color w:val="auto"/>
        </w:rPr>
        <w:t>The Company evaluates its marketable securities with unrealized loss positions for impairment by assessing if they are related to deterioration in credit risk and whether the entire amortized cost basis of the security will be recovered, the intent to sell, and whether it is more likely than not that the Company will be required to sell the securities before the recovery of their cost basis. Credit-related impairment losses, not to exceed the amount that fair value is less than the amortized cost basis, are recognized through an allowance for credit losses with changes in the allowance for credit losses recorded in the consolidated statements of operations.</w:t>
      </w:r>
    </w:p>
    <w:p>
      <w:pPr>
        <w:spacing w:after="0" w:line="181" w:lineRule="exact"/>
        <w:rPr>
          <w:sz w:val="20"/>
          <w:szCs w:val="20"/>
          <w:color w:val="auto"/>
        </w:rPr>
      </w:pPr>
    </w:p>
    <w:p>
      <w:pPr>
        <w:ind w:left="460" w:right="20"/>
        <w:spacing w:after="0" w:line="253" w:lineRule="auto"/>
        <w:rPr>
          <w:sz w:val="20"/>
          <w:szCs w:val="20"/>
          <w:color w:val="auto"/>
        </w:rPr>
      </w:pPr>
      <w:r>
        <w:rPr>
          <w:rFonts w:ascii="Arial" w:cs="Arial" w:eastAsia="Arial" w:hAnsi="Arial"/>
          <w:sz w:val="17"/>
          <w:szCs w:val="17"/>
          <w:color w:val="auto"/>
        </w:rPr>
        <w:t>No impairment losses related to marketable securities have been recognized during the years ended December 31, 2020, 2021, or 2022 or the six months ended June 30, 2022 or 2023 (unaudited). Any unrealized losses on available-for-sale debt securities that are attributed to credit risk are recorded to earnings through an allowance for credit losses. Unrealized losses on available-for-sale debt securities were not material as of December 31, 2021 or 2022 or June 30, 2023 (unaudited), and no allowance for credit losses was recorded. For the purposes of computing realized and unrealized gains and losses, the cost of investments sold is based on the specific-identification method. Interest on marketable securities is included within interest income in the consolidated statements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8" w:lineRule="exact"/>
        <w:rPr>
          <w:sz w:val="20"/>
          <w:szCs w:val="20"/>
          <w:color w:val="auto"/>
        </w:rPr>
      </w:pPr>
    </w:p>
    <w:p>
      <w:pPr>
        <w:ind w:left="460" w:right="100"/>
        <w:spacing w:after="0" w:line="254" w:lineRule="auto"/>
        <w:rPr>
          <w:sz w:val="20"/>
          <w:szCs w:val="20"/>
          <w:color w:val="auto"/>
        </w:rPr>
      </w:pPr>
      <w:r>
        <w:rPr>
          <w:rFonts w:ascii="Arial" w:cs="Arial" w:eastAsia="Arial" w:hAnsi="Arial"/>
          <w:sz w:val="17"/>
          <w:szCs w:val="17"/>
          <w:color w:val="auto"/>
        </w:rPr>
        <w:t>Property and equipment is stated at cost and depreciated using the straight-line method over the estimated useful lives of the assets. Leasehold improvements are amortized using the straight-line method over the shorter of the remaining lease term or the estimated useful life.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within operating expenses in the consolidated statements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Capitalized Internal-Use Software</w:t>
      </w:r>
    </w:p>
    <w:p>
      <w:pPr>
        <w:spacing w:after="0" w:line="108" w:lineRule="exact"/>
        <w:rPr>
          <w:sz w:val="20"/>
          <w:szCs w:val="20"/>
          <w:color w:val="auto"/>
        </w:rPr>
      </w:pPr>
    </w:p>
    <w:p>
      <w:pPr>
        <w:ind w:left="460" w:right="520"/>
        <w:spacing w:after="0" w:line="272" w:lineRule="auto"/>
        <w:rPr>
          <w:sz w:val="20"/>
          <w:szCs w:val="20"/>
          <w:color w:val="auto"/>
        </w:rPr>
      </w:pPr>
      <w:r>
        <w:rPr>
          <w:rFonts w:ascii="Arial" w:cs="Arial" w:eastAsia="Arial" w:hAnsi="Arial"/>
          <w:sz w:val="17"/>
          <w:szCs w:val="17"/>
          <w:color w:val="auto"/>
        </w:rPr>
        <w:t>Certain costs of platform and other software applications developed for internal use are capitalized and presented as a component of property and equipment, net on the consolidated balance sheets. The Company capitalizes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780"/>
          </w:cols>
          <w:pgMar w:left="320" w:top="440" w:right="799" w:bottom="1440" w:gutter="0" w:footer="0" w:header="0"/>
        </w:sectPr>
      </w:pPr>
    </w:p>
    <w:bookmarkStart w:id="330" w:name="page331"/>
    <w:bookmarkEnd w:id="3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will expense costs incurred for maintenance and minor upgrades and enhancements. Capitalized costs are amortized using the straight-line method over the estimated useful life of the software once it is ready for its intended use. Costs related to preliminary project activities and post-implementation operating activities are expensed as incurred.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Goodwill and Intangible Assets, Net</w:t>
      </w:r>
    </w:p>
    <w:p>
      <w:pPr>
        <w:spacing w:after="0" w:line="108" w:lineRule="exact"/>
        <w:rPr>
          <w:sz w:val="20"/>
          <w:szCs w:val="20"/>
          <w:color w:val="auto"/>
        </w:rPr>
      </w:pPr>
    </w:p>
    <w:p>
      <w:pPr>
        <w:ind w:left="460"/>
        <w:spacing w:after="0" w:line="253"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Intangible assets primarily consist of developed technology and customer relationships acquired in business combinations and patents purchased from third parties. Intangible assets resulting from the acquisition of entities are accounted for using the acquisition method of accounting based on management’s estimate of the fair value of assets received. Intangible assets are amortized over the estimated useful lives in a pattern that most closely matches the timing of their economic benefits. The Company reviews intangible assets for impairment under the long-lived asset model described below.</w:t>
      </w:r>
    </w:p>
    <w:p>
      <w:pPr>
        <w:spacing w:after="0" w:line="182"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color w:val="auto"/>
        </w:rPr>
        <w:t>Goodwill is not subject to amortization but is tested for impairment on an annual basis, performed in the fourth quarter of each year, or whenever events or changes in circumstances indicate the carrying value of the reporting unit may be in excess of the reporting unit’s fair value.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the Company determines that it is more likely than not that the Company’s single reporting unit’s fair value is less than its carrying amount, a quantitative analysis is performed by comparing the fair value of the Company’s single reporting unit to its carrying value. Any excess of the carrying amount of goodwill over the fair value is recognized as an impairment loss, and the carrying value of goodwill is written down to fair value. The Company may also elect to perform a quantitative analysis instead of starting with a qualitative approach.</w:t>
      </w:r>
    </w:p>
    <w:p>
      <w:pPr>
        <w:spacing w:after="0" w:line="170"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color w:val="auto"/>
        </w:rPr>
        <w:t>No impairment losses related to goodwill and intangible assets have been recognized during the years ended December 31, 2020, 2021, or 2022 or the six months ended June 30, 2022 or 2023 (unaudited).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8" w:lineRule="exact"/>
        <w:rPr>
          <w:sz w:val="20"/>
          <w:szCs w:val="20"/>
          <w:color w:val="auto"/>
        </w:rPr>
      </w:pPr>
    </w:p>
    <w:p>
      <w:pPr>
        <w:ind w:left="460" w:right="20"/>
        <w:spacing w:after="0" w:line="290" w:lineRule="auto"/>
        <w:rPr>
          <w:sz w:val="20"/>
          <w:szCs w:val="20"/>
          <w:color w:val="auto"/>
        </w:rPr>
      </w:pPr>
      <w:r>
        <w:rPr>
          <w:rFonts w:ascii="Arial" w:cs="Arial" w:eastAsia="Arial" w:hAnsi="Arial"/>
          <w:sz w:val="15"/>
          <w:szCs w:val="15"/>
          <w:color w:val="auto"/>
        </w:rPr>
        <w:t>The Company evaluates intangible assets and long-lived assets for possible impairment whenever events or changes in circumstances indicate that the carrying amount of such assets or asset group (collectively “asset group”) may not be recoverable. This includes but is not limited to significant adverse changes in business climate, market conditions, or other events that indicate an asset group’s carrying amount may not be recoverable. The Company measures the recoverability of the asset group by comparing the carrying amount of such asset groups to the future undiscounted cash flows it expects the asset group to generate. If the Company considers the asset group to be impaired, the impairment to be recognized equals the amount by which the carrying value of the asset group exceeds its fair value. The Company reviews the impairment of its operating lease right-of-use assets consistent with the approach applied for other long-lived assets. No material impairment losses related to long-lived assets have been recognized during the years ended December 31, 2020, 2021, or 2022 or the six months ended June 30, 2022 or 2023 (unaudited).</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760"/>
          </w:cols>
          <w:pgMar w:left="320" w:top="440" w:right="819" w:bottom="1440" w:gutter="0" w:footer="0" w:header="0"/>
        </w:sectPr>
      </w:pPr>
    </w:p>
    <w:bookmarkStart w:id="331" w:name="page332"/>
    <w:bookmarkEnd w:id="3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Advances from Payment Card Issuer</w:t>
      </w:r>
    </w:p>
    <w:p>
      <w:pPr>
        <w:spacing w:after="0" w:line="108" w:lineRule="exact"/>
        <w:rPr>
          <w:sz w:val="20"/>
          <w:szCs w:val="20"/>
          <w:color w:val="auto"/>
        </w:rPr>
      </w:pPr>
    </w:p>
    <w:p>
      <w:pPr>
        <w:ind w:left="460" w:right="220"/>
        <w:spacing w:after="0" w:line="340" w:lineRule="auto"/>
        <w:rPr>
          <w:sz w:val="20"/>
          <w:szCs w:val="20"/>
          <w:color w:val="auto"/>
        </w:rPr>
      </w:pPr>
      <w:r>
        <w:rPr>
          <w:rFonts w:ascii="Arial" w:cs="Arial" w:eastAsia="Arial" w:hAnsi="Arial"/>
          <w:sz w:val="15"/>
          <w:szCs w:val="15"/>
          <w:color w:val="auto"/>
        </w:rPr>
        <w:t>A payment card issuer may advance funds required to settle transactions for a short period, generally one business day, on an interest-free basis. Such advances from the payment card issuer are included within accrued and other current liabilities on the consolidated balance sheets.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08"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7"/>
          <w:szCs w:val="17"/>
          <w:color w:val="auto"/>
        </w:rPr>
        <w:t>Deferred offering costs, which consist of direct incremental legal, consulting, accounting, and other fees related to the anticipated sale of the Company’s common stock in the initial public offering, are capitalized and will be recorded as a reduction of proceeds from the offering upon the consummation of the offering. As of December 31, 2021, the Company had not incurred such costs. As of December 31, 2022 and June 30, 2023 (unaudited), these costs were not material.</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left="460" w:right="480"/>
        <w:spacing w:after="0" w:line="340" w:lineRule="auto"/>
        <w:rPr>
          <w:sz w:val="20"/>
          <w:szCs w:val="20"/>
          <w:color w:val="auto"/>
        </w:rPr>
      </w:pPr>
      <w:r>
        <w:rPr>
          <w:rFonts w:ascii="Arial" w:cs="Arial" w:eastAsia="Arial" w:hAnsi="Arial"/>
          <w:sz w:val="15"/>
          <w:szCs w:val="15"/>
          <w:color w:val="auto"/>
        </w:rPr>
        <w:t>The Company offers a technology solution that connects multiple parties to facilitate transactions. The Company’s revenue consists of transaction revenue and advertising and other revenue. The Company identifies end users, retailers, and advertisers as the Company’s customers.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Transaction Revenue</w:t>
      </w:r>
    </w:p>
    <w:p>
      <w:pPr>
        <w:spacing w:after="0" w:line="112"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The Company generates its revenue primarily from fees received from end users and amounts paid by retailers for its transaction service and is net of any coupons, incentives, and refunds, as well as payments to shoppers. The Company enters into Terms of Service and Services Agreements with its end users and retailers, respectively. These agreements provide a framework for transactions between the Company’s end users and shoppers for fulfillment services. The Company separately enters into agreements with shoppers for their use of the technology solution through which shoppers offer fulfillment services to end users.</w:t>
      </w:r>
    </w:p>
    <w:p>
      <w:pPr>
        <w:spacing w:after="0" w:line="181" w:lineRule="exact"/>
        <w:rPr>
          <w:sz w:val="20"/>
          <w:szCs w:val="20"/>
          <w:color w:val="auto"/>
        </w:rPr>
      </w:pPr>
    </w:p>
    <w:p>
      <w:pPr>
        <w:ind w:left="460" w:right="40"/>
        <w:spacing w:after="0" w:line="301" w:lineRule="auto"/>
        <w:rPr>
          <w:sz w:val="20"/>
          <w:szCs w:val="20"/>
          <w:color w:val="auto"/>
        </w:rPr>
      </w:pPr>
      <w:r>
        <w:rPr>
          <w:rFonts w:ascii="Arial" w:cs="Arial" w:eastAsia="Arial" w:hAnsi="Arial"/>
          <w:sz w:val="15"/>
          <w:szCs w:val="15"/>
          <w:color w:val="auto"/>
        </w:rPr>
        <w:t>The Company’s sole performance obligation to the retailer is to connect retailers with end users for the provision of goods by the retailer to the end user. The Company’s transaction service may also include lead generation, facilitation of payments, providing and hosting the retailer’s site, and other activities to facilitate satisfaction of the performance obligation. The Company’s sole performance obligation to the end user is to arrange for a shopper to provide fulfillment services to the end user. Each performance obligation is satisfied at a point in time, upon the transfer of control of the services.</w:t>
      </w:r>
    </w:p>
    <w:p>
      <w:pPr>
        <w:spacing w:after="0" w:line="148" w:lineRule="exact"/>
        <w:rPr>
          <w:sz w:val="20"/>
          <w:szCs w:val="20"/>
          <w:color w:val="auto"/>
        </w:rPr>
      </w:pPr>
    </w:p>
    <w:p>
      <w:pPr>
        <w:ind w:left="460"/>
        <w:spacing w:after="0" w:line="277" w:lineRule="auto"/>
        <w:rPr>
          <w:sz w:val="20"/>
          <w:szCs w:val="20"/>
          <w:color w:val="auto"/>
        </w:rPr>
      </w:pPr>
      <w:r>
        <w:rPr>
          <w:rFonts w:ascii="Arial" w:cs="Arial" w:eastAsia="Arial" w:hAnsi="Arial"/>
          <w:sz w:val="16"/>
          <w:szCs w:val="16"/>
          <w:color w:val="auto"/>
        </w:rPr>
        <w:t>As multiple parties are involved in a transaction between end users, retailers, and shoppers, judgment is required in determining whether the Company is the principal or agent for the goods and services provided to the end user or retailer in a transaction. The Company presents revenue on a gross or net basis based on whether it controls the goods or services provided to the end user or retailer and is the principal (gross), or the Company arranges for other parties to provide the goods or service to the end user or retailer and is an agent (net):</w:t>
      </w:r>
    </w:p>
    <w:p>
      <w:pPr>
        <w:spacing w:after="0" w:line="75" w:lineRule="exact"/>
        <w:rPr>
          <w:sz w:val="20"/>
          <w:szCs w:val="20"/>
          <w:color w:val="auto"/>
        </w:rPr>
      </w:pPr>
    </w:p>
    <w:p>
      <w:pPr>
        <w:ind w:left="1360" w:right="80" w:hanging="396"/>
        <w:spacing w:after="0" w:line="256" w:lineRule="auto"/>
        <w:tabs>
          <w:tab w:leader="none" w:pos="1360"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Goods: </w:t>
      </w:r>
      <w:r>
        <w:rPr>
          <w:rFonts w:ascii="Arial" w:cs="Arial" w:eastAsia="Arial" w:hAnsi="Arial"/>
          <w:sz w:val="17"/>
          <w:szCs w:val="17"/>
          <w:color w:val="auto"/>
        </w:rPr>
        <w:t>The Company acts as an agent of the retailer in the sale of goods to the end user as the Company does not control the goods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before they are transferred to the end user. The Company does not pre-purchase or otherwise obtain control of the goods and only benefits from its fee for arranging for the sale of goods by the retailer to the end user. The Company also does not take inventory risk and does not generally have discretion over pricing of the goods.</w:t>
      </w:r>
    </w:p>
    <w:p>
      <w:pPr>
        <w:spacing w:after="0" w:line="90" w:lineRule="exact"/>
        <w:rPr>
          <w:rFonts w:ascii="Arial" w:cs="Arial" w:eastAsia="Arial" w:hAnsi="Arial"/>
          <w:sz w:val="17"/>
          <w:szCs w:val="17"/>
          <w:color w:val="auto"/>
        </w:rPr>
      </w:pPr>
    </w:p>
    <w:p>
      <w:pPr>
        <w:ind w:left="1360" w:right="440" w:hanging="396"/>
        <w:spacing w:after="0" w:line="272" w:lineRule="auto"/>
        <w:tabs>
          <w:tab w:leader="none" w:pos="1360"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Fulfillment services: </w:t>
      </w:r>
      <w:r>
        <w:rPr>
          <w:rFonts w:ascii="Arial" w:cs="Arial" w:eastAsia="Arial" w:hAnsi="Arial"/>
          <w:sz w:val="17"/>
          <w:szCs w:val="17"/>
          <w:color w:val="auto"/>
        </w:rPr>
        <w:t>The Company acts as an agent of the end user in the procurement of fulfillment services from shoppers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contractors. The Company does not control the fulfillment</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780"/>
          </w:cols>
          <w:pgMar w:left="320" w:top="440" w:right="799" w:bottom="1440" w:gutter="0" w:footer="0" w:header="0"/>
        </w:sectPr>
      </w:pPr>
    </w:p>
    <w:bookmarkStart w:id="332" w:name="page333"/>
    <w:bookmarkEnd w:id="3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1380" w:right="40"/>
        <w:spacing w:after="0" w:line="301" w:lineRule="auto"/>
        <w:rPr>
          <w:sz w:val="20"/>
          <w:szCs w:val="20"/>
          <w:color w:val="auto"/>
        </w:rPr>
      </w:pPr>
      <w:r>
        <w:rPr>
          <w:rFonts w:ascii="Arial" w:cs="Arial" w:eastAsia="Arial" w:hAnsi="Arial"/>
          <w:sz w:val="15"/>
          <w:szCs w:val="15"/>
          <w:color w:val="auto"/>
        </w:rPr>
        <w:t>services provided as the Company does not pre-purchase services or otherwise direct shoppers to perform fulfillment services on the Company’s behalf. The Company does not promise fulfillment services to end users at any time. In addition, the Company is not primarily responsible for and does not have inventory risk for the fulfillment services. Although the Company has discretion in establishing the fees paid for the services, this indicator does not alone provide persuasive evidence that the Company controls the fulfillment services.</w:t>
      </w:r>
    </w:p>
    <w:p>
      <w:pPr>
        <w:spacing w:after="0" w:line="148"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As an agent, the Company recognizes as revenue the net amount it retains from both the retailer and the end user from a transaction after remitting the purchase value of the goods to the retailer and amounts owed to the shopper for their services.</w:t>
      </w:r>
    </w:p>
    <w:p>
      <w:pPr>
        <w:spacing w:after="0" w:line="165"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In limited situations, the Company utilizes its own employees to provide certain fulfillment activities for end users with the related costs of employees recorded within cost of revenue in the consolidated statements of operations.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Taxes collected from end users on behalf of governmental authorities as part of the transaction are recorded on a net basis and excluded from revenue.</w:t>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End Users</w:t>
      </w:r>
    </w:p>
    <w:p>
      <w:pPr>
        <w:spacing w:after="0" w:line="108" w:lineRule="exact"/>
        <w:rPr>
          <w:sz w:val="20"/>
          <w:szCs w:val="20"/>
          <w:color w:val="auto"/>
        </w:rPr>
      </w:pPr>
    </w:p>
    <w:p>
      <w:pPr>
        <w:ind w:left="460" w:right="40"/>
        <w:spacing w:after="0" w:line="254" w:lineRule="auto"/>
        <w:rPr>
          <w:sz w:val="20"/>
          <w:szCs w:val="20"/>
          <w:color w:val="auto"/>
        </w:rPr>
      </w:pPr>
      <w:r>
        <w:rPr>
          <w:rFonts w:ascii="Arial" w:cs="Arial" w:eastAsia="Arial" w:hAnsi="Arial"/>
          <w:sz w:val="17"/>
          <w:szCs w:val="17"/>
          <w:color w:val="auto"/>
        </w:rPr>
        <w:t>The Company generates revenue from its end users through service and delivery fees for arranging fulfillment services. For each transaction, the Company processes the entire amount of the transaction (i.e., total purchase value of the goods, delivery fees, service fees, applicable sales taxes, and tips) received from the end user and recognizes revenue on a net basis after settling the purchase value of the goods to the retailer and the amounts owed to the shoppers for fulfillment services. Any tips received from the end user for the benefit of shoppers are passed through to the shoppers and are not reflected as revenue or expenses of the Company.</w:t>
      </w:r>
    </w:p>
    <w:p>
      <w:pPr>
        <w:spacing w:after="0" w:line="181" w:lineRule="exact"/>
        <w:rPr>
          <w:sz w:val="20"/>
          <w:szCs w:val="20"/>
          <w:color w:val="auto"/>
        </w:rPr>
      </w:pPr>
    </w:p>
    <w:p>
      <w:pPr>
        <w:ind w:left="460"/>
        <w:spacing w:after="0" w:line="311" w:lineRule="auto"/>
        <w:rPr>
          <w:sz w:val="20"/>
          <w:szCs w:val="20"/>
          <w:color w:val="auto"/>
        </w:rPr>
      </w:pPr>
      <w:r>
        <w:rPr>
          <w:rFonts w:ascii="Arial" w:cs="Arial" w:eastAsia="Arial" w:hAnsi="Arial"/>
          <w:sz w:val="15"/>
          <w:szCs w:val="15"/>
          <w:color w:val="auto"/>
        </w:rPr>
        <w:t>End users can also purchase monthly or annual Instacart+ (previously referred to as Instacart Express) memberships, which entitle the end user to certain benefits including waived delivery fees and reduced service fees on transactions that exceed a minimum transaction value. Membership fees are paid at commencement of the subscription term. Revenue from membership fees is recognized ratably over the monthly or annual subscription period.</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Retailers</w:t>
      </w:r>
    </w:p>
    <w:p>
      <w:pPr>
        <w:spacing w:after="0" w:line="108" w:lineRule="exact"/>
        <w:rPr>
          <w:sz w:val="20"/>
          <w:szCs w:val="20"/>
          <w:color w:val="auto"/>
        </w:rPr>
      </w:pPr>
    </w:p>
    <w:p>
      <w:pPr>
        <w:ind w:left="460" w:right="160"/>
        <w:spacing w:after="0" w:line="274" w:lineRule="auto"/>
        <w:rPr>
          <w:sz w:val="20"/>
          <w:szCs w:val="20"/>
          <w:color w:val="auto"/>
        </w:rPr>
      </w:pPr>
      <w:r>
        <w:rPr>
          <w:rFonts w:ascii="Arial" w:cs="Arial" w:eastAsia="Arial" w:hAnsi="Arial"/>
          <w:sz w:val="16"/>
          <w:szCs w:val="16"/>
          <w:color w:val="auto"/>
        </w:rPr>
        <w:t>The Company generates revenue from retailers through service fees in exchange for providing access to the Company’s technology solution. The services can be provided to retailers either through the Company’s mobile application or website or through dedicated websites created exclusively for the retailers. The Company recognizes revenue as either a per transaction fee, a percentage of the total purchase value from the sale of goods, the difference in price between amounts charged to end users for goods and the actual settlement price to the retailer for those goods, or a combination thereof. Payment for the Company’s services is generally due immediately to 45 days upon receipt of invoice.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the Company has issued equity-based instruments to retailers. Refer to Note 3—Revenue for further discussion.</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Revenue Share</w:t>
      </w:r>
    </w:p>
    <w:p>
      <w:pPr>
        <w:spacing w:after="0" w:line="108"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The Company generates revenue from a partnership with a payment card issuer whereby shoppers use cards issued by the payment card issuer to pay for goods at the retailers’ point-of-sale. The Company earns a revenue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780"/>
          </w:cols>
          <w:pgMar w:left="320" w:top="440" w:right="799" w:bottom="1440" w:gutter="0" w:footer="0" w:header="0"/>
        </w:sectPr>
      </w:pPr>
    </w:p>
    <w:bookmarkStart w:id="333" w:name="page334"/>
    <w:bookmarkEnd w:id="3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share from the payment card issuer for transactions processed through these payment cards and records these amounts in the same period the underlying transaction takes place.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Coupons, Refunds, and Incentives</w:t>
      </w:r>
    </w:p>
    <w:p>
      <w:pPr>
        <w:spacing w:after="0" w:line="108" w:lineRule="exact"/>
        <w:rPr>
          <w:sz w:val="20"/>
          <w:szCs w:val="20"/>
          <w:color w:val="auto"/>
        </w:rPr>
      </w:pPr>
    </w:p>
    <w:p>
      <w:pPr>
        <w:ind w:left="460" w:right="20"/>
        <w:spacing w:after="0" w:line="254" w:lineRule="auto"/>
        <w:rPr>
          <w:sz w:val="20"/>
          <w:szCs w:val="20"/>
          <w:color w:val="auto"/>
        </w:rPr>
      </w:pPr>
      <w:r>
        <w:rPr>
          <w:rFonts w:ascii="Arial" w:cs="Arial" w:eastAsia="Arial" w:hAnsi="Arial"/>
          <w:sz w:val="17"/>
          <w:szCs w:val="17"/>
          <w:color w:val="auto"/>
        </w:rPr>
        <w:t>Coupons, refunds, and incentives offered to end users, shoppers, and retailers arise due to the Company’s business practices. Coupons and incentives provided to end users and shoppers, respectively, are recorded as a reduction of revenue if the Company does not receive a distinct good or service or cannot reasonably estimate the fair value of the good or service received in exchange for the coupon or incentive. In certain cases, refunds are provided to retailers primarily in the form of price concessions. The Company accounts for refunds as variable consideration, which are recorded as a reduction to revenue.</w:t>
      </w:r>
    </w:p>
    <w:p>
      <w:pPr>
        <w:spacing w:after="0" w:line="181" w:lineRule="exact"/>
        <w:rPr>
          <w:sz w:val="20"/>
          <w:szCs w:val="20"/>
          <w:color w:val="auto"/>
        </w:rPr>
      </w:pPr>
    </w:p>
    <w:p>
      <w:pPr>
        <w:ind w:left="460" w:right="500"/>
        <w:spacing w:after="0" w:line="272" w:lineRule="auto"/>
        <w:rPr>
          <w:sz w:val="20"/>
          <w:szCs w:val="20"/>
          <w:color w:val="auto"/>
        </w:rPr>
      </w:pPr>
      <w:r>
        <w:rPr>
          <w:rFonts w:ascii="Arial" w:cs="Arial" w:eastAsia="Arial" w:hAnsi="Arial"/>
          <w:sz w:val="17"/>
          <w:szCs w:val="17"/>
          <w:color w:val="auto"/>
        </w:rPr>
        <w:t>The Company offers several types of coupons and incentives to encourage use of the Company’s services. These are offered in various forms that include:</w:t>
      </w:r>
    </w:p>
    <w:p>
      <w:pPr>
        <w:spacing w:after="0" w:line="76" w:lineRule="exact"/>
        <w:rPr>
          <w:sz w:val="20"/>
          <w:szCs w:val="20"/>
          <w:color w:val="auto"/>
        </w:rPr>
      </w:pPr>
    </w:p>
    <w:p>
      <w:pPr>
        <w:ind w:left="1360" w:right="20" w:hanging="396"/>
        <w:spacing w:after="0" w:line="303" w:lineRule="auto"/>
        <w:tabs>
          <w:tab w:leader="none" w:pos="1360" w:val="left"/>
        </w:tabs>
        <w:numPr>
          <w:ilvl w:val="0"/>
          <w:numId w:val="284"/>
        </w:numPr>
        <w:rPr>
          <w:rFonts w:ascii="Arial" w:cs="Arial" w:eastAsia="Arial" w:hAnsi="Arial"/>
          <w:sz w:val="16"/>
          <w:szCs w:val="16"/>
          <w:color w:val="auto"/>
        </w:rPr>
      </w:pPr>
      <w:r>
        <w:rPr>
          <w:rFonts w:ascii="Arial" w:cs="Arial" w:eastAsia="Arial" w:hAnsi="Arial"/>
          <w:sz w:val="16"/>
          <w:szCs w:val="16"/>
          <w:i w:val="1"/>
          <w:iCs w:val="1"/>
          <w:color w:val="auto"/>
        </w:rPr>
        <w:t>Appeasement coupons</w:t>
      </w:r>
      <w:r>
        <w:rPr>
          <w:rFonts w:ascii="Arial" w:cs="Arial" w:eastAsia="Arial" w:hAnsi="Arial"/>
          <w:sz w:val="16"/>
          <w:szCs w:val="16"/>
          <w:color w:val="auto"/>
        </w:rPr>
        <w:t>: These coupons are offered to end-users to ensure the satisfaction of the Company’s end user. The Company reduces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revenue recognized in each period by the expected value of the related refunds and appeasement coupons.</w:t>
      </w:r>
    </w:p>
    <w:p>
      <w:pPr>
        <w:spacing w:after="0" w:line="54" w:lineRule="exact"/>
        <w:rPr>
          <w:rFonts w:ascii="Arial" w:cs="Arial" w:eastAsia="Arial" w:hAnsi="Arial"/>
          <w:sz w:val="16"/>
          <w:szCs w:val="16"/>
          <w:color w:val="auto"/>
        </w:rPr>
      </w:pPr>
    </w:p>
    <w:p>
      <w:pPr>
        <w:ind w:left="1360" w:right="200" w:hanging="396"/>
        <w:spacing w:after="0" w:line="272" w:lineRule="auto"/>
        <w:tabs>
          <w:tab w:leader="none" w:pos="1360" w:val="left"/>
        </w:tabs>
        <w:numPr>
          <w:ilvl w:val="0"/>
          <w:numId w:val="284"/>
        </w:numPr>
        <w:rPr>
          <w:rFonts w:ascii="Arial" w:cs="Arial" w:eastAsia="Arial" w:hAnsi="Arial"/>
          <w:sz w:val="17"/>
          <w:szCs w:val="17"/>
          <w:color w:val="auto"/>
        </w:rPr>
      </w:pPr>
      <w:r>
        <w:rPr>
          <w:rFonts w:ascii="Arial" w:cs="Arial" w:eastAsia="Arial" w:hAnsi="Arial"/>
          <w:sz w:val="17"/>
          <w:szCs w:val="17"/>
          <w:i w:val="1"/>
          <w:iCs w:val="1"/>
          <w:color w:val="auto"/>
        </w:rPr>
        <w:t>Promotional coupons</w:t>
      </w:r>
      <w:r>
        <w:rPr>
          <w:rFonts w:ascii="Arial" w:cs="Arial" w:eastAsia="Arial" w:hAnsi="Arial"/>
          <w:sz w:val="17"/>
          <w:szCs w:val="17"/>
          <w:color w:val="auto"/>
        </w:rPr>
        <w:t>: These coupons are offered to end users to acquire, reengage, or generally increase an end user’s use of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recognized as a reduction of revenue at the time they are redeemed by the end user.</w:t>
      </w:r>
    </w:p>
    <w:p>
      <w:pPr>
        <w:spacing w:after="0" w:line="76" w:lineRule="exact"/>
        <w:rPr>
          <w:rFonts w:ascii="Arial" w:cs="Arial" w:eastAsia="Arial" w:hAnsi="Arial"/>
          <w:sz w:val="17"/>
          <w:szCs w:val="17"/>
          <w:color w:val="auto"/>
        </w:rPr>
      </w:pPr>
    </w:p>
    <w:p>
      <w:pPr>
        <w:ind w:left="1360" w:hanging="396"/>
        <w:spacing w:after="0" w:line="293" w:lineRule="auto"/>
        <w:tabs>
          <w:tab w:leader="none" w:pos="1360" w:val="left"/>
        </w:tabs>
        <w:numPr>
          <w:ilvl w:val="0"/>
          <w:numId w:val="284"/>
        </w:numPr>
        <w:rPr>
          <w:rFonts w:ascii="Arial" w:cs="Arial" w:eastAsia="Arial" w:hAnsi="Arial"/>
          <w:sz w:val="15"/>
          <w:szCs w:val="15"/>
          <w:color w:val="auto"/>
        </w:rPr>
      </w:pPr>
      <w:r>
        <w:rPr>
          <w:rFonts w:ascii="Arial" w:cs="Arial" w:eastAsia="Arial" w:hAnsi="Arial"/>
          <w:sz w:val="15"/>
          <w:szCs w:val="15"/>
          <w:i w:val="1"/>
          <w:iCs w:val="1"/>
          <w:color w:val="auto"/>
        </w:rPr>
        <w:t>Referral bonus coupons</w:t>
      </w:r>
      <w:r>
        <w:rPr>
          <w:rFonts w:ascii="Arial" w:cs="Arial" w:eastAsia="Arial" w:hAnsi="Arial"/>
          <w:sz w:val="15"/>
          <w:szCs w:val="15"/>
          <w:color w:val="auto"/>
        </w:rPr>
        <w:t>: These coupons are earned when an existing end user or shopper (“the referrer”) refers a new end user or shopper</w:t>
      </w:r>
      <w:r>
        <w:rPr>
          <w:rFonts w:ascii="Arial" w:cs="Arial" w:eastAsia="Arial" w:hAnsi="Arial"/>
          <w:sz w:val="15"/>
          <w:szCs w:val="15"/>
          <w:i w:val="1"/>
          <w:iCs w:val="1"/>
          <w:color w:val="auto"/>
        </w:rPr>
        <w:t xml:space="preserve"> </w:t>
      </w:r>
      <w:r>
        <w:rPr>
          <w:rFonts w:ascii="Arial" w:cs="Arial" w:eastAsia="Arial" w:hAnsi="Arial"/>
          <w:sz w:val="15"/>
          <w:szCs w:val="15"/>
          <w:color w:val="auto"/>
        </w:rPr>
        <w:t>(“the referred”) to the Company, and the referred places their first transaction through the Company’s technology solution. These referrals are typically paid in the form of a credit given to both the referrer and the referred. The Company records a liability for unused referrer coupons and the corresponding expense as sales and marketing expense at the time the referral is earned by the referrer because the coupon represents either consideration payable to a customer or a shopper in exchange for a distinct good or service (i.e., the referral). Coupons granted to the referred are recorded as incurred as a reduction in the transaction price when the referred places their first transaction.</w:t>
      </w:r>
    </w:p>
    <w:p>
      <w:pPr>
        <w:spacing w:after="0" w:line="155" w:lineRule="exact"/>
        <w:rPr>
          <w:sz w:val="20"/>
          <w:szCs w:val="20"/>
          <w:color w:val="auto"/>
        </w:rPr>
      </w:pPr>
    </w:p>
    <w:p>
      <w:pPr>
        <w:ind w:left="460" w:right="100"/>
        <w:spacing w:after="0" w:line="260" w:lineRule="auto"/>
        <w:rPr>
          <w:sz w:val="20"/>
          <w:szCs w:val="20"/>
          <w:color w:val="auto"/>
        </w:rPr>
      </w:pPr>
      <w:r>
        <w:rPr>
          <w:rFonts w:ascii="Arial" w:cs="Arial" w:eastAsia="Arial" w:hAnsi="Arial"/>
          <w:sz w:val="17"/>
          <w:szCs w:val="17"/>
          <w:color w:val="auto"/>
        </w:rPr>
        <w:t>Refunds are accounted for as variable consideration, and there is limited uncertainty in estimation given the short duration. In certain cases, end user fees received may be less than the amount of refunds, coupons, incentives, and shopper payments applicable to a particular transaction. This shortfall is recorded within revenue in the consolidated statements of operations.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Advertising and Other Revenue</w:t>
      </w:r>
    </w:p>
    <w:p>
      <w:pPr>
        <w:spacing w:after="0" w:line="112" w:lineRule="exact"/>
        <w:rPr>
          <w:sz w:val="20"/>
          <w:szCs w:val="20"/>
          <w:color w:val="auto"/>
        </w:rPr>
      </w:pPr>
    </w:p>
    <w:p>
      <w:pPr>
        <w:ind w:left="460" w:right="60"/>
        <w:spacing w:after="0" w:line="269" w:lineRule="auto"/>
        <w:rPr>
          <w:sz w:val="20"/>
          <w:szCs w:val="20"/>
          <w:color w:val="auto"/>
        </w:rPr>
      </w:pPr>
      <w:r>
        <w:rPr>
          <w:rFonts w:ascii="Arial" w:cs="Arial" w:eastAsia="Arial" w:hAnsi="Arial"/>
          <w:sz w:val="16"/>
          <w:szCs w:val="16"/>
          <w:color w:val="auto"/>
        </w:rPr>
        <w:t>The Company generates revenue from the sale of advertising to companies that are interested in reaching the Company’s end users. The advertising services include sponsored product ads, display ads, coupons, and a variety of other online advertising services. The Company’s performance obligation is to continually promote a brand over the duration of the contractual term. Contracts are typically less than one year in duration. The Company recognizes revenue in the amount that it has the right to invoice as advertising services are rendered, which occurs upon delivery of clicks for sponsored product ads, upon delivery of impressions or over the contract term on a fixed fee basis for display ads, or upon redemptions of coupons. The Company also offers software subscription services that enhance the online shopping experience to certain retailers and generate an amount of other revenue from software subscriptions that is not material. Revenue is recognized ratably over the subscription period. Payment for the Company’s advertising services is generally due 30 to 90 days upon receipt of invoice.</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780"/>
          </w:cols>
          <w:pgMar w:left="320" w:top="440" w:right="799" w:bottom="1440" w:gutter="0" w:footer="0" w:header="0"/>
        </w:sectPr>
      </w:pPr>
    </w:p>
    <w:bookmarkStart w:id="334" w:name="page335"/>
    <w:bookmarkEnd w:id="3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Practical Expedients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no significant financing components in its contracts with customers.</w:t>
      </w:r>
    </w:p>
    <w:p>
      <w:pPr>
        <w:spacing w:after="0" w:line="210"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The Company applies a practical expedient to costs to obtain these contracts and expenses them as incurred as the amortization period would have been one year or less.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does not disclose the value of unsatisfied performance obligations for (i) contracts with an original expected length of one year or less,</w:t>
      </w:r>
    </w:p>
    <w:p>
      <w:pPr>
        <w:spacing w:after="0" w:line="42" w:lineRule="exact"/>
        <w:rPr>
          <w:sz w:val="20"/>
          <w:szCs w:val="20"/>
          <w:color w:val="auto"/>
        </w:rPr>
      </w:pPr>
    </w:p>
    <w:p>
      <w:pPr>
        <w:ind w:left="460" w:right="140" w:hanging="3"/>
        <w:spacing w:after="0" w:line="253" w:lineRule="auto"/>
        <w:tabs>
          <w:tab w:leader="none" w:pos="70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Contract Assets and Liabilities</w:t>
      </w:r>
    </w:p>
    <w:p>
      <w:pPr>
        <w:spacing w:after="0" w:line="108" w:lineRule="exact"/>
        <w:rPr>
          <w:sz w:val="20"/>
          <w:szCs w:val="20"/>
          <w:color w:val="auto"/>
        </w:rPr>
      </w:pPr>
    </w:p>
    <w:p>
      <w:pPr>
        <w:ind w:left="460"/>
        <w:spacing w:after="0" w:line="293" w:lineRule="auto"/>
        <w:rPr>
          <w:sz w:val="20"/>
          <w:szCs w:val="20"/>
          <w:color w:val="auto"/>
        </w:rPr>
      </w:pPr>
      <w:r>
        <w:rPr>
          <w:rFonts w:ascii="Arial" w:cs="Arial" w:eastAsia="Arial" w:hAnsi="Arial"/>
          <w:sz w:val="15"/>
          <w:szCs w:val="15"/>
          <w:color w:val="auto"/>
        </w:rPr>
        <w:t>The Company records deferred revenue, which is a contract liability, when the Company receives customer payments in advance of the performance obligations being satisfied on the Company’s contracts. Deferred revenue is primarily comprised of balances related to Instacart+ memberships. Substantially all of deferred revenue as of December 31, 2022 is expected to be recognized within a year. During the year ended December 31, 2021, the Company recognized its entire deferred revenue balance as of December 31, 2020. During the year ended December 31, 2022, the Company recognized $146 million of revenue from the deferred revenue balance as of December 31, 2021. During the six months ended June 30, 2022 and 2023 (unaudited), the Company recognized $108 million and $134 million of revenue from the deferred revenue balance as of December 31, 2021 and 2022, respectively.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material contract assets as of December 31, 2021 or 2022 or June 30, 2023 (unaudited).</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8" w:lineRule="exact"/>
        <w:rPr>
          <w:sz w:val="20"/>
          <w:szCs w:val="20"/>
          <w:color w:val="auto"/>
        </w:rPr>
      </w:pPr>
    </w:p>
    <w:p>
      <w:pPr>
        <w:ind w:left="460" w:right="140"/>
        <w:spacing w:after="0" w:line="260" w:lineRule="auto"/>
        <w:rPr>
          <w:sz w:val="20"/>
          <w:szCs w:val="20"/>
          <w:color w:val="auto"/>
        </w:rPr>
      </w:pPr>
      <w:r>
        <w:rPr>
          <w:rFonts w:ascii="Arial" w:cs="Arial" w:eastAsia="Arial" w:hAnsi="Arial"/>
          <w:sz w:val="17"/>
          <w:szCs w:val="17"/>
          <w:color w:val="auto"/>
        </w:rPr>
        <w:t>Cost of revenue primarily consists of third-party payment processing fees, expenses related to payment chargebacks, hosting fees, insurance costs attributed to fulfillment, compensation costs of employees primarily involved in fulfillment, depreciation expense, and amortization expense of certain technology-related intangible assets and capitalized internal-use software.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Compensation costs for the Company include salaries, taxes, benefits, and bonuses.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Operations and Support Expense</w:t>
      </w:r>
    </w:p>
    <w:p>
      <w:pPr>
        <w:spacing w:after="0" w:line="108" w:lineRule="exact"/>
        <w:rPr>
          <w:sz w:val="20"/>
          <w:szCs w:val="20"/>
          <w:color w:val="auto"/>
        </w:rPr>
      </w:pPr>
    </w:p>
    <w:p>
      <w:pPr>
        <w:ind w:left="460" w:right="60"/>
        <w:spacing w:after="0" w:line="340" w:lineRule="auto"/>
        <w:rPr>
          <w:sz w:val="20"/>
          <w:szCs w:val="20"/>
          <w:color w:val="auto"/>
        </w:rPr>
      </w:pPr>
      <w:r>
        <w:rPr>
          <w:rFonts w:ascii="Arial" w:cs="Arial" w:eastAsia="Arial" w:hAnsi="Arial"/>
          <w:sz w:val="15"/>
          <w:szCs w:val="15"/>
          <w:color w:val="auto"/>
        </w:rPr>
        <w:t>Operations and support expense primarily consists of compensation costs for employees who support operations, costs of end user and shopper support, the cost of attracting and onboarding new shoppers, allocations of various overhead and occupancy costs, and depreciation and amortization expense.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Compensation costs for the Company include salaries, taxes, benefits, bonuses, and stock-based compensation expense.</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08"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color w:val="auto"/>
        </w:rPr>
        <w:t>Research and development expense primarily consists of compensation costs for employees in engineering, third-party consulting fees, allocations of various overhead and occupancy costs, and depreciation and amortization expense.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760"/>
          </w:cols>
          <w:pgMar w:left="320" w:top="440" w:right="819" w:bottom="1440" w:gutter="0" w:footer="0" w:header="0"/>
        </w:sectPr>
      </w:pPr>
    </w:p>
    <w:bookmarkStart w:id="335" w:name="page336"/>
    <w:bookmarkEnd w:id="3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Compensation costs for the Company include salaries, taxes, benefits, bonuses, and stock-based compensation expense.</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Sales and Marketing Expense</w:t>
      </w:r>
    </w:p>
    <w:p>
      <w:pPr>
        <w:spacing w:after="0" w:line="108" w:lineRule="exact"/>
        <w:rPr>
          <w:sz w:val="20"/>
          <w:szCs w:val="20"/>
          <w:color w:val="auto"/>
        </w:rPr>
      </w:pPr>
    </w:p>
    <w:p>
      <w:pPr>
        <w:ind w:left="460" w:right="140"/>
        <w:spacing w:after="0" w:line="253" w:lineRule="auto"/>
        <w:rPr>
          <w:sz w:val="20"/>
          <w:szCs w:val="20"/>
          <w:color w:val="auto"/>
        </w:rPr>
      </w:pPr>
      <w:r>
        <w:rPr>
          <w:rFonts w:ascii="Arial" w:cs="Arial" w:eastAsia="Arial" w:hAnsi="Arial"/>
          <w:sz w:val="17"/>
          <w:szCs w:val="17"/>
          <w:color w:val="auto"/>
        </w:rPr>
        <w:t>Sales and marketing expense primarily consists of advertising expenses, compensation costs for sales and marketing employees, third-party consulting fees, allocations of various overhead and occupancy costs, depreciation expense, and amortization expense of customer relationship intangible assets. Advertising expenses primarily include marketing activities such as online advertising, which are expensed as incurred. The Company incurred advertising expenses of $110 million, $270 million, and $426 million for the years ended December 31, 2020, 2021, and 2022, respectively, and $201 million and $203 million for the six months ended June 30, 2022 and 2023 (unaudited), respectively, which is included within sales and marketing expense in the consolidated statements of operations.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Compensation costs for the Company include salaries, taxes, benefits, bonuses, and stock-based compensation expense.</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08" w:lineRule="exact"/>
        <w:rPr>
          <w:sz w:val="20"/>
          <w:szCs w:val="20"/>
          <w:color w:val="auto"/>
        </w:rPr>
      </w:pPr>
    </w:p>
    <w:p>
      <w:pPr>
        <w:ind w:left="460" w:right="220"/>
        <w:spacing w:after="0" w:line="260" w:lineRule="auto"/>
        <w:rPr>
          <w:sz w:val="20"/>
          <w:szCs w:val="20"/>
          <w:color w:val="auto"/>
        </w:rPr>
      </w:pPr>
      <w:r>
        <w:rPr>
          <w:rFonts w:ascii="Arial" w:cs="Arial" w:eastAsia="Arial" w:hAnsi="Arial"/>
          <w:sz w:val="17"/>
          <w:szCs w:val="17"/>
          <w:color w:val="auto"/>
        </w:rPr>
        <w:t>General and administrative expense primarily consists of compensation costs for administrative employees, including finance and accounting, human resources, policy, legal; third-party consulting costs; allocations of various overhead and occupancy costs; depreciation expense; and amortization expense of patents and trademarks.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Compensation costs for the Company include salaries, taxes, benefits, bonuses, and stock-based compensation expense.</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08"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The Company determines if a contract is or contains a lease at inception of the arrangement based on whether it has the right to obtain substantially all of the economic benefits from the use of an identified asset and whether it has the right to direct the use of an identified asset in exchange for consideration, which relates to an asset that the Company does not own. Right-of-use assets represent the Company’s right to use an underlying asset for the lease term, and lease liabilities represent the Company’s obligation to make lease payments arising from the lease. Lease liabilities are recognized at the present value of the future lease payments at the lease commencement date. Right-of-use assets are recognized based on the lease liability, adjusted for lease incentives received. The interest rate used to determine the present value of the future lease payments is the Company’s incremental borrowing rate (“IBR”) because the interest rate implicit in most of the Company’s leases is not readily determinable. The IBR is a hypothetical rate based on information available at the lease commencement date, including the Company’s understanding of what interest rate the Company would pay to borrow an amount equal to the lease payments in a similar economic environment over the lease term on a collateralized loan, based on the Company’s credit rating and other factors.</w:t>
      </w:r>
    </w:p>
    <w:p>
      <w:pPr>
        <w:spacing w:after="0" w:line="174" w:lineRule="exact"/>
        <w:rPr>
          <w:sz w:val="20"/>
          <w:szCs w:val="20"/>
          <w:color w:val="auto"/>
        </w:rPr>
      </w:pPr>
    </w:p>
    <w:p>
      <w:pPr>
        <w:ind w:left="460" w:right="140"/>
        <w:spacing w:after="0" w:line="311" w:lineRule="auto"/>
        <w:rPr>
          <w:sz w:val="20"/>
          <w:szCs w:val="20"/>
          <w:color w:val="auto"/>
        </w:rPr>
      </w:pPr>
      <w:r>
        <w:rPr>
          <w:rFonts w:ascii="Arial" w:cs="Arial" w:eastAsia="Arial" w:hAnsi="Arial"/>
          <w:sz w:val="15"/>
          <w:szCs w:val="15"/>
          <w:color w:val="auto"/>
        </w:rPr>
        <w:t>Lease payments may be fixed or variable; however, only fixed payments or in-substance fixed payments are included in the Company’s lease liability calculation. Variable lease payments may include costs such as common area maintenance, utilities, or other costs. Variable lease payments are recognized within operating expenses in the consolidated statements of operations in the period in which the obligation for those payments is incurred.</w:t>
      </w:r>
    </w:p>
    <w:p>
      <w:pPr>
        <w:spacing w:after="0" w:line="140"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color w:val="auto"/>
        </w:rPr>
        <w:t>The Company’s leases typically contain rent escalations over the lease term. The Company recognizes expense for these leases on a straight-line basis over the lease term.</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60"/>
          </w:cols>
          <w:pgMar w:left="320" w:top="440" w:right="819" w:bottom="1440" w:gutter="0" w:footer="0" w:header="0"/>
        </w:sectPr>
      </w:pPr>
    </w:p>
    <w:bookmarkStart w:id="336" w:name="page337"/>
    <w:bookmarkEnd w:id="3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60"/>
        <w:spacing w:after="0" w:line="256" w:lineRule="auto"/>
        <w:rPr>
          <w:sz w:val="20"/>
          <w:szCs w:val="20"/>
          <w:color w:val="auto"/>
        </w:rPr>
      </w:pPr>
      <w:r>
        <w:rPr>
          <w:rFonts w:ascii="Arial" w:cs="Arial" w:eastAsia="Arial" w:hAnsi="Arial"/>
          <w:sz w:val="17"/>
          <w:szCs w:val="17"/>
          <w:color w:val="auto"/>
        </w:rPr>
        <w:t>The Company does not recognize short-term leases (original expected term of one year or less) on the consolidated balance sheets, and related lease payments are recognized as an expense over the lease term on a straight-line basis. The Company’s lease agreements generally do not contain any residual value guarantees or restrictive covenants. The Company did not have any material finance leases for the years ended December 31, 2020, 2021, or 2022 or the six months ended June 30, 2022 or 2023 (unaudited).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8" w:lineRule="exact"/>
        <w:rPr>
          <w:sz w:val="20"/>
          <w:szCs w:val="20"/>
          <w:color w:val="auto"/>
        </w:rPr>
      </w:pPr>
    </w:p>
    <w:p>
      <w:pPr>
        <w:ind w:left="460"/>
        <w:spacing w:after="0" w:line="286" w:lineRule="auto"/>
        <w:rPr>
          <w:sz w:val="20"/>
          <w:szCs w:val="20"/>
          <w:color w:val="auto"/>
        </w:rPr>
      </w:pPr>
      <w:r>
        <w:rPr>
          <w:rFonts w:ascii="Arial" w:cs="Arial" w:eastAsia="Arial" w:hAnsi="Arial"/>
          <w:sz w:val="15"/>
          <w:szCs w:val="15"/>
          <w:color w:val="auto"/>
        </w:rPr>
        <w:t>The Company measures compensation expense for all stock-based awards based on the estimated fair value of the awards on the date of grant. Stock-based compensation expense is recognized ratably over the period during which an employee is required to provide service. The Company estimates the fair value of stock options granted to employees using the Black-Scholes option-pricing model, which requires the input of subjective assumptions, including (1) the fair value of common stock, (2) the expected stock price volatility, (3) the expected term of the award, (4) the risk-free interest rate, and</w:t>
      </w:r>
    </w:p>
    <w:p>
      <w:pPr>
        <w:ind w:left="700" w:hanging="243"/>
        <w:spacing w:after="0"/>
        <w:tabs>
          <w:tab w:leader="none" w:pos="7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expected dividends. The Company accounts for forfeitures when they occur. The Black-Scholes assumptions are summarized as follows:</w:t>
      </w:r>
    </w:p>
    <w:p>
      <w:pPr>
        <w:spacing w:after="0" w:line="120" w:lineRule="exact"/>
        <w:rPr>
          <w:rFonts w:ascii="Arial" w:cs="Arial" w:eastAsia="Arial" w:hAnsi="Arial"/>
          <w:sz w:val="16"/>
          <w:szCs w:val="16"/>
          <w:color w:val="auto"/>
        </w:rPr>
      </w:pPr>
    </w:p>
    <w:p>
      <w:pPr>
        <w:ind w:left="1360" w:right="20" w:hanging="396"/>
        <w:spacing w:after="0" w:line="272" w:lineRule="auto"/>
        <w:tabs>
          <w:tab w:leader="none" w:pos="1360" w:val="left"/>
        </w:tabs>
        <w:numPr>
          <w:ilvl w:val="1"/>
          <w:numId w:val="286"/>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Because the Company’s common stock is not yet publicly traded, the Company is required to estimate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its common stock, as discussed in “Common Stock Valuations” below.</w:t>
      </w:r>
    </w:p>
    <w:p>
      <w:pPr>
        <w:spacing w:after="0" w:line="76" w:lineRule="exact"/>
        <w:rPr>
          <w:rFonts w:ascii="Arial" w:cs="Arial" w:eastAsia="Arial" w:hAnsi="Arial"/>
          <w:sz w:val="17"/>
          <w:szCs w:val="17"/>
          <w:color w:val="auto"/>
        </w:rPr>
      </w:pPr>
    </w:p>
    <w:p>
      <w:pPr>
        <w:ind w:left="1360" w:right="80" w:hanging="396"/>
        <w:spacing w:after="0" w:line="296" w:lineRule="auto"/>
        <w:tabs>
          <w:tab w:leader="none" w:pos="1360" w:val="left"/>
        </w:tabs>
        <w:numPr>
          <w:ilvl w:val="1"/>
          <w:numId w:val="286"/>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 As a result of the lack of historical and implied volatility data of the Company’s common stock, the expected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price volatility has been estimated based on the historical volatilities of a specified group of companies in its industry for a period equal to the expected life of the option. The Company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63" w:lineRule="exact"/>
        <w:rPr>
          <w:rFonts w:ascii="Arial" w:cs="Arial" w:eastAsia="Arial" w:hAnsi="Arial"/>
          <w:sz w:val="15"/>
          <w:szCs w:val="15"/>
          <w:color w:val="auto"/>
        </w:rPr>
      </w:pPr>
    </w:p>
    <w:p>
      <w:pPr>
        <w:ind w:left="1360" w:right="20" w:hanging="396"/>
        <w:spacing w:after="0" w:line="260" w:lineRule="auto"/>
        <w:tabs>
          <w:tab w:leader="none" w:pos="1360" w:val="left"/>
        </w:tabs>
        <w:numPr>
          <w:ilvl w:val="1"/>
          <w:numId w:val="286"/>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stock options represents the weighted-average period the stock options are expected to remain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and is based on the stock options’ vesting terms and contractual terms, estimated employee termination behavior, and potential future stock price outcomes.</w:t>
      </w:r>
    </w:p>
    <w:p>
      <w:pPr>
        <w:spacing w:after="0" w:line="86" w:lineRule="exact"/>
        <w:rPr>
          <w:rFonts w:ascii="Arial" w:cs="Arial" w:eastAsia="Arial" w:hAnsi="Arial"/>
          <w:sz w:val="17"/>
          <w:szCs w:val="17"/>
          <w:color w:val="auto"/>
        </w:rPr>
      </w:pPr>
    </w:p>
    <w:p>
      <w:pPr>
        <w:ind w:left="1360" w:hanging="396"/>
        <w:spacing w:after="0" w:line="272" w:lineRule="auto"/>
        <w:tabs>
          <w:tab w:leader="none" w:pos="1360" w:val="left"/>
        </w:tabs>
        <w:numPr>
          <w:ilvl w:val="1"/>
          <w:numId w:val="286"/>
        </w:numPr>
        <w:rPr>
          <w:rFonts w:ascii="Arial" w:cs="Arial" w:eastAsia="Arial" w:hAnsi="Arial"/>
          <w:sz w:val="17"/>
          <w:szCs w:val="17"/>
          <w:color w:val="auto"/>
        </w:rPr>
      </w:pPr>
      <w:r>
        <w:rPr>
          <w:rFonts w:ascii="Arial" w:cs="Arial" w:eastAsia="Arial" w:hAnsi="Arial"/>
          <w:sz w:val="17"/>
          <w:szCs w:val="17"/>
          <w:i w:val="1"/>
          <w:iCs w:val="1"/>
          <w:color w:val="auto"/>
        </w:rPr>
        <w:t>Risk-free rat</w:t>
      </w:r>
      <w:r>
        <w:rPr>
          <w:rFonts w:ascii="Arial" w:cs="Arial" w:eastAsia="Arial" w:hAnsi="Arial"/>
          <w:sz w:val="17"/>
          <w:szCs w:val="17"/>
          <w:color w:val="auto"/>
        </w:rPr>
        <w:t>e. The expected risk-free rate assumption is based on the U.S. Treasury instruments whose term is consistent with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the stock options.</w:t>
      </w:r>
    </w:p>
    <w:p>
      <w:pPr>
        <w:spacing w:after="0" w:line="76" w:lineRule="exact"/>
        <w:rPr>
          <w:rFonts w:ascii="Arial" w:cs="Arial" w:eastAsia="Arial" w:hAnsi="Arial"/>
          <w:sz w:val="17"/>
          <w:szCs w:val="17"/>
          <w:color w:val="auto"/>
        </w:rPr>
      </w:pPr>
    </w:p>
    <w:p>
      <w:pPr>
        <w:ind w:left="1360" w:right="80" w:hanging="396"/>
        <w:spacing w:after="0" w:line="260" w:lineRule="auto"/>
        <w:tabs>
          <w:tab w:leader="none" w:pos="1360" w:val="left"/>
        </w:tabs>
        <w:numPr>
          <w:ilvl w:val="1"/>
          <w:numId w:val="286"/>
        </w:numPr>
        <w:rPr>
          <w:rFonts w:ascii="Arial" w:cs="Arial" w:eastAsia="Arial" w:hAnsi="Arial"/>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The expected dividend assumption is based on the Company’s history and expectation of dividend payouts.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not paid dividends and does not expect to do so in the foreseeable future, and as such, the dividend yield has been estimated to be zero.</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Service-Based Awards</w:t>
      </w:r>
    </w:p>
    <w:p>
      <w:pPr>
        <w:spacing w:after="0" w:line="108" w:lineRule="exact"/>
        <w:rPr>
          <w:sz w:val="20"/>
          <w:szCs w:val="20"/>
          <w:color w:val="auto"/>
        </w:rPr>
      </w:pPr>
    </w:p>
    <w:p>
      <w:pPr>
        <w:ind w:left="460"/>
        <w:spacing w:after="0" w:line="272" w:lineRule="auto"/>
        <w:rPr>
          <w:sz w:val="20"/>
          <w:szCs w:val="20"/>
          <w:color w:val="auto"/>
        </w:rPr>
      </w:pPr>
      <w:r>
        <w:rPr>
          <w:rFonts w:ascii="Arial" w:cs="Arial" w:eastAsia="Arial" w:hAnsi="Arial"/>
          <w:sz w:val="16"/>
          <w:szCs w:val="16"/>
          <w:color w:val="auto"/>
        </w:rPr>
        <w:t>The Company recognizes compensation expense for employee stock awards with service-based vesting conditions on a straight-line basis over the requisite service period, which is generally four years, based on the fair value at grant date using the Black-Scholes option pricing model. The Company, at times, grants unvested restricted stock to employees of certain acquired companies in lieu of cash consideration. These awards are generally subject to continued post-acquisition employment. Therefore, the Company accounts for these awards as post-acquisition stock-based compensation expense. The Company recognizes stock-based compensation expense equal to the grant date fair value of the restricted stock on a straight-line basis over the requisite service period of the awards, which is generally three years.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780"/>
          </w:cols>
          <w:pgMar w:left="320" w:top="440" w:right="799" w:bottom="1440" w:gutter="0" w:footer="0" w:header="0"/>
        </w:sectPr>
      </w:pPr>
    </w:p>
    <w:bookmarkStart w:id="337" w:name="page338"/>
    <w:bookmarkEnd w:id="3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82485" cy="36195"/>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Performance-Based Awards</w:t>
      </w:r>
    </w:p>
    <w:p>
      <w:pPr>
        <w:spacing w:after="0" w:line="108" w:lineRule="exact"/>
        <w:rPr>
          <w:sz w:val="20"/>
          <w:szCs w:val="20"/>
          <w:color w:val="auto"/>
        </w:rPr>
      </w:pPr>
    </w:p>
    <w:p>
      <w:pPr>
        <w:ind w:left="460" w:right="40"/>
        <w:spacing w:after="0" w:line="293" w:lineRule="auto"/>
        <w:rPr>
          <w:sz w:val="20"/>
          <w:szCs w:val="20"/>
          <w:color w:val="auto"/>
        </w:rPr>
      </w:pPr>
      <w:r>
        <w:rPr>
          <w:rFonts w:ascii="Arial" w:cs="Arial" w:eastAsia="Arial" w:hAnsi="Arial"/>
          <w:sz w:val="15"/>
          <w:szCs w:val="15"/>
          <w:color w:val="auto"/>
        </w:rPr>
        <w:t>The Company has granted restricted stock units (“RSUs”) and restricted stock that vest only upon satisfaction of both service-based and performance-based vesting conditions. The service-based vesting condition for the majority of RSUs and restricted stock is satisfied over a period of four years. The performance-based vesting condition will be satisfied upon a qualifying liquidity event defined as the earlier of (i) a combination or disposition transaction provided that such transaction (or series of transactions) qualifies as a change of control, and (ii) the effective date of a registration statement of the Company for an initial public offering. The unvested restricted stock is subject to the Company’s right of repurchase. The Company has also granted RSUs with an additional performance-based vesting condition. Refer to Note 12—Stockholders’ Equity (Deficit) for further discussion.</w:t>
      </w:r>
    </w:p>
    <w:p>
      <w:pPr>
        <w:spacing w:after="0" w:line="155" w:lineRule="exact"/>
        <w:rPr>
          <w:sz w:val="20"/>
          <w:szCs w:val="20"/>
          <w:color w:val="auto"/>
        </w:rPr>
      </w:pPr>
    </w:p>
    <w:p>
      <w:pPr>
        <w:ind w:left="460" w:right="140"/>
        <w:spacing w:after="0" w:line="303" w:lineRule="auto"/>
        <w:rPr>
          <w:sz w:val="20"/>
          <w:szCs w:val="20"/>
          <w:color w:val="auto"/>
        </w:rPr>
      </w:pPr>
      <w:r>
        <w:rPr>
          <w:rFonts w:ascii="Arial" w:cs="Arial" w:eastAsia="Arial" w:hAnsi="Arial"/>
          <w:sz w:val="16"/>
          <w:szCs w:val="16"/>
          <w:color w:val="auto"/>
        </w:rPr>
        <w:t>The Company records stock-based compensation expense for RSUs and restricted stock on an accelerated attribution method over the requisite service period, which is generally four years, and only if performance-based vesting conditions are considered probable to be satisfied.</w:t>
      </w:r>
    </w:p>
    <w:p>
      <w:pPr>
        <w:spacing w:after="0" w:line="143" w:lineRule="exact"/>
        <w:rPr>
          <w:sz w:val="20"/>
          <w:szCs w:val="20"/>
          <w:color w:val="auto"/>
        </w:rPr>
      </w:pPr>
    </w:p>
    <w:p>
      <w:pPr>
        <w:ind w:left="460" w:right="20"/>
        <w:spacing w:after="0" w:line="253" w:lineRule="auto"/>
        <w:rPr>
          <w:sz w:val="20"/>
          <w:szCs w:val="20"/>
          <w:color w:val="auto"/>
        </w:rPr>
      </w:pPr>
      <w:r>
        <w:rPr>
          <w:rFonts w:ascii="Arial" w:cs="Arial" w:eastAsia="Arial" w:hAnsi="Arial"/>
          <w:sz w:val="17"/>
          <w:szCs w:val="17"/>
          <w:color w:val="auto"/>
        </w:rPr>
        <w:t>As of December 31, 2021 and 2022 and June 30, 2023 (unaudited), the Company has not recognized stock-based compensation expense for awards with performance-based vesting conditions that include a qualifying liquidity event because the qualifying liquidity event is not probable. In the period in which the Company’s qualifying liquidity event becomes probable, the Company will record cumulative stock-based compensation expense determined using grant-date fair values for awards that have satisfied or partially satisfied the service-based vesting condition. Stock-based compensation expense related to any remaining service-based vesting conditions after the qualifying liquidity event will be recorded over the remaining requisite service period.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Market-Based Awards</w:t>
      </w:r>
    </w:p>
    <w:p>
      <w:pPr>
        <w:spacing w:after="0" w:line="108" w:lineRule="exact"/>
        <w:rPr>
          <w:sz w:val="20"/>
          <w:szCs w:val="20"/>
          <w:color w:val="auto"/>
        </w:rPr>
      </w:pPr>
    </w:p>
    <w:p>
      <w:pPr>
        <w:ind w:left="460" w:right="120"/>
        <w:spacing w:after="0" w:line="270" w:lineRule="auto"/>
        <w:rPr>
          <w:sz w:val="20"/>
          <w:szCs w:val="20"/>
          <w:color w:val="auto"/>
        </w:rPr>
      </w:pPr>
      <w:r>
        <w:rPr>
          <w:rFonts w:ascii="Arial" w:cs="Arial" w:eastAsia="Arial" w:hAnsi="Arial"/>
          <w:sz w:val="16"/>
          <w:szCs w:val="16"/>
          <w:color w:val="auto"/>
        </w:rPr>
        <w:t>The Company has granted stock options and RSUs to certain executives to purchase shares of the Company’s voting common stock and non-voting common stock, as applicable, under its 2013 Equity Incentive Plan (the “2013 Plan”) and its 2018 Equity Incentive Plan (the “2018 Plan” and, together with the 2013 Plan, the “Plans”), each of which vest only upon the satisfaction of market-based vesting conditions in addition to either service-based vesting conditions or both service-based and performance-based vesting conditions. The market-based vesting conditions are satisfied upon the Company’s achievement of specified future Company valuation amounts, as determined upon a change of control or following the effective date of a registration statement of the Company for an initial public offering. The performance-based vesting condition is satisfied upon a liquidity event, including a change of control or an initial public offering.</w:t>
      </w:r>
    </w:p>
    <w:p>
      <w:pPr>
        <w:spacing w:after="0" w:line="172" w:lineRule="exact"/>
        <w:rPr>
          <w:sz w:val="20"/>
          <w:szCs w:val="20"/>
          <w:color w:val="auto"/>
        </w:rPr>
      </w:pPr>
    </w:p>
    <w:p>
      <w:pPr>
        <w:jc w:val="both"/>
        <w:ind w:left="460" w:right="40"/>
        <w:spacing w:after="0" w:line="260" w:lineRule="auto"/>
        <w:rPr>
          <w:sz w:val="20"/>
          <w:szCs w:val="20"/>
          <w:color w:val="auto"/>
        </w:rPr>
      </w:pPr>
      <w:r>
        <w:rPr>
          <w:rFonts w:ascii="Arial" w:cs="Arial" w:eastAsia="Arial" w:hAnsi="Arial"/>
          <w:sz w:val="17"/>
          <w:szCs w:val="17"/>
          <w:color w:val="auto"/>
        </w:rPr>
        <w:t>For market-based equity awards, the Company determines the grant-date fair value utilizing a Monte Carlo valuation model, which incorporates various assumptions including expected stock price volatility, expected term, risk-free interest rates, expected date of a qualifying event, and expected Company valuation amounts.</w:t>
      </w:r>
    </w:p>
    <w:p>
      <w:pPr>
        <w:spacing w:after="0" w:line="175"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color w:val="auto"/>
        </w:rPr>
        <w:t>The Company records stock-based compensation expense for market-based equity awards on an accelerated attribution method over the requisite service period, and for awards containing performance-based vesting conditions, only if performance-based vesting conditions are considered probable of being satisfied. The Company determines the requisite service period by comparing the derived service period to achieve the market-based vesting condition and the explicit time-based service period, using the longer of the two service periods as the requisite service period.</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108"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The fair value of the shares of common stock underlying stock options and RSUs and common and restricted stock issued in connection with business acquisitions has historically been determined by the board of directors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780"/>
          </w:cols>
          <w:pgMar w:left="320" w:top="440" w:right="799" w:bottom="1440" w:gutter="0" w:footer="0" w:header="0"/>
        </w:sectPr>
      </w:pPr>
    </w:p>
    <w:bookmarkStart w:id="338" w:name="page339"/>
    <w:bookmarkEnd w:id="3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jc w:val="both"/>
        <w:ind w:left="460" w:right="20"/>
        <w:spacing w:after="0" w:line="301" w:lineRule="auto"/>
        <w:rPr>
          <w:sz w:val="20"/>
          <w:szCs w:val="20"/>
          <w:color w:val="auto"/>
        </w:rPr>
      </w:pPr>
      <w:r>
        <w:rPr>
          <w:rFonts w:ascii="Arial" w:cs="Arial" w:eastAsia="Arial" w:hAnsi="Arial"/>
          <w:sz w:val="15"/>
          <w:szCs w:val="15"/>
          <w:color w:val="auto"/>
        </w:rPr>
        <w:t>as there was no public market for the common stock. The board of directors determines the fair value of the Company’s common stock by considering a number of objective and subjective factors including: the valuation of comparable companies, sales of the Company’s redeemable convertible preferred stock or common stock by the Company, the Company’s operating and financial performance, secondary transactions involving the Company’s common stock, the lack of liquidity of common stock, and general and industry specific economic outlook, amongst other factors.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460"/>
        <w:spacing w:after="0" w:line="272" w:lineRule="auto"/>
        <w:rPr>
          <w:sz w:val="20"/>
          <w:szCs w:val="20"/>
          <w:color w:val="auto"/>
        </w:rPr>
      </w:pPr>
      <w:r>
        <w:rPr>
          <w:rFonts w:ascii="Arial" w:cs="Arial" w:eastAsia="Arial" w:hAnsi="Arial"/>
          <w:sz w:val="16"/>
          <w:szCs w:val="16"/>
          <w:color w:val="auto"/>
        </w:rPr>
        <w:t>The Company is subject to income taxes in the United States, Canada, Australia, and China. The Company records a provision for income taxes using the asset and liability method. Under this method, 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enacted tax rates that are expected to apply to taxable income for the years in which those tax assets and liabilities are expected to be realized or settled. The Company records a valuation allowance to reduce its deferred tax assets to the net amount that it believes is more likely than not to be realized.</w:t>
      </w:r>
    </w:p>
    <w:p>
      <w:pPr>
        <w:spacing w:after="0" w:line="167"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The Company recognizes tax benefits from uncertain tax positions only if the Company believes that it is more likely than not that the tax position will be sustained on examination by the taxing authorities based on the technical merits of the position. The Company continuously reviews issues raised in connection with ongoing examinations and open tax years to evaluate the adequacy of its tax liabilities. The Company’s policy is to adjust these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 and could have a material impact on its financial condition and results of operations. The provision for income taxes includes the effects of any reserves that management believes are appropriate, as well as the related interest and penalties.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108"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color w:val="auto"/>
        </w:rPr>
        <w:t>The Company calculates basic and diluted net income (loss) per share attributable to common stockholders in conformity with the two-class method required for companies with participating securities. The Company considers all series of redeemable convertible preferred stock to be participating securities as the holders are entitled to receive non-cumulative dividends on a pari passu basis in the event that a dividend is paid on common stock. The two-class method requires earnings available to common stockholders for the period to be allocated between common stock and participating securities based upon their respective rights to receive dividends as if all earnings for the period had been distributed. Under the two-class method, net loss attributable to common stockholders is not allocated to the redeemable convertible preferred stock as the holders of redeemable convertible preferred stock do not have a contractual obligation to share in losses.</w:t>
      </w:r>
    </w:p>
    <w:p>
      <w:pPr>
        <w:spacing w:after="0" w:line="172" w:lineRule="exact"/>
        <w:rPr>
          <w:sz w:val="20"/>
          <w:szCs w:val="20"/>
          <w:color w:val="auto"/>
        </w:rPr>
      </w:pPr>
    </w:p>
    <w:p>
      <w:pPr>
        <w:ind w:left="460" w:right="60"/>
        <w:spacing w:after="0" w:line="254" w:lineRule="auto"/>
        <w:rPr>
          <w:sz w:val="20"/>
          <w:szCs w:val="20"/>
          <w:color w:val="auto"/>
        </w:rPr>
      </w:pPr>
      <w:r>
        <w:rPr>
          <w:rFonts w:ascii="Arial" w:cs="Arial" w:eastAsia="Arial" w:hAnsi="Arial"/>
          <w:sz w:val="17"/>
          <w:szCs w:val="17"/>
          <w:color w:val="auto"/>
        </w:rPr>
        <w:t>Basic net income (loss) per share attributable to common stockholders is calculated by dividing the net income (loss) attributable to common stockholders by the weighted-average number of shares of common stock outstanding during the period. Diluted net income (loss) per share attributable to common stockholders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the effect of potentially dilutive securities is not dilutive.</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780"/>
          </w:cols>
          <w:pgMar w:left="320" w:top="440" w:right="799" w:bottom="1440" w:gutter="0" w:footer="0" w:header="0"/>
        </w:sectPr>
      </w:pPr>
    </w:p>
    <w:bookmarkStart w:id="339" w:name="page340"/>
    <w:bookmarkEnd w:id="3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08" w:lineRule="exact"/>
        <w:rPr>
          <w:sz w:val="20"/>
          <w:szCs w:val="20"/>
          <w:color w:val="auto"/>
        </w:rPr>
      </w:pPr>
    </w:p>
    <w:p>
      <w:pPr>
        <w:ind w:left="460" w:right="420"/>
        <w:spacing w:after="0" w:line="274"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cloud computing arrangement that is a service contract with the requirements for capitalizing implementation costs incurred to develop or obtain internal-use software. The Company adopted the provisions of ASU No. 2018-15 on January 1, 2021, which did not have a material impact on the consolidated financial statements.</w:t>
      </w:r>
    </w:p>
    <w:p>
      <w:pPr>
        <w:spacing w:after="0" w:line="165" w:lineRule="exact"/>
        <w:rPr>
          <w:sz w:val="20"/>
          <w:szCs w:val="20"/>
          <w:color w:val="auto"/>
        </w:rPr>
      </w:pPr>
    </w:p>
    <w:p>
      <w:pPr>
        <w:ind w:left="460" w:right="140"/>
        <w:spacing w:after="0" w:line="272"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is intended to improve consistency and simplify several areas of existing guidance. ASU No.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clarifies the accounting for transactions that result in a step-up in the tax basis of goodwill. The Company prospectively adopted the provisions of ASU No. 2019-12 on January 1, 2021, which did not have a material impact on the consolidated financial statements.</w:t>
      </w:r>
    </w:p>
    <w:p>
      <w:pPr>
        <w:spacing w:after="0" w:line="16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 xml:space="preserve">In May 2021, the FASB issued ASU No. 2021-04, </w:t>
      </w:r>
      <w:r>
        <w:rPr>
          <w:rFonts w:ascii="Arial" w:cs="Arial" w:eastAsia="Arial" w:hAnsi="Arial"/>
          <w:sz w:val="17"/>
          <w:szCs w:val="17"/>
          <w:i w:val="1"/>
          <w:iCs w:val="1"/>
          <w:color w:val="auto"/>
        </w:rPr>
        <w:t>Earnings Per Share (Topic 260), Debt—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Compensation—Stock Compensation (Topic 718), and Derivatives and Hedging— Contracts in Entity’s Own Equity (Subtopic 815-40) </w:t>
      </w:r>
      <w:r>
        <w:rPr>
          <w:rFonts w:ascii="Arial" w:cs="Arial" w:eastAsia="Arial" w:hAnsi="Arial"/>
          <w:sz w:val="17"/>
          <w:szCs w:val="17"/>
          <w:color w:val="auto"/>
        </w:rPr>
        <w:t>to clarify and</w:t>
      </w:r>
      <w:r>
        <w:rPr>
          <w:rFonts w:ascii="Arial" w:cs="Arial" w:eastAsia="Arial" w:hAnsi="Arial"/>
          <w:sz w:val="17"/>
          <w:szCs w:val="17"/>
          <w:i w:val="1"/>
          <w:iCs w:val="1"/>
          <w:color w:val="auto"/>
        </w:rPr>
        <w:t xml:space="preserve"> </w:t>
      </w:r>
      <w:r>
        <w:rPr>
          <w:rFonts w:ascii="Arial" w:cs="Arial" w:eastAsia="Arial" w:hAnsi="Arial"/>
          <w:sz w:val="17"/>
          <w:szCs w:val="17"/>
          <w:color w:val="auto"/>
        </w:rPr>
        <w:t>reduce diversity in an entity’s accounting for certain equity transactions affecting the presentation of earnings per share. This guidance requires an entity to treat a modification of an equity-classified warrant that remains equity-classified as an exchange of the original warrant for a new warrant. An entity should measure the effect of a modification as the excess, if any, of the fair value, of the modified warrant and the fair value of that warrant immediately before modification. The Company adopted the provisions of ASU No. 2021-04 on January 1, 2022, which did not have an impact on the consolidated financial statements.</w:t>
      </w:r>
    </w:p>
    <w:p>
      <w:pPr>
        <w:spacing w:after="0" w:line="184" w:lineRule="exact"/>
        <w:rPr>
          <w:sz w:val="20"/>
          <w:szCs w:val="20"/>
          <w:color w:val="auto"/>
        </w:rPr>
      </w:pPr>
    </w:p>
    <w:p>
      <w:pPr>
        <w:ind w:left="460" w:right="40"/>
        <w:spacing w:after="0" w:line="296" w:lineRule="auto"/>
        <w:rPr>
          <w:sz w:val="20"/>
          <w:szCs w:val="20"/>
          <w:color w:val="auto"/>
        </w:rPr>
      </w:pPr>
      <w:r>
        <w:rPr>
          <w:rFonts w:ascii="Arial" w:cs="Arial" w:eastAsia="Arial" w:hAnsi="Arial"/>
          <w:sz w:val="15"/>
          <w:szCs w:val="15"/>
          <w:color w:val="auto"/>
        </w:rPr>
        <w:t xml:space="preserve">In October 2021, the FASB issued ASU No.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w:t>
      </w:r>
      <w:r>
        <w:rPr>
          <w:rFonts w:ascii="Arial" w:cs="Arial" w:eastAsia="Arial" w:hAnsi="Arial"/>
          <w:sz w:val="15"/>
          <w:szCs w:val="15"/>
          <w:color w:val="auto"/>
        </w:rPr>
        <w:t>, which requires contract assets and contract liabilities acquired in a business combination to be recognized and measured 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acquirer on the acquisition date in accordance with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 if it had originated the contracts. Under the legacy business combination guidance, such assets and liabilities are recognized by the acquirer at fair value on the acquisition date. The Company adopted the provisions of ASU No. 2021-08 on January 1, 2022, which did not have a material impact on the consolidated financial statements.</w:t>
      </w:r>
    </w:p>
    <w:p>
      <w:pPr>
        <w:spacing w:after="0" w:line="249" w:lineRule="exact"/>
        <w:rPr>
          <w:sz w:val="20"/>
          <w:szCs w:val="20"/>
          <w:color w:val="auto"/>
        </w:rPr>
      </w:pPr>
    </w:p>
    <w:p>
      <w:pPr>
        <w:ind w:left="800" w:hanging="343"/>
        <w:spacing w:after="0"/>
        <w:tabs>
          <w:tab w:leader="none" w:pos="80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08" w:lineRule="exact"/>
        <w:rPr>
          <w:sz w:val="20"/>
          <w:szCs w:val="20"/>
          <w:color w:val="auto"/>
        </w:rPr>
      </w:pPr>
    </w:p>
    <w:p>
      <w:pPr>
        <w:ind w:left="460" w:right="260"/>
        <w:spacing w:after="0" w:line="260" w:lineRule="auto"/>
        <w:rPr>
          <w:sz w:val="20"/>
          <w:szCs w:val="20"/>
          <w:color w:val="auto"/>
        </w:rPr>
      </w:pPr>
      <w:r>
        <w:rPr>
          <w:rFonts w:ascii="Arial" w:cs="Arial" w:eastAsia="Arial" w:hAnsi="Arial"/>
          <w:sz w:val="17"/>
          <w:szCs w:val="17"/>
          <w:color w:val="auto"/>
        </w:rPr>
        <w:t>The following table depicts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3"/>
              </w:rPr>
              <w:t>Six Months Ended June 30,</w:t>
            </w:r>
          </w:p>
        </w:tc>
      </w:tr>
      <w:tr>
        <w:trPr>
          <w:trHeight w:val="132"/>
        </w:trPr>
        <w:tc>
          <w:tcPr>
            <w:tcW w:w="2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24"/>
              <w:spacing w:after="0" w:line="132" w:lineRule="exact"/>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gridSpan w:val="2"/>
          </w:tcPr>
          <w:p>
            <w:pPr>
              <w:jc w:val="center"/>
              <w:ind w:left="583"/>
              <w:spacing w:after="0" w:line="132" w:lineRule="exact"/>
              <w:rPr>
                <w:sz w:val="20"/>
                <w:szCs w:val="20"/>
                <w:color w:val="auto"/>
              </w:rPr>
            </w:pPr>
            <w:r>
              <w:rPr>
                <w:rFonts w:ascii="Arial" w:cs="Arial" w:eastAsia="Arial" w:hAnsi="Arial"/>
                <w:sz w:val="13"/>
                <w:szCs w:val="13"/>
                <w:b w:val="1"/>
                <w:bCs w:val="1"/>
                <w:color w:val="auto"/>
                <w:w w:val="89"/>
              </w:rPr>
              <w:t>2021</w:t>
            </w:r>
          </w:p>
        </w:tc>
        <w:tc>
          <w:tcPr>
            <w:tcW w:w="6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2"/>
          </w:tcPr>
          <w:p>
            <w:pPr>
              <w:jc w:val="right"/>
              <w:ind w:right="100"/>
              <w:spacing w:after="0" w:line="132" w:lineRule="exact"/>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4"/>
              <w:spacing w:after="0" w:line="132" w:lineRule="exact"/>
              <w:rPr>
                <w:sz w:val="20"/>
                <w:szCs w:val="20"/>
                <w:color w:val="auto"/>
              </w:rPr>
            </w:pPr>
            <w:r>
              <w:rPr>
                <w:rFonts w:ascii="Arial" w:cs="Arial" w:eastAsia="Arial" w:hAnsi="Arial"/>
                <w:sz w:val="13"/>
                <w:szCs w:val="13"/>
                <w:b w:val="1"/>
                <w:bCs w:val="1"/>
                <w:color w:val="auto"/>
              </w:rPr>
              <w:t>2022</w:t>
            </w:r>
          </w:p>
        </w:tc>
        <w:tc>
          <w:tcPr>
            <w:tcW w:w="3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0"/>
              <w:spacing w:after="0" w:line="132" w:lineRule="exact"/>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1"/>
                <w:szCs w:val="11"/>
                <w:color w:val="auto"/>
              </w:rPr>
            </w:pPr>
          </w:p>
        </w:tc>
      </w:tr>
      <w:tr>
        <w:trPr>
          <w:trHeight w:val="132"/>
        </w:trPr>
        <w:tc>
          <w:tcPr>
            <w:tcW w:w="2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3"/>
          </w:tcPr>
          <w:p>
            <w:pPr>
              <w:jc w:val="cente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5"/>
          </w:tcPr>
          <w:p>
            <w:pPr>
              <w:jc w:val="center"/>
              <w:ind w:right="100"/>
              <w:spacing w:after="0" w:line="132" w:lineRule="exact"/>
              <w:rPr>
                <w:sz w:val="20"/>
                <w:szCs w:val="20"/>
                <w:color w:val="auto"/>
              </w:rPr>
            </w:pPr>
            <w:r>
              <w:rPr>
                <w:rFonts w:ascii="Arial" w:cs="Arial" w:eastAsia="Arial" w:hAnsi="Arial"/>
                <w:sz w:val="13"/>
                <w:szCs w:val="13"/>
                <w:b w:val="1"/>
                <w:bCs w:val="1"/>
                <w:color w:val="auto"/>
                <w:w w:val="94"/>
              </w:rPr>
              <w:t>(unaudited, in millions)</w:t>
            </w:r>
          </w:p>
        </w:tc>
        <w:tc>
          <w:tcPr>
            <w:tcW w:w="60" w:type="dxa"/>
            <w:vAlign w:val="bottom"/>
          </w:tcPr>
          <w:p>
            <w:pPr>
              <w:spacing w:after="0"/>
              <w:rPr>
                <w:sz w:val="11"/>
                <w:szCs w:val="1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Transaction</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$1,182</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$1,262</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$1,811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799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1,069</w:t>
            </w:r>
          </w:p>
        </w:tc>
      </w:tr>
      <w:tr>
        <w:trPr>
          <w:trHeight w:val="203"/>
        </w:trPr>
        <w:tc>
          <w:tcPr>
            <w:tcW w:w="2940" w:type="dxa"/>
            <w:vAlign w:val="bottom"/>
          </w:tcPr>
          <w:p>
            <w:pPr>
              <w:spacing w:after="0"/>
              <w:rPr>
                <w:sz w:val="20"/>
                <w:szCs w:val="20"/>
                <w:color w:val="auto"/>
              </w:rPr>
            </w:pPr>
            <w:r>
              <w:rPr>
                <w:rFonts w:ascii="Arial" w:cs="Arial" w:eastAsia="Arial" w:hAnsi="Arial"/>
                <w:sz w:val="17"/>
                <w:szCs w:val="17"/>
                <w:color w:val="auto"/>
              </w:rPr>
              <w:t>Advertising and other</w:t>
            </w:r>
          </w:p>
        </w:tc>
        <w:tc>
          <w:tcPr>
            <w:tcW w:w="14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295</w:t>
            </w:r>
          </w:p>
        </w:tc>
        <w:tc>
          <w:tcPr>
            <w:tcW w:w="1740" w:type="dxa"/>
            <w:vAlign w:val="bottom"/>
            <w:gridSpan w:val="3"/>
          </w:tcPr>
          <w:p>
            <w:pPr>
              <w:jc w:val="right"/>
              <w:ind w:right="620"/>
              <w:spacing w:after="0"/>
              <w:rPr>
                <w:sz w:val="20"/>
                <w:szCs w:val="20"/>
                <w:color w:val="auto"/>
              </w:rPr>
            </w:pPr>
            <w:r>
              <w:rPr>
                <w:rFonts w:ascii="Arial" w:cs="Arial" w:eastAsia="Arial" w:hAnsi="Arial"/>
                <w:sz w:val="17"/>
                <w:szCs w:val="17"/>
                <w:color w:val="auto"/>
              </w:rPr>
              <w:t>572</w:t>
            </w:r>
          </w:p>
        </w:tc>
        <w:tc>
          <w:tcPr>
            <w:tcW w:w="920" w:type="dxa"/>
            <w:vAlign w:val="bottom"/>
            <w:gridSpan w:val="3"/>
          </w:tcPr>
          <w:p>
            <w:pPr>
              <w:jc w:val="right"/>
              <w:ind w:right="360"/>
              <w:spacing w:after="0"/>
              <w:rPr>
                <w:sz w:val="20"/>
                <w:szCs w:val="20"/>
                <w:color w:val="auto"/>
              </w:rPr>
            </w:pPr>
            <w:r>
              <w:rPr>
                <w:rFonts w:ascii="Arial" w:cs="Arial" w:eastAsia="Arial" w:hAnsi="Arial"/>
                <w:sz w:val="17"/>
                <w:szCs w:val="17"/>
                <w:color w:val="auto"/>
              </w:rPr>
              <w:t>740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327</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406</w:t>
            </w:r>
          </w:p>
        </w:tc>
      </w:tr>
      <w:tr>
        <w:trPr>
          <w:trHeight w:val="25"/>
        </w:trPr>
        <w:tc>
          <w:tcPr>
            <w:tcW w:w="2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1,477</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1,834</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2,551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1,126</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w:t>
            </w:r>
          </w:p>
        </w:tc>
      </w:tr>
      <w:tr>
        <w:trPr>
          <w:trHeight w:val="20"/>
        </w:trPr>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2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3"/>
          </w:tcPr>
          <w:p>
            <w:pPr>
              <w:jc w:val="right"/>
              <w:ind w:right="1360"/>
              <w:spacing w:after="0"/>
              <w:rPr>
                <w:sz w:val="20"/>
                <w:szCs w:val="20"/>
                <w:color w:val="auto"/>
              </w:rPr>
            </w:pPr>
            <w:r>
              <w:rPr>
                <w:rFonts w:ascii="Arial" w:cs="Arial" w:eastAsia="Arial" w:hAnsi="Arial"/>
                <w:sz w:val="17"/>
                <w:szCs w:val="17"/>
                <w:color w:val="auto"/>
              </w:rPr>
              <w:t>F-28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340" w:name="page341"/>
    <w:bookmarkEnd w:id="3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 by geographic areas based on bill-to location was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3"/>
              </w:rPr>
              <w:t>Six Months Ended June 30,</w:t>
            </w:r>
          </w:p>
        </w:tc>
      </w:tr>
      <w:tr>
        <w:trPr>
          <w:trHeight w:val="132"/>
        </w:trPr>
        <w:tc>
          <w:tcPr>
            <w:tcW w:w="28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24"/>
              <w:spacing w:after="0" w:line="13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gridSpan w:val="2"/>
          </w:tcPr>
          <w:p>
            <w:pPr>
              <w:jc w:val="center"/>
              <w:ind w:left="544"/>
              <w:spacing w:after="0" w:line="132" w:lineRule="exact"/>
              <w:rPr>
                <w:sz w:val="20"/>
                <w:szCs w:val="20"/>
                <w:color w:val="auto"/>
              </w:rPr>
            </w:pPr>
            <w:r>
              <w:rPr>
                <w:rFonts w:ascii="Arial" w:cs="Arial" w:eastAsia="Arial" w:hAnsi="Arial"/>
                <w:sz w:val="13"/>
                <w:szCs w:val="13"/>
                <w:b w:val="1"/>
                <w:bCs w:val="1"/>
                <w:color w:val="auto"/>
                <w:w w:val="89"/>
              </w:rPr>
              <w:t>2021</w:t>
            </w:r>
          </w:p>
        </w:tc>
        <w:tc>
          <w:tcPr>
            <w:tcW w:w="6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2"/>
          </w:tcPr>
          <w:p>
            <w:pPr>
              <w:jc w:val="right"/>
              <w:ind w:right="100"/>
              <w:spacing w:after="0" w:line="132" w:lineRule="exact"/>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4"/>
              <w:spacing w:after="0" w:line="132" w:lineRule="exact"/>
              <w:rPr>
                <w:sz w:val="20"/>
                <w:szCs w:val="20"/>
                <w:color w:val="auto"/>
              </w:rPr>
            </w:pPr>
            <w:r>
              <w:rPr>
                <w:rFonts w:ascii="Arial" w:cs="Arial" w:eastAsia="Arial" w:hAnsi="Arial"/>
                <w:sz w:val="13"/>
                <w:szCs w:val="13"/>
                <w:b w:val="1"/>
                <w:bCs w:val="1"/>
                <w:color w:val="auto"/>
              </w:rPr>
              <w:t>2022</w:t>
            </w:r>
          </w:p>
        </w:tc>
        <w:tc>
          <w:tcPr>
            <w:tcW w:w="3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0"/>
              <w:spacing w:after="0" w:line="132" w:lineRule="exact"/>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1"/>
                <w:szCs w:val="11"/>
                <w:color w:val="auto"/>
              </w:rPr>
            </w:pPr>
          </w:p>
        </w:tc>
      </w:tr>
      <w:tr>
        <w:trPr>
          <w:trHeight w:val="132"/>
        </w:trPr>
        <w:tc>
          <w:tcPr>
            <w:tcW w:w="28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3"/>
          </w:tcPr>
          <w:p>
            <w:pPr>
              <w:jc w:val="cente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5"/>
          </w:tcPr>
          <w:p>
            <w:pPr>
              <w:jc w:val="center"/>
              <w:ind w:right="100"/>
              <w:spacing w:after="0" w:line="132" w:lineRule="exact"/>
              <w:rPr>
                <w:sz w:val="20"/>
                <w:szCs w:val="20"/>
                <w:color w:val="auto"/>
              </w:rPr>
            </w:pPr>
            <w:r>
              <w:rPr>
                <w:rFonts w:ascii="Arial" w:cs="Arial" w:eastAsia="Arial" w:hAnsi="Arial"/>
                <w:sz w:val="13"/>
                <w:szCs w:val="13"/>
                <w:b w:val="1"/>
                <w:bCs w:val="1"/>
                <w:color w:val="auto"/>
                <w:w w:val="94"/>
              </w:rPr>
              <w:t>(unaudited, in millions)</w:t>
            </w:r>
          </w:p>
        </w:tc>
        <w:tc>
          <w:tcPr>
            <w:tcW w:w="60" w:type="dxa"/>
            <w:vAlign w:val="bottom"/>
          </w:tcPr>
          <w:p>
            <w:pPr>
              <w:spacing w:after="0"/>
              <w:rPr>
                <w:sz w:val="11"/>
                <w:szCs w:val="1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$1,442</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$1,789</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$2,470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1,093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1,426</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6"/>
                <w:szCs w:val="16"/>
                <w:color w:val="auto"/>
              </w:rPr>
              <w:t xml:space="preserve">International </w:t>
            </w:r>
            <w:r>
              <w:rPr>
                <w:rFonts w:ascii="Arial" w:cs="Arial" w:eastAsia="Arial" w:hAnsi="Arial"/>
                <w:sz w:val="23"/>
                <w:szCs w:val="23"/>
                <w:color w:val="auto"/>
                <w:vertAlign w:val="superscript"/>
              </w:rPr>
              <w:t>(1)</w:t>
            </w:r>
          </w:p>
        </w:tc>
        <w:tc>
          <w:tcPr>
            <w:tcW w:w="15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700" w:type="dxa"/>
            <w:vAlign w:val="bottom"/>
            <w:gridSpan w:val="3"/>
          </w:tcPr>
          <w:p>
            <w:pPr>
              <w:jc w:val="right"/>
              <w:ind w:right="620"/>
              <w:spacing w:after="0"/>
              <w:rPr>
                <w:sz w:val="20"/>
                <w:szCs w:val="20"/>
                <w:color w:val="auto"/>
              </w:rPr>
            </w:pPr>
            <w:r>
              <w:rPr>
                <w:rFonts w:ascii="Arial" w:cs="Arial" w:eastAsia="Arial" w:hAnsi="Arial"/>
                <w:sz w:val="17"/>
                <w:szCs w:val="17"/>
                <w:color w:val="auto"/>
              </w:rPr>
              <w:t>45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33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r>
      <w:tr>
        <w:trPr>
          <w:trHeight w:val="25"/>
        </w:trPr>
        <w:tc>
          <w:tcPr>
            <w:tcW w:w="2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1,477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1,834</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2,551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1,126</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w:t>
            </w:r>
          </w:p>
        </w:tc>
      </w:tr>
      <w:tr>
        <w:trPr>
          <w:trHeight w:val="20"/>
        </w:trPr>
        <w:tc>
          <w:tcPr>
            <w:tcW w:w="2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860" w:right="120" w:hanging="403"/>
        <w:spacing w:after="0" w:line="260" w:lineRule="auto"/>
        <w:tabs>
          <w:tab w:leader="none" w:pos="860" w:val="left"/>
        </w:tabs>
        <w:numPr>
          <w:ilvl w:val="0"/>
          <w:numId w:val="288"/>
        </w:numPr>
        <w:rPr>
          <w:rFonts w:ascii="Arial" w:cs="Arial" w:eastAsia="Arial" w:hAnsi="Arial"/>
          <w:sz w:val="10"/>
          <w:szCs w:val="10"/>
          <w:color w:val="auto"/>
        </w:rPr>
      </w:pPr>
      <w:r>
        <w:rPr>
          <w:rFonts w:ascii="Arial" w:cs="Arial" w:eastAsia="Arial" w:hAnsi="Arial"/>
          <w:sz w:val="13"/>
          <w:szCs w:val="13"/>
          <w:color w:val="auto"/>
        </w:rPr>
        <w:t>No individual international country represented 10% or more of the Company’s total revenue for the years ended December 31, 2020, 2021, or 2022 or the six months ended June 30, 2022 or 2023 (unaudited).</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 Agreements with Retailers</w:t>
      </w:r>
    </w:p>
    <w:p>
      <w:pPr>
        <w:spacing w:after="0" w:line="108" w:lineRule="exact"/>
        <w:rPr>
          <w:sz w:val="20"/>
          <w:szCs w:val="20"/>
          <w:color w:val="auto"/>
        </w:rPr>
      </w:pPr>
    </w:p>
    <w:p>
      <w:pPr>
        <w:ind w:left="460" w:right="100"/>
        <w:spacing w:after="0" w:line="254" w:lineRule="auto"/>
        <w:rPr>
          <w:sz w:val="20"/>
          <w:szCs w:val="20"/>
          <w:color w:val="auto"/>
        </w:rPr>
      </w:pPr>
      <w:r>
        <w:rPr>
          <w:rFonts w:ascii="Arial" w:cs="Arial" w:eastAsia="Arial" w:hAnsi="Arial"/>
          <w:sz w:val="17"/>
          <w:szCs w:val="17"/>
          <w:color w:val="auto"/>
        </w:rPr>
        <w:t>From time to time, the Company has entered into equity agreements with retailers for the purchase or grant of redeemable convertible preferred stock, non-voting common stock warrants, and non-voting common stock (collectively, “the Equity Agreements”). These Equity Agreements are generally executed at or near the time of execution of commercial agreements for the Company’s services. In accordance with ASC 606, the Company considers any excess of the fair value of the equity instruments issued over any cash payments received in exchange for the instrument to be consideration paid to the retailers and therefore, a reduction of revenue.</w:t>
      </w:r>
    </w:p>
    <w:p>
      <w:pPr>
        <w:spacing w:after="0" w:line="181" w:lineRule="exact"/>
        <w:rPr>
          <w:sz w:val="20"/>
          <w:szCs w:val="20"/>
          <w:color w:val="auto"/>
        </w:rPr>
      </w:pPr>
    </w:p>
    <w:p>
      <w:pPr>
        <w:ind w:left="460" w:right="180"/>
        <w:spacing w:after="0" w:line="293" w:lineRule="auto"/>
        <w:rPr>
          <w:sz w:val="20"/>
          <w:szCs w:val="20"/>
          <w:color w:val="auto"/>
        </w:rPr>
      </w:pPr>
      <w:r>
        <w:rPr>
          <w:rFonts w:ascii="Arial" w:cs="Arial" w:eastAsia="Arial" w:hAnsi="Arial"/>
          <w:sz w:val="15"/>
          <w:szCs w:val="15"/>
          <w:color w:val="auto"/>
        </w:rPr>
        <w:t>The fair value of non-voting common stock issuable pursuant to a subscription agreement is determined by management who considers the results of independent valuations of the Company’s common stock. The amounts representing the excess of the fair value of the equity awards provided to retailers from the Equity Agreements over any cash payments received are recognized as a reduction of revenue in the consolidated statements of operations over the term of the related commercial agreement or based on the achievement of certain performance targets, as applicable. In total, the Company recognized net reductions to revenue of $26 million, $5 million, and $3 million during the years ended December 31, 2020, 2021, and 2022, respectively. No adjustments to revenue were recorded during the six months ended June 30, 2022 or 2023 (unaudited).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fair values of the warrants for the years ended December 31, 2020 and 2022 were determined using the following assumptions: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300" w:type="dxa"/>
            <w:vAlign w:val="bottom"/>
          </w:tcPr>
          <w:p>
            <w:pPr>
              <w:spacing w:after="0"/>
              <w:rPr>
                <w:sz w:val="13"/>
                <w:szCs w:val="13"/>
                <w:color w:val="auto"/>
              </w:rPr>
            </w:pPr>
          </w:p>
        </w:tc>
        <w:tc>
          <w:tcPr>
            <w:tcW w:w="3540" w:type="dxa"/>
            <w:vAlign w:val="bottom"/>
            <w:gridSpan w:val="4"/>
          </w:tcPr>
          <w:p>
            <w:pPr>
              <w:ind w:left="980"/>
              <w:spacing w:after="0"/>
              <w:rPr>
                <w:sz w:val="20"/>
                <w:szCs w:val="20"/>
                <w:color w:val="auto"/>
              </w:rPr>
            </w:pPr>
            <w:r>
              <w:rPr>
                <w:rFonts w:ascii="Arial" w:cs="Arial" w:eastAsia="Arial" w:hAnsi="Arial"/>
                <w:sz w:val="13"/>
                <w:szCs w:val="13"/>
                <w:b w:val="1"/>
                <w:bCs w:val="1"/>
                <w:color w:val="auto"/>
              </w:rPr>
              <w:t>Year Ended December 31,</w:t>
            </w:r>
          </w:p>
        </w:tc>
      </w:tr>
      <w:tr>
        <w:trPr>
          <w:trHeight w:val="132"/>
        </w:trPr>
        <w:tc>
          <w:tcPr>
            <w:tcW w:w="4300" w:type="dxa"/>
            <w:vAlign w:val="bottom"/>
            <w:tcBorders>
              <w:bottom w:val="single" w:sz="8" w:color="CCEEFF"/>
            </w:tcBorders>
          </w:tcPr>
          <w:p>
            <w:pPr>
              <w:spacing w:after="0"/>
              <w:rPr>
                <w:sz w:val="11"/>
                <w:szCs w:val="11"/>
                <w:color w:val="auto"/>
              </w:rPr>
            </w:pPr>
          </w:p>
        </w:tc>
        <w:tc>
          <w:tcPr>
            <w:tcW w:w="1580" w:type="dxa"/>
            <w:vAlign w:val="bottom"/>
            <w:tcBorders>
              <w:top w:val="single" w:sz="8" w:color="auto"/>
              <w:bottom w:val="single" w:sz="8" w:color="auto"/>
            </w:tcBorders>
          </w:tcPr>
          <w:p>
            <w:pPr>
              <w:jc w:val="right"/>
              <w:ind w:right="561"/>
              <w:spacing w:after="0" w:line="132"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CCEEFF"/>
            </w:tcBorders>
          </w:tcPr>
          <w:p>
            <w:pPr>
              <w:spacing w:after="0"/>
              <w:rPr>
                <w:sz w:val="11"/>
                <w:szCs w:val="11"/>
                <w:color w:val="auto"/>
              </w:rPr>
            </w:pPr>
          </w:p>
        </w:tc>
        <w:tc>
          <w:tcPr>
            <w:tcW w:w="1360" w:type="dxa"/>
            <w:vAlign w:val="bottom"/>
            <w:tcBorders>
              <w:top w:val="single" w:sz="8" w:color="auto"/>
              <w:bottom w:val="single" w:sz="8" w:color="auto"/>
            </w:tcBorders>
          </w:tcPr>
          <w:p>
            <w:pPr>
              <w:jc w:val="right"/>
              <w:ind w:right="459"/>
              <w:spacing w:after="0" w:line="132" w:lineRule="exact"/>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1"/>
                <w:szCs w:val="11"/>
                <w:color w:val="auto"/>
              </w:rPr>
            </w:pPr>
          </w:p>
        </w:tc>
      </w:tr>
      <w:tr>
        <w:trPr>
          <w:trHeight w:val="195"/>
        </w:trPr>
        <w:tc>
          <w:tcPr>
            <w:tcW w:w="4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term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0.25 -3.88</w:t>
            </w: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0.05 - 1.05</w:t>
            </w:r>
          </w:p>
        </w:tc>
        <w:tc>
          <w:tcPr>
            <w:tcW w:w="60" w:type="dxa"/>
            <w:vAlign w:val="bottom"/>
            <w:shd w:val="clear" w:color="auto" w:fill="CCEEFF"/>
          </w:tcPr>
          <w:p>
            <w:pPr>
              <w:spacing w:after="0"/>
              <w:rPr>
                <w:sz w:val="16"/>
                <w:szCs w:val="16"/>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7"/>
                <w:szCs w:val="17"/>
                <w:color w:val="auto"/>
              </w:rPr>
              <w:t>Expected volatility</w:t>
            </w:r>
          </w:p>
        </w:tc>
        <w:tc>
          <w:tcPr>
            <w:tcW w:w="2120" w:type="dxa"/>
            <w:vAlign w:val="bottom"/>
            <w:gridSpan w:val="2"/>
          </w:tcPr>
          <w:p>
            <w:pPr>
              <w:jc w:val="right"/>
              <w:ind w:right="540"/>
              <w:spacing w:after="0"/>
              <w:rPr>
                <w:sz w:val="20"/>
                <w:szCs w:val="20"/>
                <w:color w:val="auto"/>
              </w:rPr>
            </w:pPr>
            <w:r>
              <w:rPr>
                <w:rFonts w:ascii="Arial" w:cs="Arial" w:eastAsia="Arial" w:hAnsi="Arial"/>
                <w:sz w:val="17"/>
                <w:szCs w:val="17"/>
                <w:color w:val="auto"/>
              </w:rPr>
              <w:t>45.26% - 54.82%</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65.90%</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1.55% -1.66%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3.76% - 4.49%</w:t>
            </w:r>
          </w:p>
        </w:tc>
      </w:tr>
      <w:tr>
        <w:trPr>
          <w:trHeight w:val="214"/>
        </w:trPr>
        <w:tc>
          <w:tcPr>
            <w:tcW w:w="43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1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420" w:type="dxa"/>
            <w:vAlign w:val="bottom"/>
            <w:gridSpan w:val="2"/>
          </w:tcPr>
          <w:p>
            <w:pPr>
              <w:ind w:left="1100"/>
              <w:spacing w:after="0"/>
              <w:rPr>
                <w:sz w:val="20"/>
                <w:szCs w:val="20"/>
                <w:color w:val="auto"/>
              </w:rPr>
            </w:pPr>
            <w:r>
              <w:rPr>
                <w:rFonts w:ascii="Arial" w:cs="Arial" w:eastAsia="Arial" w:hAnsi="Arial"/>
                <w:sz w:val="17"/>
                <w:szCs w:val="17"/>
                <w:color w:val="auto"/>
              </w:rPr>
              <w:t>—</w:t>
            </w:r>
          </w:p>
        </w:tc>
      </w:tr>
    </w:tbl>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November 2017 Retailer Warrants</w:t>
      </w:r>
    </w:p>
    <w:p>
      <w:pPr>
        <w:spacing w:after="0" w:line="108" w:lineRule="exact"/>
        <w:rPr>
          <w:sz w:val="20"/>
          <w:szCs w:val="20"/>
          <w:color w:val="auto"/>
        </w:rPr>
      </w:pPr>
    </w:p>
    <w:p>
      <w:pPr>
        <w:ind w:left="460" w:right="120"/>
        <w:spacing w:after="0" w:line="253" w:lineRule="auto"/>
        <w:rPr>
          <w:sz w:val="20"/>
          <w:szCs w:val="20"/>
          <w:color w:val="auto"/>
        </w:rPr>
      </w:pPr>
      <w:r>
        <w:rPr>
          <w:rFonts w:ascii="Arial" w:cs="Arial" w:eastAsia="Arial" w:hAnsi="Arial"/>
          <w:sz w:val="17"/>
          <w:szCs w:val="17"/>
          <w:color w:val="auto"/>
        </w:rPr>
        <w:t>In November 2017, the Company entered into a commercial agreement with a retailer, and in connection with the commercial agreement, the Company entered into a warrant agreement to issue warrants for the purchase of up to 9,289,410 shares of non-voting common stock with an exercise price of $18.52. The warrants vest subject to the achievement of three time- or performance-based milestones. The first milestone is a time-based milestone in which 5,573,650 shares vest after 36 months have elapsed subsequent to the execution date of the commercial agreement. The second and third milestones are performance-based milestones in which 1,857,880 shares each vest based on achievement of certain performance metrics by the Company. These warrants are exercisable,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800"/>
          </w:cols>
          <w:pgMar w:left="320" w:top="440" w:right="779" w:bottom="1440" w:gutter="0" w:footer="0" w:header="0"/>
        </w:sectPr>
      </w:pPr>
    </w:p>
    <w:bookmarkStart w:id="341" w:name="page342"/>
    <w:bookmarkEnd w:id="3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120"/>
        <w:spacing w:after="0" w:line="296" w:lineRule="auto"/>
        <w:rPr>
          <w:sz w:val="20"/>
          <w:szCs w:val="20"/>
          <w:color w:val="auto"/>
        </w:rPr>
      </w:pPr>
      <w:r>
        <w:rPr>
          <w:rFonts w:ascii="Arial" w:cs="Arial" w:eastAsia="Arial" w:hAnsi="Arial"/>
          <w:sz w:val="15"/>
          <w:szCs w:val="15"/>
          <w:color w:val="auto"/>
        </w:rPr>
        <w:t>solely with respect to the shares that have vested in connection with a particular milestone, in whole or in part, and in all cases only prior to the expiration of the warrant. These warrants were exercisable as of the earlier of a Deemed Liquidation Event (as defined in Note 11—Redeemable Convertible Preferred Stock) or the fifth-year anniversary of the date of the commercial agreement, prior to a modification of the warrants as described below. During the year ended December 31, 2020, the first and second milestones were achieved, and an aggregate of 7,431,530 shares vested. No shares vested during the years ended December 31, 2021 or 2022 or the six months ended June 30, 2022 (unaudited).</w:t>
      </w:r>
    </w:p>
    <w:p>
      <w:pPr>
        <w:spacing w:after="0" w:line="152" w:lineRule="exact"/>
        <w:rPr>
          <w:sz w:val="20"/>
          <w:szCs w:val="20"/>
          <w:color w:val="auto"/>
        </w:rPr>
      </w:pPr>
    </w:p>
    <w:p>
      <w:pPr>
        <w:ind w:left="460" w:right="160"/>
        <w:spacing w:after="0" w:line="256" w:lineRule="auto"/>
        <w:rPr>
          <w:sz w:val="20"/>
          <w:szCs w:val="20"/>
          <w:color w:val="auto"/>
        </w:rPr>
      </w:pPr>
      <w:r>
        <w:rPr>
          <w:rFonts w:ascii="Arial" w:cs="Arial" w:eastAsia="Arial" w:hAnsi="Arial"/>
          <w:sz w:val="17"/>
          <w:szCs w:val="17"/>
          <w:color w:val="auto"/>
        </w:rPr>
        <w:t>In October 2022, the Company modified these warrants with respect to the 7,431,530 shares that are vested to extend the expiration period through the earlier of a Deemed Liquidation Event and the sixth-year anniversary of the date of the commercial agreement. In exchange for the extension, the Company received cash consideration of $14 million. The modification resulted in a net reduction to revenue of $3 million recognized during the year ended December 31, 2022.</w:t>
      </w:r>
    </w:p>
    <w:p>
      <w:pPr>
        <w:spacing w:after="0" w:line="179"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During the years ended December 31, 2020 and 2021 and the six months ended June 30, 2022 and 2023 (unaudited), no warrants were exercised, cancelled, or expired. During the year ended December 31, 2022, 1,857,880 unvested warrants expired. As of December 31, 2021 and 2022 and June 30, 2023 (unaudited), 9,289,410, 7,431,530, and 7,431,530 warrants were outstanding, respectively, and 7,431,530 were vested and exercisable. The remaining outstanding warrants as of December 31, 2021 were not expected to vest. The weighted-average remaining contractual term as of December 31, 2021 and 2022 and June 30, 2023 (unaudited) of the warrants outstanding and vested was 0.88 years, 0.88 years, and 0.38 years, respectively. The aggregate intrinsic value as of December 31, 2021 and 2022 and June 30, 2023 (unaudited) of the warrants outstanding and vested was $651 million, $87 million, and $128 million, respectively.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July 2018 Retailer Warrants</w:t>
      </w:r>
    </w:p>
    <w:p>
      <w:pPr>
        <w:spacing w:after="0" w:line="108"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In July 2018, the Company entered into a warrant agreement with another retailer to issue warrants for the purchase of up to 14,863,040 shares of non-voting common stock with an exercise price of $18.52. The warrants vest subject to achievement of time-based milestones. Vesting commenced on January 1, 2018, the vesting start date, with 3,715,760 shares each vesting on the 12 and 24-month anniversaries of the vesting commencement date and four tranches of 1,857,880 shares each vesting every six months thereafter. The retailer can exercise any or all shares vested for a given milestone on or within 90 days following the date of the milestone being achieved. These warrants expire the earliest of 90 days subsequent to the 48-month anniversary of the warrant agreement, a Deemed Liquidation Event (as defined in Note 11—Redeemable Convertible Preferred Stock), or the date the warrant is no longer eligible to be exercised or vest with respect to any shares.</w:t>
      </w:r>
    </w:p>
    <w:p>
      <w:pPr>
        <w:spacing w:after="0" w:line="172" w:lineRule="exact"/>
        <w:rPr>
          <w:sz w:val="20"/>
          <w:szCs w:val="20"/>
          <w:color w:val="auto"/>
        </w:rPr>
      </w:pPr>
    </w:p>
    <w:p>
      <w:pPr>
        <w:ind w:left="460" w:right="20"/>
        <w:spacing w:after="0" w:line="269" w:lineRule="auto"/>
        <w:rPr>
          <w:sz w:val="20"/>
          <w:szCs w:val="20"/>
          <w:color w:val="auto"/>
        </w:rPr>
      </w:pPr>
      <w:r>
        <w:rPr>
          <w:rFonts w:ascii="Arial" w:cs="Arial" w:eastAsia="Arial" w:hAnsi="Arial"/>
          <w:sz w:val="16"/>
          <w:szCs w:val="16"/>
          <w:color w:val="auto"/>
        </w:rPr>
        <w:t>During the years ended December 31, 2020, 2021, and 2022, 5,573,640, 3,715,760, and 1,857,880 warrants vested, respectively, and during the six months ended June 30, 2022 (unaudited), 1,857,880 warrants vested. During the years ended December 31, 2020, 2021, and 2022, the retailer exercised warrants to purchase 1,857,880, 3,715,760, and 1,857,880 shares of non-voting common stock, respectively, at a price of $18.52 per share with total proceeds of $34 million, $68 million, and $34 million, respectively. During the six months ended June 30, 2022 (unaudited), the retailer exercised warrants to purchase 1,857,880 shares of non-voting common stock, at a price of $18.52 per share with total proceeds of $34 million. During the years ended December 31, 2020, 2021, and 2022, 3,715,760, zero, and zero fully vested warrants expired unexercised, respectively. As of December 31, 2021, 1,857,880 warrants were outstanding and unvested. The weighted-average remaining contractual term as of December 31, 2021 of the warrants outstanding was 0.25 years. The aggregate intrinsic value as of December 31, 2021 of the warrants outstanding was $163 million. There were no warrants outstanding as of December 31, 2022.</w:t>
      </w:r>
    </w:p>
    <w:p>
      <w:pPr>
        <w:spacing w:after="0" w:line="10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780"/>
          </w:cols>
          <w:pgMar w:left="320" w:top="440" w:right="799" w:bottom="1440" w:gutter="0" w:footer="0" w:header="0"/>
        </w:sectPr>
      </w:pPr>
    </w:p>
    <w:bookmarkStart w:id="342" w:name="page343"/>
    <w:bookmarkEnd w:id="3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July 2018 Retailer Subscription Agreement</w:t>
      </w:r>
    </w:p>
    <w:p>
      <w:pPr>
        <w:spacing w:after="0" w:line="108" w:lineRule="exact"/>
        <w:rPr>
          <w:sz w:val="20"/>
          <w:szCs w:val="20"/>
          <w:color w:val="auto"/>
        </w:rPr>
      </w:pPr>
    </w:p>
    <w:p>
      <w:pPr>
        <w:ind w:left="460" w:right="20"/>
        <w:spacing w:after="0" w:line="254" w:lineRule="auto"/>
        <w:rPr>
          <w:sz w:val="20"/>
          <w:szCs w:val="20"/>
          <w:color w:val="auto"/>
        </w:rPr>
      </w:pPr>
      <w:r>
        <w:rPr>
          <w:rFonts w:ascii="Arial" w:cs="Arial" w:eastAsia="Arial" w:hAnsi="Arial"/>
          <w:sz w:val="17"/>
          <w:szCs w:val="17"/>
          <w:color w:val="auto"/>
        </w:rPr>
        <w:t>In July 2018, in conjunction with the warrant agreement with the same retailer, the Company also entered into a subscription agreement that provided for the issuance of 3,715,760 shares of non-voting common stock for no cash consideration. The shares issuable pursuant to the subscription agreement vest upon four time-based milestones, subject to continued compliance with the commercial agreement. Vesting commenced on January 1, 2018, the vesting start date, with 1,393,410 shares vesting on the 12 and 24-month anniversary, and 464,470 shares vesting on the 36 and 48-month anniversary of the vesting start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years ended December 31, 2020, 2021, and 2022, 1,393,410, 464,470, and 464,470 shares vested and were issued, respectively. During the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six months ended June 30, 2022 (unaudited), 464,470 shares vested and were issued. None of the shares issuable pursuant to the subscription agreement</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were cancelled during the years ended December 31, 2020, 2021, or 2022 or the six months ended June 30, 2022 (unaudited). As of December 31, 2021,</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464,470 shares issuable pursuant to the subscription agreement were outstanding and unvested. The fair value per share as of December 31, 2021 was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$106.08. The weighted-average remaining contractual term of shares outstanding as of December 31, 2021 was 0.00 years. The aggregate intrinsic value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shares outstanding as of December 31, 2021 was $49 million. There were no outstanding shares as of December 31, 2022.</w:t>
      </w:r>
    </w:p>
    <w:p>
      <w:pPr>
        <w:spacing w:after="0" w:line="198"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color w:val="auto"/>
        </w:rPr>
        <w:t>During the year ended December 31, 2021, the Company issued non-voting common stock to certain retailers. Refer to Note 12 – Stockholders’ Equity (Deficit) for further discussion.</w:t>
      </w:r>
    </w:p>
    <w:p>
      <w:pPr>
        <w:spacing w:after="0" w:line="262" w:lineRule="exact"/>
        <w:rPr>
          <w:sz w:val="20"/>
          <w:szCs w:val="20"/>
          <w:color w:val="auto"/>
        </w:rPr>
      </w:pPr>
    </w:p>
    <w:p>
      <w:pPr>
        <w:ind w:left="800" w:hanging="343"/>
        <w:spacing w:after="0"/>
        <w:tabs>
          <w:tab w:leader="none" w:pos="80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tables summarize assets and liabilities that are measured at fair value on a recurring basis, by level, within the fair value hierarchy:</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6"/>
          </w:tcPr>
          <w:p>
            <w:pPr>
              <w:jc w:val="center"/>
              <w:ind w:right="1020"/>
              <w:spacing w:after="0"/>
              <w:rPr>
                <w:sz w:val="20"/>
                <w:szCs w:val="20"/>
                <w:color w:val="auto"/>
              </w:rPr>
            </w:pPr>
            <w:r>
              <w:rPr>
                <w:rFonts w:ascii="Arial" w:cs="Arial" w:eastAsia="Arial" w:hAnsi="Arial"/>
                <w:sz w:val="13"/>
                <w:szCs w:val="13"/>
                <w:b w:val="1"/>
                <w:bCs w:val="1"/>
                <w:color w:val="auto"/>
                <w:w w:val="92"/>
              </w:rPr>
              <w:t>As of December 31, 2021</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40"/>
              <w:spacing w:after="0" w:line="132" w:lineRule="exact"/>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rPr>
              <w:t>Level   2</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40"/>
              <w:spacing w:after="0" w:line="132" w:lineRule="exact"/>
              <w:rPr>
                <w:sz w:val="20"/>
                <w:szCs w:val="20"/>
                <w:color w:val="auto"/>
              </w:rPr>
            </w:pPr>
            <w:r>
              <w:rPr>
                <w:rFonts w:ascii="Arial" w:cs="Arial" w:eastAsia="Arial" w:hAnsi="Arial"/>
                <w:sz w:val="13"/>
                <w:szCs w:val="13"/>
                <w:b w:val="1"/>
                <w:bCs w:val="1"/>
                <w:color w:val="auto"/>
              </w:rPr>
              <w:t>Level 3</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left="419"/>
              <w:spacing w:after="0" w:line="132" w:lineRule="exact"/>
              <w:rPr>
                <w:sz w:val="20"/>
                <w:szCs w:val="20"/>
                <w:color w:val="auto"/>
              </w:rPr>
            </w:pPr>
            <w:r>
              <w:rPr>
                <w:rFonts w:ascii="Arial" w:cs="Arial" w:eastAsia="Arial" w:hAnsi="Arial"/>
                <w:sz w:val="13"/>
                <w:szCs w:val="13"/>
                <w:b w:val="1"/>
                <w:bCs w:val="1"/>
                <w:color w:val="auto"/>
                <w:w w:val="93"/>
              </w:rPr>
              <w:t>(in millions)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680"/>
              <w:spacing w:after="0"/>
              <w:rPr>
                <w:sz w:val="20"/>
                <w:szCs w:val="20"/>
                <w:color w:val="auto"/>
              </w:rPr>
            </w:pPr>
            <w:r>
              <w:rPr>
                <w:rFonts w:ascii="Arial" w:cs="Arial" w:eastAsia="Arial" w:hAnsi="Arial"/>
                <w:sz w:val="17"/>
                <w:szCs w:val="17"/>
                <w:color w:val="auto"/>
              </w:rPr>
              <w:t>Total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Short-term marketable securities</w:t>
            </w: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7"/>
                <w:szCs w:val="17"/>
                <w:color w:val="auto"/>
              </w:rPr>
              <w:t>223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190"/>
        </w:trPr>
        <w:tc>
          <w:tcPr>
            <w:tcW w:w="400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w w:val="93"/>
              </w:rPr>
              <w:t>—</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short-term marketable securities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348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8"/>
        </w:trPr>
        <w:tc>
          <w:tcPr>
            <w:tcW w:w="4000" w:type="dxa"/>
            <w:vAlign w:val="bottom"/>
          </w:tcPr>
          <w:p>
            <w:pPr>
              <w:spacing w:after="0"/>
              <w:rPr>
                <w:sz w:val="20"/>
                <w:szCs w:val="20"/>
                <w:color w:val="auto"/>
              </w:rPr>
            </w:pPr>
            <w:r>
              <w:rPr>
                <w:rFonts w:ascii="Arial" w:cs="Arial" w:eastAsia="Arial" w:hAnsi="Arial"/>
                <w:sz w:val="17"/>
                <w:szCs w:val="17"/>
                <w:b w:val="1"/>
                <w:bCs w:val="1"/>
                <w:color w:val="auto"/>
              </w:rPr>
              <w:t>Long-term marketable securities</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3"/>
        </w:trPr>
        <w:tc>
          <w:tcPr>
            <w:tcW w:w="400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marketable securities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000"/>
              <w:spacing w:after="0"/>
              <w:rPr>
                <w:sz w:val="20"/>
                <w:szCs w:val="20"/>
                <w:color w:val="auto"/>
              </w:rPr>
            </w:pPr>
            <w:r>
              <w:rPr>
                <w:rFonts w:ascii="Arial" w:cs="Arial" w:eastAsia="Arial" w:hAnsi="Arial"/>
                <w:sz w:val="17"/>
                <w:szCs w:val="17"/>
                <w:color w:val="auto"/>
              </w:rPr>
              <w:t>Total</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20"/>
              <w:spacing w:after="0"/>
              <w:rPr>
                <w:sz w:val="20"/>
                <w:szCs w:val="20"/>
                <w:color w:val="auto"/>
              </w:rPr>
            </w:pPr>
            <w:r>
              <w:rPr>
                <w:rFonts w:ascii="Arial" w:cs="Arial" w:eastAsia="Arial" w:hAnsi="Arial"/>
                <w:sz w:val="17"/>
                <w:szCs w:val="17"/>
                <w:color w:val="auto"/>
              </w:rPr>
              <w:t>502</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auto"/>
              </w:rPr>
              <w:t>F-31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0" w:right="819" w:bottom="1440" w:gutter="0" w:footer="0" w:header="0"/>
        </w:sectPr>
      </w:pPr>
    </w:p>
    <w:bookmarkStart w:id="343" w:name="page344"/>
    <w:bookmarkEnd w:id="3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ind w:right="117"/>
              <w:spacing w:after="0"/>
              <w:rPr>
                <w:sz w:val="20"/>
                <w:szCs w:val="20"/>
                <w:color w:val="auto"/>
              </w:rPr>
            </w:pPr>
            <w:r>
              <w:rPr>
                <w:rFonts w:ascii="Arial" w:cs="Arial" w:eastAsia="Arial" w:hAnsi="Arial"/>
                <w:sz w:val="13"/>
                <w:szCs w:val="13"/>
                <w:b w:val="1"/>
                <w:bCs w:val="1"/>
                <w:color w:val="auto"/>
                <w:w w:val="92"/>
              </w:rPr>
              <w:t>As of December 31, 2022</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80"/>
              <w:spacing w:after="0" w:line="132" w:lineRule="exact"/>
              <w:rPr>
                <w:sz w:val="20"/>
                <w:szCs w:val="20"/>
                <w:color w:val="auto"/>
              </w:rPr>
            </w:pPr>
            <w:r>
              <w:rPr>
                <w:rFonts w:ascii="Arial" w:cs="Arial" w:eastAsia="Arial" w:hAnsi="Arial"/>
                <w:sz w:val="13"/>
                <w:szCs w:val="13"/>
                <w:b w:val="1"/>
                <w:bCs w:val="1"/>
                <w:color w:val="auto"/>
                <w:w w:val="99"/>
              </w:rPr>
              <w:t>Level 1</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800"/>
              <w:spacing w:after="0" w:line="132" w:lineRule="exact"/>
              <w:rPr>
                <w:sz w:val="20"/>
                <w:szCs w:val="20"/>
                <w:color w:val="auto"/>
              </w:rPr>
            </w:pPr>
            <w:r>
              <w:rPr>
                <w:rFonts w:ascii="Arial" w:cs="Arial" w:eastAsia="Arial" w:hAnsi="Arial"/>
                <w:sz w:val="13"/>
                <w:szCs w:val="13"/>
                <w:b w:val="1"/>
                <w:bCs w:val="1"/>
                <w:color w:val="auto"/>
                <w:w w:val="99"/>
              </w:rPr>
              <w:t>Level 2</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20"/>
              <w:spacing w:after="0" w:line="132" w:lineRule="exact"/>
              <w:rPr>
                <w:sz w:val="20"/>
                <w:szCs w:val="20"/>
                <w:color w:val="auto"/>
              </w:rPr>
            </w:pPr>
            <w:r>
              <w:rPr>
                <w:rFonts w:ascii="Arial" w:cs="Arial" w:eastAsia="Arial" w:hAnsi="Arial"/>
                <w:sz w:val="13"/>
                <w:szCs w:val="13"/>
                <w:b w:val="1"/>
                <w:bCs w:val="1"/>
                <w:color w:val="auto"/>
              </w:rPr>
              <w:t>Level 3</w:t>
            </w: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left="439"/>
              <w:spacing w:after="0" w:line="132" w:lineRule="exact"/>
              <w:rPr>
                <w:sz w:val="20"/>
                <w:szCs w:val="20"/>
                <w:color w:val="auto"/>
              </w:rPr>
            </w:pPr>
            <w:r>
              <w:rPr>
                <w:rFonts w:ascii="Arial" w:cs="Arial" w:eastAsia="Arial" w:hAnsi="Arial"/>
                <w:sz w:val="13"/>
                <w:szCs w:val="13"/>
                <w:b w:val="1"/>
                <w:bCs w:val="1"/>
                <w:color w:val="auto"/>
                <w:w w:val="95"/>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480</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680"/>
              <w:spacing w:after="0"/>
              <w:rPr>
                <w:sz w:val="20"/>
                <w:szCs w:val="20"/>
                <w:color w:val="auto"/>
              </w:rPr>
            </w:pPr>
            <w:r>
              <w:rPr>
                <w:rFonts w:ascii="Arial" w:cs="Arial" w:eastAsia="Arial" w:hAnsi="Arial"/>
                <w:sz w:val="17"/>
                <w:szCs w:val="17"/>
                <w:color w:val="auto"/>
              </w:rPr>
              <w:t>Total cash equivalents</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Short-term marketable securities</w:t>
            </w: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tcBorders>
              <w:left w:val="single" w:sz="8" w:color="CCEEFF"/>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tcBorders>
              <w:left w:val="single" w:sz="8" w:color="CCEEFF"/>
            </w:tcBorders>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140</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short-term marketable securities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209</w:t>
            </w: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8"/>
        </w:trPr>
        <w:tc>
          <w:tcPr>
            <w:tcW w:w="4660" w:type="dxa"/>
            <w:vAlign w:val="bottom"/>
          </w:tcPr>
          <w:p>
            <w:pPr>
              <w:spacing w:after="0"/>
              <w:rPr>
                <w:sz w:val="20"/>
                <w:szCs w:val="20"/>
                <w:color w:val="auto"/>
              </w:rPr>
            </w:pPr>
            <w:r>
              <w:rPr>
                <w:rFonts w:ascii="Arial" w:cs="Arial" w:eastAsia="Arial" w:hAnsi="Arial"/>
                <w:sz w:val="17"/>
                <w:szCs w:val="17"/>
                <w:b w:val="1"/>
                <w:bCs w:val="1"/>
                <w:color w:val="auto"/>
              </w:rPr>
              <w:t>Long-term marketable securities</w:t>
            </w: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6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tcBorders>
              <w:left w:val="single" w:sz="8" w:color="CCEEFF"/>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tcBorders>
              <w:left w:val="single" w:sz="8" w:color="CCEEFF"/>
            </w:tcBorders>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8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marketable securities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1000"/>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480</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261</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June 30, 2023</w:t>
            </w: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500"/>
              <w:spacing w:after="0" w:line="132" w:lineRule="exact"/>
              <w:rPr>
                <w:sz w:val="20"/>
                <w:szCs w:val="20"/>
                <w:color w:val="auto"/>
              </w:rPr>
            </w:pPr>
            <w:r>
              <w:rPr>
                <w:rFonts w:ascii="Arial" w:cs="Arial" w:eastAsia="Arial" w:hAnsi="Arial"/>
                <w:sz w:val="13"/>
                <w:szCs w:val="13"/>
                <w:b w:val="1"/>
                <w:bCs w:val="1"/>
                <w:color w:val="auto"/>
                <w:w w:val="95"/>
              </w:rPr>
              <w:t>Level 1</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820"/>
              <w:spacing w:after="0" w:line="132" w:lineRule="exact"/>
              <w:rPr>
                <w:sz w:val="20"/>
                <w:szCs w:val="20"/>
                <w:color w:val="auto"/>
              </w:rPr>
            </w:pPr>
            <w:r>
              <w:rPr>
                <w:rFonts w:ascii="Arial" w:cs="Arial" w:eastAsia="Arial" w:hAnsi="Arial"/>
                <w:sz w:val="13"/>
                <w:szCs w:val="13"/>
                <w:b w:val="1"/>
                <w:bCs w:val="1"/>
                <w:color w:val="auto"/>
                <w:w w:val="95"/>
              </w:rPr>
              <w:t>Level 2</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line="132" w:lineRule="exact"/>
              <w:rPr>
                <w:sz w:val="20"/>
                <w:szCs w:val="20"/>
                <w:color w:val="auto"/>
              </w:rPr>
            </w:pPr>
            <w:r>
              <w:rPr>
                <w:rFonts w:ascii="Arial" w:cs="Arial" w:eastAsia="Arial" w:hAnsi="Arial"/>
                <w:sz w:val="13"/>
                <w:szCs w:val="13"/>
                <w:b w:val="1"/>
                <w:bCs w:val="1"/>
                <w:color w:val="auto"/>
              </w:rPr>
              <w:t>Level 3</w:t>
            </w: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tcPr>
          <w:p>
            <w:pPr>
              <w:jc w:val="center"/>
              <w:ind w:right="157"/>
              <w:spacing w:after="0" w:line="132" w:lineRule="exact"/>
              <w:rPr>
                <w:sz w:val="20"/>
                <w:szCs w:val="20"/>
                <w:color w:val="auto"/>
              </w:rPr>
            </w:pPr>
            <w:r>
              <w:rPr>
                <w:rFonts w:ascii="Arial" w:cs="Arial" w:eastAsia="Arial" w:hAnsi="Arial"/>
                <w:sz w:val="13"/>
                <w:szCs w:val="13"/>
                <w:b w:val="1"/>
                <w:bCs w:val="1"/>
                <w:color w:val="auto"/>
                <w:w w:val="94"/>
              </w:rPr>
              <w:t>(unaudited, in millions)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799</w:t>
            </w:r>
          </w:p>
        </w:tc>
        <w:tc>
          <w:tcPr>
            <w:tcW w:w="3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190"/>
        </w:trPr>
        <w:tc>
          <w:tcPr>
            <w:tcW w:w="4660" w:type="dxa"/>
            <w:vAlign w:val="bottom"/>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500"/>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226</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60" w:type="dxa"/>
            <w:vAlign w:val="bottom"/>
          </w:tcPr>
          <w:p>
            <w:pPr>
              <w:ind w:left="680"/>
              <w:spacing w:after="0"/>
              <w:rPr>
                <w:sz w:val="20"/>
                <w:szCs w:val="20"/>
                <w:color w:val="auto"/>
              </w:rPr>
            </w:pPr>
            <w:r>
              <w:rPr>
                <w:rFonts w:ascii="Arial" w:cs="Arial" w:eastAsia="Arial" w:hAnsi="Arial"/>
                <w:sz w:val="17"/>
                <w:szCs w:val="17"/>
                <w:color w:val="auto"/>
              </w:rPr>
              <w:t>Total cash equivalents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346</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Short-term marketable securities</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500"/>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123</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debt securities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680"/>
              <w:spacing w:after="0"/>
              <w:rPr>
                <w:sz w:val="20"/>
                <w:szCs w:val="20"/>
                <w:color w:val="auto"/>
              </w:rPr>
            </w:pPr>
            <w:r>
              <w:rPr>
                <w:rFonts w:ascii="Arial" w:cs="Arial" w:eastAsia="Arial" w:hAnsi="Arial"/>
                <w:sz w:val="17"/>
                <w:szCs w:val="17"/>
                <w:color w:val="auto"/>
              </w:rPr>
              <w:t>Total short-term marketable securities</w:t>
            </w: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Long-term marketable securities</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340"/>
              <w:spacing w:after="0" w:line="190" w:lineRule="exact"/>
              <w:rPr>
                <w:sz w:val="20"/>
                <w:szCs w:val="20"/>
                <w:color w:val="auto"/>
              </w:rPr>
            </w:pPr>
            <w:r>
              <w:rPr>
                <w:rFonts w:ascii="Arial" w:cs="Arial" w:eastAsia="Arial" w:hAnsi="Arial"/>
                <w:sz w:val="17"/>
                <w:szCs w:val="17"/>
                <w:color w:val="auto"/>
              </w:rPr>
              <w:t>U.S. government and government agency debt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500"/>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marketable securities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8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7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1000"/>
              <w:spacing w:after="0"/>
              <w:rPr>
                <w:sz w:val="20"/>
                <w:szCs w:val="20"/>
                <w:color w:val="auto"/>
              </w:rPr>
            </w:pPr>
            <w:r>
              <w:rPr>
                <w:rFonts w:ascii="Arial" w:cs="Arial" w:eastAsia="Arial" w:hAnsi="Arial"/>
                <w:sz w:val="17"/>
                <w:szCs w:val="17"/>
                <w:color w:val="auto"/>
              </w:rPr>
              <w:t>Total</w:t>
            </w:r>
          </w:p>
        </w:tc>
        <w:tc>
          <w:tcPr>
            <w:tcW w:w="1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vMerge w:val="continue"/>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799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400"/>
              <w:spacing w:after="0"/>
              <w:rPr>
                <w:sz w:val="20"/>
                <w:szCs w:val="20"/>
                <w:color w:val="auto"/>
              </w:rPr>
            </w:pPr>
            <w:r>
              <w:rPr>
                <w:rFonts w:ascii="Arial" w:cs="Arial" w:eastAsia="Arial" w:hAnsi="Arial"/>
                <w:sz w:val="17"/>
                <w:szCs w:val="17"/>
                <w:color w:val="auto"/>
                <w:w w:val="70"/>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 Company’s investments in commercial paper, U.S. government and government agency debt securities, and corporate debt securities are classified as Level 2 within the fair value hierarchy because they are valued using</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640"/>
          </w:cols>
          <w:pgMar w:left="320" w:top="440" w:right="939" w:bottom="1440" w:gutter="0" w:footer="0" w:header="0"/>
        </w:sectPr>
      </w:pPr>
    </w:p>
    <w:bookmarkStart w:id="344" w:name="page345"/>
    <w:bookmarkEnd w:id="3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w:t>
      </w:r>
    </w:p>
    <w:p>
      <w:pPr>
        <w:spacing w:after="0" w:line="17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There were no transfers of financial instruments between Level 1, Level 2, and Level 3 during the years ended December 31, 2020, 2021, or 2022 or the six months ended June 30, 2022 and 2023 (unaudited).</w:t>
      </w:r>
    </w:p>
    <w:p>
      <w:pPr>
        <w:spacing w:after="0" w:line="262" w:lineRule="exact"/>
        <w:rPr>
          <w:sz w:val="20"/>
          <w:szCs w:val="20"/>
          <w:color w:val="auto"/>
        </w:rPr>
      </w:pPr>
    </w:p>
    <w:p>
      <w:pPr>
        <w:ind w:left="800" w:hanging="343"/>
        <w:spacing w:after="0"/>
        <w:tabs>
          <w:tab w:leader="none" w:pos="80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112"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color w:val="auto"/>
        </w:rPr>
        <w:t>The following tables summarize the amortized cost, gross unrealized gains and losses, and aggregate fair value of the Company’s investments in debt securities classified as available-for-sale: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3"/>
                <w:szCs w:val="13"/>
                <w:b w:val="1"/>
                <w:bCs w:val="1"/>
                <w:color w:val="auto"/>
                <w:w w:val="92"/>
              </w:rPr>
              <w:t>As of December 31, 2021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9"/>
                <w:szCs w:val="9"/>
                <w:color w:val="auto"/>
              </w:rPr>
            </w:pPr>
          </w:p>
        </w:tc>
        <w:tc>
          <w:tcPr>
            <w:tcW w:w="520" w:type="dxa"/>
            <w:vAlign w:val="bottom"/>
          </w:tcPr>
          <w:p>
            <w:pPr>
              <w:ind w:left="40"/>
              <w:spacing w:after="0" w:line="112" w:lineRule="exact"/>
              <w:rPr>
                <w:sz w:val="20"/>
                <w:szCs w:val="20"/>
                <w:color w:val="auto"/>
              </w:rPr>
            </w:pPr>
            <w:r>
              <w:rPr>
                <w:rFonts w:ascii="Arial" w:cs="Arial" w:eastAsia="Arial" w:hAnsi="Arial"/>
                <w:sz w:val="12"/>
                <w:szCs w:val="12"/>
                <w:b w:val="1"/>
                <w:bCs w:val="1"/>
                <w:color w:val="auto"/>
              </w:rPr>
              <w:t>Gross</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820"/>
              <w:spacing w:after="0" w:line="112" w:lineRule="exact"/>
              <w:rPr>
                <w:sz w:val="20"/>
                <w:szCs w:val="20"/>
                <w:color w:val="auto"/>
              </w:rPr>
            </w:pPr>
            <w:r>
              <w:rPr>
                <w:rFonts w:ascii="Arial" w:cs="Arial" w:eastAsia="Arial" w:hAnsi="Arial"/>
                <w:sz w:val="12"/>
                <w:szCs w:val="12"/>
                <w:b w:val="1"/>
                <w:bCs w:val="1"/>
                <w:color w:val="auto"/>
                <w:w w:val="97"/>
              </w:rPr>
              <w:t>Gross</w:t>
            </w:r>
          </w:p>
        </w:tc>
        <w:tc>
          <w:tcPr>
            <w:tcW w:w="60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w w:val="97"/>
              </w:rPr>
              <w:t>Aggregate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8"/>
              </w:rPr>
              <w:t>Unrealized</w:t>
            </w:r>
          </w:p>
        </w:tc>
        <w:tc>
          <w:tcPr>
            <w:tcW w:w="700" w:type="dxa"/>
            <w:vAlign w:val="bottom"/>
          </w:tcPr>
          <w:p>
            <w:pPr>
              <w:spacing w:after="0"/>
              <w:rPr>
                <w:sz w:val="12"/>
                <w:szCs w:val="12"/>
                <w:color w:val="auto"/>
              </w:rPr>
            </w:pPr>
          </w:p>
        </w:tc>
        <w:tc>
          <w:tcPr>
            <w:tcW w:w="138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Gains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3"/>
                <w:szCs w:val="13"/>
                <w:b w:val="1"/>
                <w:bCs w:val="1"/>
                <w:color w:val="auto"/>
                <w:w w:val="84"/>
              </w:rPr>
              <w:t>Losses</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2"/>
        </w:trPr>
        <w:tc>
          <w:tcPr>
            <w:tcW w:w="4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5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20" w:type="dxa"/>
            <w:vAlign w:val="bottom"/>
          </w:tcPr>
          <w:p>
            <w:pPr>
              <w:ind w:left="360"/>
              <w:spacing w:after="0"/>
              <w:rPr>
                <w:sz w:val="20"/>
                <w:szCs w:val="20"/>
                <w:color w:val="auto"/>
              </w:rPr>
            </w:pPr>
            <w:r>
              <w:rPr>
                <w:rFonts w:ascii="Arial" w:cs="Arial" w:eastAsia="Arial" w:hAnsi="Arial"/>
                <w:sz w:val="17"/>
                <w:szCs w:val="17"/>
                <w:color w:val="auto"/>
                <w:w w:val="70"/>
              </w:rPr>
              <w:t>—</w:t>
            </w:r>
          </w:p>
        </w:tc>
        <w:tc>
          <w:tcPr>
            <w:tcW w:w="800" w:type="dxa"/>
            <w:vAlign w:val="bottom"/>
            <w:gridSpan w:val="2"/>
          </w:tcPr>
          <w:p>
            <w:pPr>
              <w:ind w:left="70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680"/>
              <w:spacing w:after="0"/>
              <w:rPr>
                <w:sz w:val="20"/>
                <w:szCs w:val="20"/>
                <w:color w:val="auto"/>
              </w:rPr>
            </w:pPr>
            <w:r>
              <w:rPr>
                <w:rFonts w:ascii="Arial" w:cs="Arial" w:eastAsia="Arial" w:hAnsi="Arial"/>
                <w:sz w:val="17"/>
                <w:szCs w:val="17"/>
                <w:color w:val="auto"/>
              </w:rPr>
              <w:t>Total cash equivalents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Short-term marketable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short-term marketable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8"/>
        </w:trPr>
        <w:tc>
          <w:tcPr>
            <w:tcW w:w="4360" w:type="dxa"/>
            <w:vAlign w:val="bottom"/>
          </w:tcPr>
          <w:p>
            <w:pPr>
              <w:spacing w:after="0"/>
              <w:rPr>
                <w:sz w:val="20"/>
                <w:szCs w:val="20"/>
                <w:color w:val="auto"/>
              </w:rPr>
            </w:pPr>
            <w:r>
              <w:rPr>
                <w:rFonts w:ascii="Arial" w:cs="Arial" w:eastAsia="Arial" w:hAnsi="Arial"/>
                <w:sz w:val="17"/>
                <w:szCs w:val="17"/>
                <w:b w:val="1"/>
                <w:bCs w:val="1"/>
                <w:color w:val="auto"/>
              </w:rPr>
              <w:t>Long-term marketable securities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marketable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70"/>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000"/>
              <w:spacing w:after="0"/>
              <w:rPr>
                <w:sz w:val="20"/>
                <w:szCs w:val="20"/>
                <w:color w:val="auto"/>
              </w:rPr>
            </w:pPr>
            <w:r>
              <w:rPr>
                <w:rFonts w:ascii="Arial" w:cs="Arial" w:eastAsia="Arial" w:hAnsi="Arial"/>
                <w:sz w:val="17"/>
                <w:szCs w:val="17"/>
                <w:color w:val="auto"/>
              </w:rPr>
              <w:t>Total</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20" w:type="dxa"/>
            <w:vAlign w:val="bottom"/>
          </w:tcPr>
          <w:p>
            <w:pPr>
              <w:ind w:left="360"/>
              <w:spacing w:after="0"/>
              <w:rPr>
                <w:sz w:val="20"/>
                <w:szCs w:val="20"/>
                <w:color w:val="auto"/>
              </w:rPr>
            </w:pPr>
            <w:r>
              <w:rPr>
                <w:rFonts w:ascii="Arial" w:cs="Arial" w:eastAsia="Arial" w:hAnsi="Arial"/>
                <w:sz w:val="17"/>
                <w:szCs w:val="17"/>
                <w:color w:val="auto"/>
                <w:w w:val="70"/>
              </w:rPr>
              <w:t>—</w:t>
            </w:r>
          </w:p>
        </w:tc>
        <w:tc>
          <w:tcPr>
            <w:tcW w:w="800" w:type="dxa"/>
            <w:vAlign w:val="bottom"/>
            <w:gridSpan w:val="2"/>
          </w:tcPr>
          <w:p>
            <w:pPr>
              <w:ind w:left="70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6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3"/>
                <w:szCs w:val="13"/>
                <w:b w:val="1"/>
                <w:bCs w:val="1"/>
                <w:color w:val="auto"/>
                <w:w w:val="92"/>
              </w:rPr>
              <w:t>As of December 31, 2022</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9"/>
                <w:szCs w:val="9"/>
                <w:color w:val="auto"/>
              </w:rPr>
            </w:pPr>
          </w:p>
        </w:tc>
        <w:tc>
          <w:tcPr>
            <w:tcW w:w="520" w:type="dxa"/>
            <w:vAlign w:val="bottom"/>
          </w:tcPr>
          <w:p>
            <w:pPr>
              <w:ind w:left="40"/>
              <w:spacing w:after="0" w:line="112" w:lineRule="exact"/>
              <w:rPr>
                <w:sz w:val="20"/>
                <w:szCs w:val="20"/>
                <w:color w:val="auto"/>
              </w:rPr>
            </w:pPr>
            <w:r>
              <w:rPr>
                <w:rFonts w:ascii="Arial" w:cs="Arial" w:eastAsia="Arial" w:hAnsi="Arial"/>
                <w:sz w:val="12"/>
                <w:szCs w:val="12"/>
                <w:b w:val="1"/>
                <w:bCs w:val="1"/>
                <w:color w:val="auto"/>
              </w:rPr>
              <w:t>Gross</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860"/>
              <w:spacing w:after="0" w:line="112" w:lineRule="exact"/>
              <w:rPr>
                <w:sz w:val="20"/>
                <w:szCs w:val="20"/>
                <w:color w:val="auto"/>
              </w:rPr>
            </w:pPr>
            <w:r>
              <w:rPr>
                <w:rFonts w:ascii="Arial" w:cs="Arial" w:eastAsia="Arial" w:hAnsi="Arial"/>
                <w:sz w:val="12"/>
                <w:szCs w:val="12"/>
                <w:b w:val="1"/>
                <w:bCs w:val="1"/>
                <w:color w:val="auto"/>
                <w:w w:val="97"/>
              </w:rPr>
              <w:t>Gross</w:t>
            </w:r>
          </w:p>
        </w:tc>
        <w:tc>
          <w:tcPr>
            <w:tcW w:w="6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8"/>
              </w:rPr>
              <w:t>Unrealized</w:t>
            </w:r>
          </w:p>
        </w:tc>
        <w:tc>
          <w:tcPr>
            <w:tcW w:w="700" w:type="dxa"/>
            <w:vAlign w:val="bottom"/>
          </w:tcPr>
          <w:p>
            <w:pPr>
              <w:spacing w:after="0"/>
              <w:rPr>
                <w:sz w:val="12"/>
                <w:szCs w:val="12"/>
                <w:color w:val="auto"/>
              </w:rPr>
            </w:pPr>
          </w:p>
        </w:tc>
        <w:tc>
          <w:tcPr>
            <w:tcW w:w="138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Unrealized</w:t>
            </w: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w w:val="96"/>
              </w:rPr>
              <w:t>Cost</w:t>
            </w:r>
          </w:p>
        </w:tc>
        <w:tc>
          <w:tcPr>
            <w:tcW w:w="1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Gains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3"/>
                <w:szCs w:val="13"/>
                <w:b w:val="1"/>
                <w:bCs w:val="1"/>
                <w:color w:val="auto"/>
                <w:w w:val="84"/>
              </w:rPr>
              <w:t>Losses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2"/>
        </w:trPr>
        <w:tc>
          <w:tcPr>
            <w:tcW w:w="4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5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480</w:t>
            </w:r>
          </w:p>
        </w:tc>
        <w:tc>
          <w:tcPr>
            <w:tcW w:w="7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2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800" w:type="dxa"/>
            <w:vAlign w:val="bottom"/>
            <w:gridSpan w:val="2"/>
          </w:tcPr>
          <w:p>
            <w:pPr>
              <w:ind w:left="70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680"/>
              <w:spacing w:after="0"/>
              <w:rPr>
                <w:sz w:val="20"/>
                <w:szCs w:val="20"/>
                <w:color w:val="auto"/>
              </w:rPr>
            </w:pPr>
            <w:r>
              <w:rPr>
                <w:rFonts w:ascii="Arial" w:cs="Arial" w:eastAsia="Arial" w:hAnsi="Arial"/>
                <w:sz w:val="17"/>
                <w:szCs w:val="17"/>
                <w:color w:val="auto"/>
              </w:rPr>
              <w:t>Total cash equivalents</w:t>
            </w: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504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Short-term marketable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Commercial paper</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7"/>
                <w:szCs w:val="17"/>
                <w:color w:val="auto"/>
                <w:w w:val="82"/>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short-term marketable securities</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2"/>
              </w:rPr>
              <w:t>—</w:t>
            </w:r>
          </w:p>
        </w:tc>
        <w:tc>
          <w:tcPr>
            <w:tcW w:w="7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60" w:type="dxa"/>
            <w:vAlign w:val="bottom"/>
          </w:tcPr>
          <w:p>
            <w:pPr>
              <w:spacing w:after="0"/>
              <w:rPr>
                <w:sz w:val="24"/>
                <w:szCs w:val="24"/>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w w:val="97"/>
              </w:rPr>
              <w:t>F-33</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40" w:right="839" w:bottom="1440" w:gutter="0" w:footer="0" w:header="0"/>
        </w:sectPr>
      </w:pPr>
    </w:p>
    <w:bookmarkStart w:id="345" w:name="page346"/>
    <w:bookmarkEnd w:id="3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As of December 31, 2022</w:t>
            </w: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Amortized</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ind w:left="40"/>
              <w:spacing w:after="0" w:line="112" w:lineRule="exact"/>
              <w:rPr>
                <w:sz w:val="20"/>
                <w:szCs w:val="20"/>
                <w:color w:val="auto"/>
              </w:rPr>
            </w:pPr>
            <w:r>
              <w:rPr>
                <w:rFonts w:ascii="Arial" w:cs="Arial" w:eastAsia="Arial" w:hAnsi="Arial"/>
                <w:sz w:val="12"/>
                <w:szCs w:val="12"/>
                <w:b w:val="1"/>
                <w:bCs w:val="1"/>
                <w:color w:val="auto"/>
              </w:rPr>
              <w:t>Gross</w:t>
            </w:r>
          </w:p>
        </w:tc>
        <w:tc>
          <w:tcPr>
            <w:tcW w:w="120" w:type="dxa"/>
            <w:vAlign w:val="bottom"/>
          </w:tcPr>
          <w:p>
            <w:pPr>
              <w:spacing w:after="0"/>
              <w:rPr>
                <w:sz w:val="9"/>
                <w:szCs w:val="9"/>
                <w:color w:val="auto"/>
              </w:rPr>
            </w:pPr>
          </w:p>
        </w:tc>
        <w:tc>
          <w:tcPr>
            <w:tcW w:w="1080" w:type="dxa"/>
            <w:vAlign w:val="bottom"/>
            <w:gridSpan w:val="2"/>
          </w:tcPr>
          <w:p>
            <w:pPr>
              <w:ind w:left="40"/>
              <w:spacing w:after="0" w:line="112" w:lineRule="exact"/>
              <w:rPr>
                <w:sz w:val="20"/>
                <w:szCs w:val="20"/>
                <w:color w:val="auto"/>
              </w:rPr>
            </w:pPr>
            <w:r>
              <w:rPr>
                <w:rFonts w:ascii="Arial" w:cs="Arial" w:eastAsia="Arial" w:hAnsi="Arial"/>
                <w:sz w:val="12"/>
                <w:szCs w:val="12"/>
                <w:b w:val="1"/>
                <w:bCs w:val="1"/>
                <w:color w:val="auto"/>
              </w:rPr>
              <w:t>Gross</w:t>
            </w:r>
          </w:p>
        </w:tc>
        <w:tc>
          <w:tcPr>
            <w:tcW w:w="70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Unrealized</w:t>
            </w:r>
          </w:p>
        </w:tc>
        <w:tc>
          <w:tcPr>
            <w:tcW w:w="12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Unrealized</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Cost</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2"/>
        </w:trPr>
        <w:tc>
          <w:tcPr>
            <w:tcW w:w="4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gridSpan w:val="5"/>
          </w:tcPr>
          <w:p>
            <w:pPr>
              <w:ind w:left="480"/>
              <w:spacing w:after="0" w:line="132" w:lineRule="exact"/>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jc w:val="center"/>
              <w:ind w:right="1916"/>
              <w:spacing w:after="0"/>
              <w:rPr>
                <w:sz w:val="20"/>
                <w:szCs w:val="20"/>
                <w:color w:val="auto"/>
              </w:rPr>
            </w:pPr>
            <w:r>
              <w:rPr>
                <w:rFonts w:ascii="Arial" w:cs="Arial" w:eastAsia="Arial" w:hAnsi="Arial"/>
                <w:sz w:val="17"/>
                <w:szCs w:val="17"/>
                <w:b w:val="1"/>
                <w:bCs w:val="1"/>
                <w:color w:val="auto"/>
                <w:w w:val="89"/>
              </w:rPr>
              <w:t>Long-term marketable securities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 debt securities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80"/>
              <w:spacing w:after="0"/>
              <w:rPr>
                <w:sz w:val="20"/>
                <w:szCs w:val="20"/>
                <w:color w:val="auto"/>
              </w:rPr>
            </w:pPr>
            <w:r>
              <w:rPr>
                <w:rFonts w:ascii="Arial" w:cs="Arial" w:eastAsia="Arial" w:hAnsi="Arial"/>
                <w:sz w:val="17"/>
                <w:szCs w:val="17"/>
                <w:color w:val="auto"/>
              </w:rPr>
              <w:t>Total long-term marketable securities</w:t>
            </w: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jc w:val="center"/>
              <w:ind w:right="1916"/>
              <w:spacing w:after="0"/>
              <w:rPr>
                <w:sz w:val="20"/>
                <w:szCs w:val="20"/>
                <w:color w:val="auto"/>
              </w:rPr>
            </w:pPr>
            <w:r>
              <w:rPr>
                <w:rFonts w:ascii="Arial" w:cs="Arial" w:eastAsia="Arial" w:hAnsi="Arial"/>
                <w:sz w:val="17"/>
                <w:szCs w:val="17"/>
                <w:color w:val="auto"/>
                <w:w w:val="95"/>
              </w:rPr>
              <w:t>Total</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As of June 30, 2023</w:t>
            </w: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4"/>
              </w:rPr>
              <w:t>Amortized</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ind w:left="40"/>
              <w:spacing w:after="0" w:line="112" w:lineRule="exact"/>
              <w:rPr>
                <w:sz w:val="20"/>
                <w:szCs w:val="20"/>
                <w:color w:val="auto"/>
              </w:rPr>
            </w:pPr>
            <w:r>
              <w:rPr>
                <w:rFonts w:ascii="Arial" w:cs="Arial" w:eastAsia="Arial" w:hAnsi="Arial"/>
                <w:sz w:val="12"/>
                <w:szCs w:val="12"/>
                <w:b w:val="1"/>
                <w:bCs w:val="1"/>
                <w:color w:val="auto"/>
              </w:rPr>
              <w:t>Gross</w:t>
            </w:r>
          </w:p>
        </w:tc>
        <w:tc>
          <w:tcPr>
            <w:tcW w:w="120" w:type="dxa"/>
            <w:vAlign w:val="bottom"/>
          </w:tcPr>
          <w:p>
            <w:pPr>
              <w:spacing w:after="0"/>
              <w:rPr>
                <w:sz w:val="9"/>
                <w:szCs w:val="9"/>
                <w:color w:val="auto"/>
              </w:rPr>
            </w:pPr>
          </w:p>
        </w:tc>
        <w:tc>
          <w:tcPr>
            <w:tcW w:w="1080" w:type="dxa"/>
            <w:vAlign w:val="bottom"/>
            <w:gridSpan w:val="2"/>
          </w:tcPr>
          <w:p>
            <w:pPr>
              <w:ind w:left="40"/>
              <w:spacing w:after="0" w:line="112" w:lineRule="exact"/>
              <w:rPr>
                <w:sz w:val="20"/>
                <w:szCs w:val="20"/>
                <w:color w:val="auto"/>
              </w:rPr>
            </w:pPr>
            <w:r>
              <w:rPr>
                <w:rFonts w:ascii="Arial" w:cs="Arial" w:eastAsia="Arial" w:hAnsi="Arial"/>
                <w:sz w:val="12"/>
                <w:szCs w:val="12"/>
                <w:b w:val="1"/>
                <w:bCs w:val="1"/>
                <w:color w:val="auto"/>
              </w:rPr>
              <w:t>Gross</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Unrealized</w:t>
            </w:r>
          </w:p>
        </w:tc>
        <w:tc>
          <w:tcPr>
            <w:tcW w:w="12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Unrealized</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18"/>
              <w:spacing w:after="0"/>
              <w:rPr>
                <w:sz w:val="20"/>
                <w:szCs w:val="20"/>
                <w:color w:val="auto"/>
              </w:rPr>
            </w:pPr>
            <w:r>
              <w:rPr>
                <w:rFonts w:ascii="Arial" w:cs="Arial" w:eastAsia="Arial" w:hAnsi="Arial"/>
                <w:sz w:val="13"/>
                <w:szCs w:val="13"/>
                <w:b w:val="1"/>
                <w:bCs w:val="1"/>
                <w:color w:val="auto"/>
              </w:rPr>
              <w:t>Cost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Losses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2"/>
        </w:trPr>
        <w:tc>
          <w:tcPr>
            <w:tcW w:w="4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gridSpan w:val="5"/>
          </w:tcPr>
          <w:p>
            <w:pPr>
              <w:ind w:left="140"/>
              <w:spacing w:after="0" w:line="132" w:lineRule="exact"/>
              <w:rPr>
                <w:sz w:val="20"/>
                <w:szCs w:val="20"/>
                <w:color w:val="auto"/>
              </w:rPr>
            </w:pPr>
            <w:r>
              <w:rPr>
                <w:rFonts w:ascii="Arial" w:cs="Arial" w:eastAsia="Arial" w:hAnsi="Arial"/>
                <w:sz w:val="13"/>
                <w:szCs w:val="13"/>
                <w:b w:val="1"/>
                <w:bCs w:val="1"/>
                <w:color w:val="auto"/>
              </w:rPr>
              <w:t>(unaudited, in millions)</w:t>
            </w: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11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799</w:t>
            </w: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226</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cash equivalents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208"/>
        </w:trPr>
        <w:tc>
          <w:tcPr>
            <w:tcW w:w="4360" w:type="dxa"/>
            <w:vAlign w:val="bottom"/>
          </w:tcPr>
          <w:p>
            <w:pPr>
              <w:jc w:val="center"/>
              <w:ind w:right="1896"/>
              <w:spacing w:after="0"/>
              <w:rPr>
                <w:sz w:val="20"/>
                <w:szCs w:val="20"/>
                <w:color w:val="auto"/>
              </w:rPr>
            </w:pPr>
            <w:r>
              <w:rPr>
                <w:rFonts w:ascii="Arial" w:cs="Arial" w:eastAsia="Arial" w:hAnsi="Arial"/>
                <w:sz w:val="17"/>
                <w:szCs w:val="17"/>
                <w:b w:val="1"/>
                <w:bCs w:val="1"/>
                <w:color w:val="auto"/>
                <w:w w:val="89"/>
              </w:rPr>
              <w:t>Short-term marketable securities</w:t>
            </w: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3"/>
        </w:trPr>
        <w:tc>
          <w:tcPr>
            <w:tcW w:w="4360" w:type="dxa"/>
            <w:vAlign w:val="bottom"/>
          </w:tcPr>
          <w:p>
            <w:pPr>
              <w:ind w:left="340"/>
              <w:spacing w:after="0"/>
              <w:rPr>
                <w:sz w:val="20"/>
                <w:szCs w:val="20"/>
                <w:color w:val="auto"/>
              </w:rPr>
            </w:pPr>
            <w:r>
              <w:rPr>
                <w:rFonts w:ascii="Arial" w:cs="Arial" w:eastAsia="Arial" w:hAnsi="Arial"/>
                <w:sz w:val="17"/>
                <w:szCs w:val="17"/>
                <w:color w:val="auto"/>
              </w:rPr>
              <w:t>Corporate debt securities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short-term marketable securities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8"/>
        </w:trPr>
        <w:tc>
          <w:tcPr>
            <w:tcW w:w="4360" w:type="dxa"/>
            <w:vAlign w:val="bottom"/>
          </w:tcPr>
          <w:p>
            <w:pPr>
              <w:jc w:val="center"/>
              <w:ind w:right="1916"/>
              <w:spacing w:after="0"/>
              <w:rPr>
                <w:sz w:val="20"/>
                <w:szCs w:val="20"/>
                <w:color w:val="auto"/>
              </w:rPr>
            </w:pPr>
            <w:r>
              <w:rPr>
                <w:rFonts w:ascii="Arial" w:cs="Arial" w:eastAsia="Arial" w:hAnsi="Arial"/>
                <w:sz w:val="17"/>
                <w:szCs w:val="17"/>
                <w:b w:val="1"/>
                <w:bCs w:val="1"/>
                <w:color w:val="auto"/>
                <w:w w:val="89"/>
              </w:rPr>
              <w:t>Long-term marketable securities</w:t>
            </w: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U.S. government and government agency debt securities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80"/>
              <w:spacing w:after="0"/>
              <w:rPr>
                <w:sz w:val="20"/>
                <w:szCs w:val="20"/>
                <w:color w:val="auto"/>
              </w:rPr>
            </w:pPr>
            <w:r>
              <w:rPr>
                <w:rFonts w:ascii="Arial" w:cs="Arial" w:eastAsia="Arial" w:hAnsi="Arial"/>
                <w:sz w:val="17"/>
                <w:szCs w:val="17"/>
                <w:color w:val="auto"/>
              </w:rPr>
              <w:t>Total long-term marketable securities</w:t>
            </w: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jc w:val="center"/>
              <w:ind w:right="1916"/>
              <w:spacing w:after="0"/>
              <w:rPr>
                <w:sz w:val="20"/>
                <w:szCs w:val="20"/>
                <w:color w:val="auto"/>
              </w:rPr>
            </w:pPr>
            <w:r>
              <w:rPr>
                <w:rFonts w:ascii="Arial" w:cs="Arial" w:eastAsia="Arial" w:hAnsi="Arial"/>
                <w:sz w:val="17"/>
                <w:szCs w:val="17"/>
                <w:color w:val="auto"/>
                <w:w w:val="95"/>
              </w:rPr>
              <w:t>Total</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6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7"/>
                <w:szCs w:val="17"/>
                <w:color w:val="auto"/>
              </w:rPr>
              <w:t>F-34</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40" w:right="1199" w:bottom="1440" w:gutter="0" w:footer="0" w:header="0"/>
        </w:sectPr>
      </w:pPr>
    </w:p>
    <w:bookmarkStart w:id="346" w:name="page347"/>
    <w:bookmarkEnd w:id="3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180"/>
        <w:spacing w:after="0" w:line="340" w:lineRule="auto"/>
        <w:rPr>
          <w:sz w:val="20"/>
          <w:szCs w:val="20"/>
          <w:color w:val="auto"/>
        </w:rPr>
      </w:pPr>
      <w:r>
        <w:rPr>
          <w:rFonts w:ascii="Arial" w:cs="Arial" w:eastAsia="Arial" w:hAnsi="Arial"/>
          <w:sz w:val="15"/>
          <w:szCs w:val="15"/>
          <w:color w:val="auto"/>
        </w:rPr>
        <w:t>The following tables summarize the fair value and gross unrealized losses aggregated by category and the length of time that individual available-for-sale debt securities have been in a continuous unrealized loss position as of December 31, 2021 and 2022 and June 30, 2023 (unaudited):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3"/>
                <w:szCs w:val="13"/>
                <w:b w:val="1"/>
                <w:bCs w:val="1"/>
                <w:color w:val="auto"/>
                <w:w w:val="92"/>
              </w:rPr>
              <w:t>As of December 31, 2021</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10"/>
          </w:tcPr>
          <w:p>
            <w:pPr>
              <w:ind w:left="60"/>
              <w:spacing w:after="0" w:line="132" w:lineRule="exact"/>
              <w:rPr>
                <w:sz w:val="20"/>
                <w:szCs w:val="20"/>
                <w:color w:val="auto"/>
              </w:rPr>
            </w:pPr>
            <w:r>
              <w:rPr>
                <w:rFonts w:ascii="Arial" w:cs="Arial" w:eastAsia="Arial" w:hAnsi="Arial"/>
                <w:sz w:val="13"/>
                <w:szCs w:val="13"/>
                <w:b w:val="1"/>
                <w:bCs w:val="1"/>
                <w:color w:val="auto"/>
              </w:rPr>
              <w:t>Less than 12 Months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9"/>
          </w:tcPr>
          <w:p>
            <w:pPr>
              <w:jc w:val="center"/>
              <w:ind w:right="380"/>
              <w:spacing w:after="0" w:line="132" w:lineRule="exact"/>
              <w:rPr>
                <w:sz w:val="20"/>
                <w:szCs w:val="20"/>
                <w:color w:val="auto"/>
              </w:rPr>
            </w:pPr>
            <w:r>
              <w:rPr>
                <w:rFonts w:ascii="Arial" w:cs="Arial" w:eastAsia="Arial" w:hAnsi="Arial"/>
                <w:sz w:val="13"/>
                <w:szCs w:val="13"/>
                <w:b w:val="1"/>
                <w:bCs w:val="1"/>
                <w:color w:val="auto"/>
                <w:w w:val="96"/>
              </w:rPr>
              <w:t>12 Months or More</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5"/>
          </w:tcPr>
          <w:p>
            <w:pPr>
              <w:jc w:val="right"/>
              <w:ind w:right="73"/>
              <w:spacing w:after="0" w:line="132" w:lineRule="exact"/>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3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center"/>
              <w:ind w:right="78"/>
              <w:spacing w:after="0" w:line="112" w:lineRule="exact"/>
              <w:rPr>
                <w:sz w:val="20"/>
                <w:szCs w:val="20"/>
                <w:color w:val="auto"/>
              </w:rPr>
            </w:pPr>
            <w:r>
              <w:rPr>
                <w:rFonts w:ascii="Arial" w:cs="Arial" w:eastAsia="Arial" w:hAnsi="Arial"/>
                <w:sz w:val="12"/>
                <w:szCs w:val="12"/>
                <w:b w:val="1"/>
                <w:bCs w:val="1"/>
                <w:color w:val="auto"/>
                <w:w w:val="92"/>
              </w:rPr>
              <w:t>Gross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center"/>
              <w:ind w:right="120"/>
              <w:spacing w:after="0" w:line="112" w:lineRule="exact"/>
              <w:rPr>
                <w:sz w:val="20"/>
                <w:szCs w:val="20"/>
                <w:color w:val="auto"/>
              </w:rPr>
            </w:pPr>
            <w:r>
              <w:rPr>
                <w:rFonts w:ascii="Arial" w:cs="Arial" w:eastAsia="Arial" w:hAnsi="Arial"/>
                <w:sz w:val="12"/>
                <w:szCs w:val="12"/>
                <w:b w:val="1"/>
                <w:bCs w:val="1"/>
                <w:color w:val="auto"/>
                <w:w w:val="92"/>
              </w:rPr>
              <w:t>Gross</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ind w:left="60"/>
              <w:spacing w:after="0" w:line="112" w:lineRule="exact"/>
              <w:rPr>
                <w:sz w:val="20"/>
                <w:szCs w:val="20"/>
                <w:color w:val="auto"/>
              </w:rPr>
            </w:pPr>
            <w:r>
              <w:rPr>
                <w:rFonts w:ascii="Arial" w:cs="Arial" w:eastAsia="Arial" w:hAnsi="Arial"/>
                <w:sz w:val="12"/>
                <w:szCs w:val="12"/>
                <w:b w:val="1"/>
                <w:bCs w:val="1"/>
                <w:color w:val="auto"/>
              </w:rPr>
              <w:t>Gross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auto"/>
              </w:rPr>
              <w:t>Fair Value</w:t>
            </w:r>
          </w:p>
        </w:tc>
        <w:tc>
          <w:tcPr>
            <w:tcW w:w="1040" w:type="dxa"/>
            <w:vAlign w:val="bottom"/>
            <w:gridSpan w:val="5"/>
          </w:tcPr>
          <w:p>
            <w:pPr>
              <w:jc w:val="center"/>
              <w:ind w:right="280"/>
              <w:spacing w:after="0" w:line="139" w:lineRule="exact"/>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2"/>
                <w:szCs w:val="12"/>
                <w:color w:val="auto"/>
              </w:rPr>
            </w:pPr>
          </w:p>
        </w:tc>
        <w:tc>
          <w:tcPr>
            <w:tcW w:w="86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Unrealized</w:t>
            </w:r>
          </w:p>
        </w:tc>
        <w:tc>
          <w:tcPr>
            <w:tcW w:w="160" w:type="dxa"/>
            <w:vAlign w:val="bottom"/>
          </w:tcPr>
          <w:p>
            <w:pPr>
              <w:spacing w:after="0"/>
              <w:rPr>
                <w:sz w:val="12"/>
                <w:szCs w:val="12"/>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900" w:type="dxa"/>
            <w:vAlign w:val="bottom"/>
            <w:gridSpan w:val="3"/>
          </w:tcPr>
          <w:p>
            <w:pPr>
              <w:jc w:val="right"/>
              <w:ind w:right="220"/>
              <w:spacing w:after="0" w:line="13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00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80"/>
              </w:rPr>
              <w:t>Losses</w:t>
            </w:r>
          </w:p>
        </w:tc>
        <w:tc>
          <w:tcPr>
            <w:tcW w:w="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9"/>
          </w:tcPr>
          <w:p>
            <w:pPr>
              <w:jc w:val="center"/>
              <w:ind w:right="360"/>
              <w:spacing w:after="0" w:line="132" w:lineRule="exact"/>
              <w:rPr>
                <w:sz w:val="20"/>
                <w:szCs w:val="20"/>
                <w:color w:val="auto"/>
              </w:rPr>
            </w:pPr>
            <w:r>
              <w:rPr>
                <w:rFonts w:ascii="Arial" w:cs="Arial" w:eastAsia="Arial" w:hAnsi="Arial"/>
                <w:sz w:val="13"/>
                <w:szCs w:val="13"/>
                <w:b w:val="1"/>
                <w:bCs w:val="1"/>
                <w:color w:val="auto"/>
                <w:w w:val="95"/>
              </w:rPr>
              <w:t>(in millions)</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7"/>
                <w:szCs w:val="17"/>
                <w:color w:val="auto"/>
              </w:rPr>
              <w:t>U.S. government and government agency debt securities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tcBorders>
              <w:left w:val="single" w:sz="8" w:color="CCEEFF"/>
            </w:tcBorders>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vMerge w:val="continue"/>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2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18"/>
                <w:szCs w:val="18"/>
                <w:color w:val="auto"/>
              </w:rPr>
            </w:pPr>
          </w:p>
        </w:tc>
        <w:tc>
          <w:tcPr>
            <w:tcW w:w="2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3"/>
                <w:szCs w:val="13"/>
                <w:b w:val="1"/>
                <w:bCs w:val="1"/>
                <w:color w:val="auto"/>
                <w:w w:val="92"/>
              </w:rPr>
              <w:t>As of December 31, 2022</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10"/>
          </w:tcPr>
          <w:p>
            <w:pPr>
              <w:ind w:left="60"/>
              <w:spacing w:after="0" w:line="132" w:lineRule="exact"/>
              <w:rPr>
                <w:sz w:val="20"/>
                <w:szCs w:val="20"/>
                <w:color w:val="auto"/>
              </w:rPr>
            </w:pPr>
            <w:r>
              <w:rPr>
                <w:rFonts w:ascii="Arial" w:cs="Arial" w:eastAsia="Arial" w:hAnsi="Arial"/>
                <w:sz w:val="13"/>
                <w:szCs w:val="13"/>
                <w:b w:val="1"/>
                <w:bCs w:val="1"/>
                <w:color w:val="auto"/>
              </w:rPr>
              <w:t>Less than 12 Months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9"/>
          </w:tcPr>
          <w:p>
            <w:pPr>
              <w:ind w:left="40"/>
              <w:spacing w:after="0" w:line="132" w:lineRule="exact"/>
              <w:rPr>
                <w:sz w:val="20"/>
                <w:szCs w:val="20"/>
                <w:color w:val="auto"/>
              </w:rPr>
            </w:pPr>
            <w:r>
              <w:rPr>
                <w:rFonts w:ascii="Arial" w:cs="Arial" w:eastAsia="Arial" w:hAnsi="Arial"/>
                <w:sz w:val="13"/>
                <w:szCs w:val="13"/>
                <w:b w:val="1"/>
                <w:bCs w:val="1"/>
                <w:color w:val="auto"/>
              </w:rPr>
              <w:t>12 Months or More</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5"/>
          </w:tcPr>
          <w:p>
            <w:pPr>
              <w:jc w:val="right"/>
              <w:ind w:right="53"/>
              <w:spacing w:after="0" w:line="132" w:lineRule="exact"/>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3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center"/>
              <w:ind w:right="98"/>
              <w:spacing w:after="0" w:line="112" w:lineRule="exact"/>
              <w:rPr>
                <w:sz w:val="20"/>
                <w:szCs w:val="20"/>
                <w:color w:val="auto"/>
              </w:rPr>
            </w:pPr>
            <w:r>
              <w:rPr>
                <w:rFonts w:ascii="Arial" w:cs="Arial" w:eastAsia="Arial" w:hAnsi="Arial"/>
                <w:sz w:val="12"/>
                <w:szCs w:val="12"/>
                <w:b w:val="1"/>
                <w:bCs w:val="1"/>
                <w:color w:val="auto"/>
                <w:w w:val="97"/>
              </w:rPr>
              <w:t>Gross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62"/>
              <w:spacing w:after="0" w:line="112" w:lineRule="exact"/>
              <w:rPr>
                <w:sz w:val="20"/>
                <w:szCs w:val="20"/>
                <w:color w:val="auto"/>
              </w:rPr>
            </w:pPr>
            <w:r>
              <w:rPr>
                <w:rFonts w:ascii="Arial" w:cs="Arial" w:eastAsia="Arial" w:hAnsi="Arial"/>
                <w:sz w:val="12"/>
                <w:szCs w:val="12"/>
                <w:b w:val="1"/>
                <w:bCs w:val="1"/>
                <w:color w:val="auto"/>
                <w:w w:val="97"/>
              </w:rPr>
              <w:t>Gross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ind w:left="80"/>
              <w:spacing w:after="0" w:line="112" w:lineRule="exact"/>
              <w:rPr>
                <w:sz w:val="20"/>
                <w:szCs w:val="20"/>
                <w:color w:val="auto"/>
              </w:rPr>
            </w:pPr>
            <w:r>
              <w:rPr>
                <w:rFonts w:ascii="Arial" w:cs="Arial" w:eastAsia="Arial" w:hAnsi="Arial"/>
                <w:sz w:val="12"/>
                <w:szCs w:val="12"/>
                <w:b w:val="1"/>
                <w:bCs w:val="1"/>
                <w:color w:val="auto"/>
              </w:rPr>
              <w:t>Gross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auto"/>
              </w:rPr>
              <w:t>Fair Value</w:t>
            </w:r>
          </w:p>
        </w:tc>
        <w:tc>
          <w:tcPr>
            <w:tcW w:w="1040" w:type="dxa"/>
            <w:vAlign w:val="bottom"/>
            <w:gridSpan w:val="5"/>
          </w:tcPr>
          <w:p>
            <w:pPr>
              <w:jc w:val="center"/>
              <w:ind w:right="320"/>
              <w:spacing w:after="0" w:line="139" w:lineRule="exact"/>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2"/>
                <w:szCs w:val="12"/>
                <w:color w:val="auto"/>
              </w:rPr>
            </w:pPr>
          </w:p>
        </w:tc>
        <w:tc>
          <w:tcPr>
            <w:tcW w:w="86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220"/>
              <w:spacing w:after="0" w:line="139" w:lineRule="exact"/>
              <w:rPr>
                <w:sz w:val="20"/>
                <w:szCs w:val="20"/>
                <w:color w:val="auto"/>
              </w:rPr>
            </w:pPr>
            <w:r>
              <w:rPr>
                <w:rFonts w:ascii="Arial" w:cs="Arial" w:eastAsia="Arial" w:hAnsi="Arial"/>
                <w:sz w:val="13"/>
                <w:szCs w:val="13"/>
                <w:b w:val="1"/>
                <w:bCs w:val="1"/>
                <w:color w:val="auto"/>
                <w:w w:val="94"/>
              </w:rPr>
              <w:t>Unrealized</w:t>
            </w:r>
          </w:p>
        </w:tc>
        <w:tc>
          <w:tcPr>
            <w:tcW w:w="16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900" w:type="dxa"/>
            <w:vAlign w:val="bottom"/>
            <w:gridSpan w:val="3"/>
          </w:tcPr>
          <w:p>
            <w:pPr>
              <w:jc w:val="right"/>
              <w:ind w:right="200"/>
              <w:spacing w:after="0" w:line="13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000" w:type="dxa"/>
            <w:vAlign w:val="bottom"/>
            <w:gridSpan w:val="6"/>
            <w:vMerge w:val="continue"/>
          </w:tcPr>
          <w:p>
            <w:pPr>
              <w:spacing w:after="0"/>
              <w:rPr>
                <w:sz w:val="13"/>
                <w:szCs w:val="13"/>
                <w:color w:val="auto"/>
              </w:rPr>
            </w:pPr>
          </w:p>
        </w:tc>
        <w:tc>
          <w:tcPr>
            <w:tcW w:w="10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4"/>
              </w:rPr>
              <w:t>Losses</w:t>
            </w:r>
          </w:p>
        </w:tc>
        <w:tc>
          <w:tcPr>
            <w:tcW w:w="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4"/>
              </w:rPr>
              <w:t>Losses</w:t>
            </w:r>
          </w:p>
        </w:tc>
        <w:tc>
          <w:tcPr>
            <w:tcW w:w="16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9"/>
          </w:tcPr>
          <w:p>
            <w:pPr>
              <w:jc w:val="center"/>
              <w:ind w:right="360"/>
              <w:spacing w:after="0" w:line="132" w:lineRule="exact"/>
              <w:rPr>
                <w:sz w:val="20"/>
                <w:szCs w:val="20"/>
                <w:color w:val="auto"/>
              </w:rPr>
            </w:pPr>
            <w:r>
              <w:rPr>
                <w:rFonts w:ascii="Arial" w:cs="Arial" w:eastAsia="Arial" w:hAnsi="Arial"/>
                <w:sz w:val="13"/>
                <w:szCs w:val="13"/>
                <w:b w:val="1"/>
                <w:bCs w:val="1"/>
                <w:color w:val="auto"/>
                <w:w w:val="95"/>
              </w:rPr>
              <w:t>(in millions)</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7"/>
                <w:szCs w:val="17"/>
                <w:color w:val="auto"/>
              </w:rPr>
              <w:t>U.S. government and government agency debt securities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ind w:left="46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166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center"/>
              <w:ind w:right="240"/>
              <w:spacing w:after="0"/>
              <w:rPr>
                <w:sz w:val="20"/>
                <w:szCs w:val="20"/>
                <w:color w:val="auto"/>
              </w:rPr>
            </w:pPr>
            <w:r>
              <w:rPr>
                <w:rFonts w:ascii="Arial" w:cs="Arial" w:eastAsia="Arial" w:hAnsi="Arial"/>
                <w:sz w:val="17"/>
                <w:szCs w:val="17"/>
                <w:color w:val="auto"/>
                <w:w w:val="93"/>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vMerge w:val="continue"/>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460"/>
              <w:spacing w:after="0"/>
              <w:rPr>
                <w:sz w:val="20"/>
                <w:szCs w:val="20"/>
                <w:color w:val="auto"/>
              </w:rPr>
            </w:pPr>
            <w:r>
              <w:rPr>
                <w:rFonts w:ascii="Arial" w:cs="Arial" w:eastAsia="Arial" w:hAnsi="Arial"/>
                <w:sz w:val="17"/>
                <w:szCs w:val="17"/>
                <w:color w:val="auto"/>
              </w:rPr>
              <w:t>(2)</w:t>
            </w:r>
          </w:p>
        </w:tc>
        <w:tc>
          <w:tcPr>
            <w:tcW w:w="44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261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200"/>
              <w:spacing w:after="0"/>
              <w:rPr>
                <w:sz w:val="20"/>
                <w:szCs w:val="20"/>
                <w:color w:val="auto"/>
              </w:rPr>
            </w:pPr>
            <w:r>
              <w:rPr>
                <w:rFonts w:ascii="Arial" w:cs="Arial" w:eastAsia="Arial" w:hAnsi="Arial"/>
                <w:sz w:val="13"/>
                <w:szCs w:val="13"/>
                <w:b w:val="1"/>
                <w:bCs w:val="1"/>
                <w:color w:val="auto"/>
              </w:rPr>
              <w:t>As of June 30, 2023</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9"/>
          </w:tcPr>
          <w:p>
            <w:pPr>
              <w:ind w:left="80"/>
              <w:spacing w:after="0" w:line="132" w:lineRule="exact"/>
              <w:rPr>
                <w:sz w:val="20"/>
                <w:szCs w:val="20"/>
                <w:color w:val="auto"/>
              </w:rPr>
            </w:pPr>
            <w:r>
              <w:rPr>
                <w:rFonts w:ascii="Arial" w:cs="Arial" w:eastAsia="Arial" w:hAnsi="Arial"/>
                <w:sz w:val="13"/>
                <w:szCs w:val="13"/>
                <w:b w:val="1"/>
                <w:bCs w:val="1"/>
                <w:color w:val="auto"/>
              </w:rPr>
              <w:t>Less than 12 Months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9"/>
          </w:tcPr>
          <w:p>
            <w:pPr>
              <w:ind w:left="140"/>
              <w:spacing w:after="0" w:line="132" w:lineRule="exact"/>
              <w:rPr>
                <w:sz w:val="20"/>
                <w:szCs w:val="20"/>
                <w:color w:val="auto"/>
              </w:rPr>
            </w:pPr>
            <w:r>
              <w:rPr>
                <w:rFonts w:ascii="Arial" w:cs="Arial" w:eastAsia="Arial" w:hAnsi="Arial"/>
                <w:sz w:val="13"/>
                <w:szCs w:val="13"/>
                <w:b w:val="1"/>
                <w:bCs w:val="1"/>
                <w:color w:val="auto"/>
              </w:rPr>
              <w:t>12 Months or More</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gridSpan w:val="4"/>
          </w:tcPr>
          <w:p>
            <w:pPr>
              <w:jc w:val="right"/>
              <w:ind w:right="53"/>
              <w:spacing w:after="0" w:line="132" w:lineRule="exact"/>
              <w:rPr>
                <w:sz w:val="20"/>
                <w:szCs w:val="20"/>
                <w:color w:val="auto"/>
              </w:rPr>
            </w:pPr>
            <w:r>
              <w:rPr>
                <w:rFonts w:ascii="Arial" w:cs="Arial" w:eastAsia="Arial" w:hAnsi="Arial"/>
                <w:sz w:val="13"/>
                <w:szCs w:val="13"/>
                <w:b w:val="1"/>
                <w:bCs w:val="1"/>
                <w:color w:val="auto"/>
                <w:w w:val="89"/>
              </w:rPr>
              <w:t>Total</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center"/>
              <w:ind w:right="140"/>
              <w:spacing w:after="0" w:line="112" w:lineRule="exact"/>
              <w:rPr>
                <w:sz w:val="20"/>
                <w:szCs w:val="20"/>
                <w:color w:val="auto"/>
              </w:rPr>
            </w:pPr>
            <w:r>
              <w:rPr>
                <w:rFonts w:ascii="Arial" w:cs="Arial" w:eastAsia="Arial" w:hAnsi="Arial"/>
                <w:sz w:val="12"/>
                <w:szCs w:val="12"/>
                <w:b w:val="1"/>
                <w:bCs w:val="1"/>
                <w:color w:val="auto"/>
                <w:w w:val="97"/>
              </w:rPr>
              <w:t>Gross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center"/>
              <w:ind w:right="120"/>
              <w:spacing w:after="0" w:line="112" w:lineRule="exact"/>
              <w:rPr>
                <w:sz w:val="20"/>
                <w:szCs w:val="20"/>
                <w:color w:val="auto"/>
              </w:rPr>
            </w:pPr>
            <w:r>
              <w:rPr>
                <w:rFonts w:ascii="Arial" w:cs="Arial" w:eastAsia="Arial" w:hAnsi="Arial"/>
                <w:sz w:val="12"/>
                <w:szCs w:val="12"/>
                <w:b w:val="1"/>
                <w:bCs w:val="1"/>
                <w:color w:val="auto"/>
                <w:w w:val="92"/>
              </w:rPr>
              <w:t>Gross</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ind w:left="80"/>
              <w:spacing w:after="0" w:line="112" w:lineRule="exact"/>
              <w:rPr>
                <w:sz w:val="20"/>
                <w:szCs w:val="20"/>
                <w:color w:val="auto"/>
              </w:rPr>
            </w:pPr>
            <w:r>
              <w:rPr>
                <w:rFonts w:ascii="Arial" w:cs="Arial" w:eastAsia="Arial" w:hAnsi="Arial"/>
                <w:sz w:val="12"/>
                <w:szCs w:val="12"/>
                <w:b w:val="1"/>
                <w:bCs w:val="1"/>
                <w:color w:val="auto"/>
              </w:rPr>
              <w:t>Gross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2"/>
                <w:szCs w:val="12"/>
                <w:color w:val="auto"/>
              </w:rPr>
            </w:pPr>
          </w:p>
        </w:tc>
        <w:tc>
          <w:tcPr>
            <w:tcW w:w="860" w:type="dxa"/>
            <w:vAlign w:val="bottom"/>
            <w:gridSpan w:val="4"/>
          </w:tcPr>
          <w:p>
            <w:pPr>
              <w:jc w:val="center"/>
              <w:ind w:right="120"/>
              <w:spacing w:after="0" w:line="139" w:lineRule="exact"/>
              <w:rPr>
                <w:sz w:val="20"/>
                <w:szCs w:val="20"/>
                <w:color w:val="auto"/>
              </w:rPr>
            </w:pPr>
            <w:r>
              <w:rPr>
                <w:rFonts w:ascii="Arial" w:cs="Arial" w:eastAsia="Arial" w:hAnsi="Arial"/>
                <w:sz w:val="13"/>
                <w:szCs w:val="13"/>
                <w:b w:val="1"/>
                <w:bCs w:val="1"/>
                <w:color w:val="auto"/>
                <w:w w:val="94"/>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Unrealized</w:t>
            </w:r>
          </w:p>
        </w:tc>
        <w:tc>
          <w:tcPr>
            <w:tcW w:w="16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900" w:type="dxa"/>
            <w:vAlign w:val="bottom"/>
            <w:gridSpan w:val="3"/>
          </w:tcPr>
          <w:p>
            <w:pPr>
              <w:jc w:val="right"/>
              <w:ind w:right="200"/>
              <w:spacing w:after="0" w:line="13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9"/>
          </w:tcPr>
          <w:p>
            <w:pPr>
              <w:ind w:left="80"/>
              <w:spacing w:after="0" w:line="132" w:lineRule="exact"/>
              <w:rPr>
                <w:sz w:val="20"/>
                <w:szCs w:val="20"/>
                <w:color w:val="auto"/>
              </w:rPr>
            </w:pPr>
            <w:r>
              <w:rPr>
                <w:rFonts w:ascii="Arial" w:cs="Arial" w:eastAsia="Arial" w:hAnsi="Arial"/>
                <w:sz w:val="13"/>
                <w:szCs w:val="13"/>
                <w:b w:val="1"/>
                <w:bCs w:val="1"/>
                <w:color w:val="auto"/>
              </w:rPr>
              <w:t>(unaudited, in millions)</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104</w:t>
            </w: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7"/>
                <w:szCs w:val="17"/>
                <w:color w:val="auto"/>
              </w:rPr>
              <w:t>U.S. government and government agency debt securities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ind w:left="36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340"/>
              <w:spacing w:after="0"/>
              <w:rPr>
                <w:sz w:val="20"/>
                <w:szCs w:val="20"/>
                <w:color w:val="auto"/>
              </w:rPr>
            </w:pPr>
            <w:r>
              <w:rPr>
                <w:rFonts w:ascii="Arial" w:cs="Arial" w:eastAsia="Arial" w:hAnsi="Arial"/>
                <w:sz w:val="17"/>
                <w:szCs w:val="17"/>
                <w:color w:val="auto"/>
              </w:rPr>
              <w:t>Total</w:t>
            </w:r>
          </w:p>
        </w:tc>
        <w:tc>
          <w:tcPr>
            <w:tcW w:w="3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121</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260" w:type="dxa"/>
            <w:vAlign w:val="bottom"/>
            <w:gridSpan w:val="3"/>
          </w:tcPr>
          <w:p>
            <w:pPr>
              <w:ind w:left="140"/>
              <w:spacing w:after="0"/>
              <w:rPr>
                <w:sz w:val="20"/>
                <w:szCs w:val="20"/>
                <w:color w:val="auto"/>
              </w:rPr>
            </w:pPr>
            <w:r>
              <w:rPr>
                <w:rFonts w:ascii="Arial" w:cs="Arial" w:eastAsia="Arial" w:hAnsi="Arial"/>
                <w:sz w:val="17"/>
                <w:szCs w:val="17"/>
                <w:color w:val="auto"/>
              </w:rPr>
              <w:t>$</w:t>
            </w:r>
          </w:p>
        </w:tc>
        <w:tc>
          <w:tcPr>
            <w:tcW w:w="620" w:type="dxa"/>
            <w:vAlign w:val="bottom"/>
            <w:gridSpan w:val="3"/>
          </w:tcPr>
          <w:p>
            <w:pPr>
              <w:ind w:left="360"/>
              <w:spacing w:after="0"/>
              <w:rPr>
                <w:sz w:val="20"/>
                <w:szCs w:val="20"/>
                <w:color w:val="auto"/>
              </w:rPr>
            </w:pPr>
            <w:r>
              <w:rPr>
                <w:rFonts w:ascii="Arial" w:cs="Arial" w:eastAsia="Arial" w:hAnsi="Arial"/>
                <w:sz w:val="17"/>
                <w:szCs w:val="17"/>
                <w:color w:val="auto"/>
              </w:rPr>
              <w:t>31</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480"/>
              <w:spacing w:after="0"/>
              <w:rPr>
                <w:sz w:val="20"/>
                <w:szCs w:val="20"/>
                <w:color w:val="auto"/>
              </w:rPr>
            </w:pPr>
            <w:r>
              <w:rPr>
                <w:rFonts w:ascii="Arial" w:cs="Arial" w:eastAsia="Arial" w:hAnsi="Arial"/>
                <w:sz w:val="17"/>
                <w:szCs w:val="17"/>
                <w:color w:val="auto"/>
              </w:rPr>
              <w:t>(1)</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152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6"/>
          </w:tcPr>
          <w:p>
            <w:pPr>
              <w:jc w:val="right"/>
              <w:ind w:right="255"/>
              <w:spacing w:after="0"/>
              <w:rPr>
                <w:sz w:val="20"/>
                <w:szCs w:val="20"/>
                <w:color w:val="auto"/>
              </w:rPr>
            </w:pPr>
            <w:r>
              <w:rPr>
                <w:rFonts w:ascii="Arial" w:cs="Arial" w:eastAsia="Arial" w:hAnsi="Arial"/>
                <w:sz w:val="17"/>
                <w:szCs w:val="17"/>
                <w:color w:val="auto"/>
              </w:rPr>
              <w:t>F-35</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347" w:name="page348"/>
    <w:bookmarkEnd w:id="3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amortized cost and fair value of the Company’s available-for-sale debt securities with a stated maturity date:</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right"/>
              <w:ind w:right="11"/>
              <w:spacing w:after="0"/>
              <w:rPr>
                <w:sz w:val="20"/>
                <w:szCs w:val="20"/>
                <w:color w:val="auto"/>
              </w:rPr>
            </w:pPr>
            <w:r>
              <w:rPr>
                <w:rFonts w:ascii="Arial" w:cs="Arial" w:eastAsia="Arial" w:hAnsi="Arial"/>
                <w:sz w:val="13"/>
                <w:szCs w:val="13"/>
                <w:b w:val="1"/>
                <w:bCs w:val="1"/>
                <w:color w:val="auto"/>
              </w:rPr>
              <w:t>As of December 31,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0"/>
              </w:rPr>
              <w:t>As of 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4"/>
          </w:tcPr>
          <w:p>
            <w:pPr>
              <w:jc w:val="right"/>
              <w:ind w:right="153"/>
              <w:spacing w:after="0" w:line="13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gridSpan w:val="2"/>
          </w:tcPr>
          <w:p>
            <w:pPr>
              <w:jc w:val="right"/>
              <w:ind w:right="60"/>
              <w:spacing w:after="0" w:line="132" w:lineRule="exact"/>
              <w:rPr>
                <w:sz w:val="20"/>
                <w:szCs w:val="20"/>
                <w:color w:val="auto"/>
              </w:rPr>
            </w:pPr>
            <w:r>
              <w:rPr>
                <w:rFonts w:ascii="Arial" w:cs="Arial" w:eastAsia="Arial" w:hAnsi="Arial"/>
                <w:sz w:val="13"/>
                <w:szCs w:val="13"/>
                <w:b w:val="1"/>
                <w:bCs w:val="1"/>
                <w:color w:val="auto"/>
                <w:w w:val="89"/>
              </w:rPr>
              <w:t>2022</w:t>
            </w:r>
          </w:p>
        </w:tc>
        <w:tc>
          <w:tcPr>
            <w:tcW w:w="700" w:type="dxa"/>
            <w:vAlign w:val="bottom"/>
            <w:tcBorders>
              <w:top w:val="single" w:sz="8" w:color="auto"/>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96"/>
              </w:rPr>
              <w:t>2023</w:t>
            </w:r>
          </w:p>
        </w:tc>
        <w:tc>
          <w:tcPr>
            <w:tcW w:w="70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gridSpan w:val="3"/>
          </w:tcPr>
          <w:p>
            <w:pPr>
              <w:jc w:val="right"/>
              <w:ind w:right="200"/>
              <w:spacing w:after="0" w:line="112" w:lineRule="exact"/>
              <w:rPr>
                <w:sz w:val="20"/>
                <w:szCs w:val="20"/>
                <w:color w:val="auto"/>
              </w:rPr>
            </w:pPr>
            <w:r>
              <w:rPr>
                <w:rFonts w:ascii="Arial" w:cs="Arial" w:eastAsia="Arial" w:hAnsi="Arial"/>
                <w:sz w:val="12"/>
                <w:szCs w:val="12"/>
                <w:b w:val="1"/>
                <w:bCs w:val="1"/>
                <w:color w:val="auto"/>
              </w:rPr>
              <w:t>Amortized</w:t>
            </w:r>
          </w:p>
        </w:tc>
        <w:tc>
          <w:tcPr>
            <w:tcW w:w="120" w:type="dxa"/>
            <w:vAlign w:val="bottom"/>
          </w:tcPr>
          <w:p>
            <w:pPr>
              <w:spacing w:after="0"/>
              <w:rPr>
                <w:sz w:val="9"/>
                <w:szCs w:val="9"/>
                <w:color w:val="auto"/>
              </w:rPr>
            </w:pPr>
          </w:p>
        </w:tc>
        <w:tc>
          <w:tcPr>
            <w:tcW w:w="1020" w:type="dxa"/>
            <w:vAlign w:val="bottom"/>
            <w:gridSpan w:val="3"/>
            <w:vMerge w:val="restart"/>
          </w:tcPr>
          <w:p>
            <w:pPr>
              <w:jc w:val="right"/>
              <w:ind w:right="340"/>
              <w:spacing w:after="0"/>
              <w:rPr>
                <w:sz w:val="20"/>
                <w:szCs w:val="20"/>
                <w:color w:val="auto"/>
              </w:rPr>
            </w:pPr>
            <w:r>
              <w:rPr>
                <w:rFonts w:ascii="Arial" w:cs="Arial" w:eastAsia="Arial" w:hAnsi="Arial"/>
                <w:sz w:val="13"/>
                <w:szCs w:val="13"/>
                <w:b w:val="1"/>
                <w:bCs w:val="1"/>
                <w:color w:val="auto"/>
              </w:rPr>
              <w:t>Fair Value</w:t>
            </w:r>
          </w:p>
        </w:tc>
        <w:tc>
          <w:tcPr>
            <w:tcW w:w="760" w:type="dxa"/>
            <w:vAlign w:val="bottom"/>
            <w:gridSpan w:val="2"/>
          </w:tcPr>
          <w:p>
            <w:pPr>
              <w:jc w:val="right"/>
              <w:spacing w:after="0" w:line="112" w:lineRule="exact"/>
              <w:rPr>
                <w:sz w:val="20"/>
                <w:szCs w:val="20"/>
                <w:color w:val="auto"/>
              </w:rPr>
            </w:pPr>
            <w:r>
              <w:rPr>
                <w:rFonts w:ascii="Arial" w:cs="Arial" w:eastAsia="Arial" w:hAnsi="Arial"/>
                <w:sz w:val="12"/>
                <w:szCs w:val="12"/>
                <w:b w:val="1"/>
                <w:bCs w:val="1"/>
                <w:color w:val="auto"/>
              </w:rPr>
              <w:t>Amortized</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9"/>
                <w:szCs w:val="9"/>
                <w:color w:val="auto"/>
              </w:rPr>
            </w:pPr>
          </w:p>
        </w:tc>
        <w:tc>
          <w:tcPr>
            <w:tcW w:w="700" w:type="dxa"/>
            <w:vAlign w:val="bottom"/>
          </w:tcPr>
          <w:p>
            <w:pPr>
              <w:jc w:val="right"/>
              <w:ind w:right="6"/>
              <w:spacing w:after="0" w:line="112" w:lineRule="exact"/>
              <w:rPr>
                <w:sz w:val="20"/>
                <w:szCs w:val="20"/>
                <w:color w:val="auto"/>
              </w:rPr>
            </w:pPr>
            <w:r>
              <w:rPr>
                <w:rFonts w:ascii="Arial" w:cs="Arial" w:eastAsia="Arial" w:hAnsi="Arial"/>
                <w:sz w:val="12"/>
                <w:szCs w:val="12"/>
                <w:b w:val="1"/>
                <w:bCs w:val="1"/>
                <w:color w:val="auto"/>
              </w:rPr>
              <w:t>Amortized</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86"/>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right"/>
              <w:ind w:right="211"/>
              <w:spacing w:after="0" w:line="132" w:lineRule="exact"/>
              <w:rPr>
                <w:sz w:val="20"/>
                <w:szCs w:val="20"/>
                <w:color w:val="auto"/>
              </w:rPr>
            </w:pPr>
            <w:r>
              <w:rPr>
                <w:rFonts w:ascii="Arial" w:cs="Arial" w:eastAsia="Arial" w:hAnsi="Arial"/>
                <w:sz w:val="13"/>
                <w:szCs w:val="13"/>
                <w:b w:val="1"/>
                <w:bCs w:val="1"/>
                <w:color w:val="auto"/>
              </w:rPr>
              <w:t>(in millions)</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spacing w:after="0" w:line="132" w:lineRule="exact"/>
              <w:rPr>
                <w:sz w:val="20"/>
                <w:szCs w:val="20"/>
                <w:color w:val="auto"/>
              </w:rPr>
            </w:pPr>
            <w:r>
              <w:rPr>
                <w:rFonts w:ascii="Arial" w:cs="Arial" w:eastAsia="Arial" w:hAnsi="Arial"/>
                <w:sz w:val="13"/>
                <w:szCs w:val="13"/>
                <w:b w:val="1"/>
                <w:bCs w:val="1"/>
                <w:color w:val="auto"/>
                <w:w w:val="95"/>
              </w:rPr>
              <w:t>(unaudited, in millions)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Within one year</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408</w:t>
            </w:r>
          </w:p>
        </w:tc>
        <w:tc>
          <w:tcPr>
            <w:tcW w:w="3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408</w:t>
            </w:r>
          </w:p>
        </w:tc>
        <w:tc>
          <w:tcPr>
            <w:tcW w:w="520" w:type="dxa"/>
            <w:vAlign w:val="bottom"/>
            <w:shd w:val="clear" w:color="auto" w:fill="CCEEFF"/>
          </w:tcPr>
          <w:p>
            <w:pPr>
              <w:jc w:val="right"/>
              <w:ind w:right="37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715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One year through five years</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128</w:t>
            </w:r>
          </w:p>
        </w:tc>
        <w:tc>
          <w:tcPr>
            <w:tcW w:w="5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w:t>
            </w:r>
          </w:p>
        </w:tc>
        <w:tc>
          <w:tcPr>
            <w:tcW w:w="3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536</w:t>
            </w:r>
          </w:p>
        </w:tc>
        <w:tc>
          <w:tcPr>
            <w:tcW w:w="520" w:type="dxa"/>
            <w:vAlign w:val="bottom"/>
            <w:shd w:val="clear" w:color="auto" w:fill="CCEEFF"/>
          </w:tcPr>
          <w:p>
            <w:pPr>
              <w:jc w:val="right"/>
              <w:ind w:right="37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744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800" w:hanging="343"/>
        <w:spacing w:after="0"/>
        <w:tabs>
          <w:tab w:leader="none" w:pos="80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net of accumulated depreciation and amortization, consisted of the following: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26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Estimated</w:t>
            </w:r>
          </w:p>
        </w:tc>
        <w:tc>
          <w:tcPr>
            <w:tcW w:w="216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As of December 31,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As of June 30,</w:t>
            </w: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1080" w:type="dxa"/>
            <w:vAlign w:val="bottom"/>
            <w:tcBorders>
              <w:bottom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6"/>
              </w:rPr>
              <w:t>Useful Life</w:t>
            </w:r>
          </w:p>
        </w:tc>
        <w:tc>
          <w:tcPr>
            <w:tcW w:w="1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4"/>
              <w:spacing w:after="0" w:line="13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2"/>
          </w:tcPr>
          <w:p>
            <w:pPr>
              <w:jc w:val="right"/>
              <w:ind w:right="100"/>
              <w:spacing w:after="0" w:line="132"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top w:val="single" w:sz="8" w:color="auto"/>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center"/>
              <w:ind w:right="22"/>
              <w:spacing w:after="0" w:line="132" w:lineRule="exact"/>
              <w:rPr>
                <w:sz w:val="20"/>
                <w:szCs w:val="20"/>
                <w:color w:val="auto"/>
              </w:rPr>
            </w:pPr>
            <w:r>
              <w:rPr>
                <w:rFonts w:ascii="Arial" w:cs="Arial" w:eastAsia="Arial" w:hAnsi="Arial"/>
                <w:sz w:val="13"/>
                <w:szCs w:val="13"/>
                <w:b w:val="1"/>
                <w:bCs w:val="1"/>
                <w:color w:val="auto"/>
                <w:w w:val="89"/>
              </w:rPr>
              <w:t>2023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260" w:type="dxa"/>
            <w:vAlign w:val="bottom"/>
          </w:tcPr>
          <w:p>
            <w:pPr>
              <w:spacing w:after="0"/>
              <w:rPr>
                <w:sz w:val="9"/>
                <w:szCs w:val="9"/>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(in years)</w:t>
            </w:r>
          </w:p>
        </w:tc>
        <w:tc>
          <w:tcPr>
            <w:tcW w:w="780" w:type="dxa"/>
            <w:vAlign w:val="bottom"/>
          </w:tcPr>
          <w:p>
            <w:pPr>
              <w:spacing w:after="0"/>
              <w:rPr>
                <w:sz w:val="9"/>
                <w:szCs w:val="9"/>
                <w:color w:val="auto"/>
              </w:rPr>
            </w:pPr>
          </w:p>
        </w:tc>
        <w:tc>
          <w:tcPr>
            <w:tcW w:w="1380" w:type="dxa"/>
            <w:vAlign w:val="bottom"/>
            <w:gridSpan w:val="4"/>
            <w:vMerge w:val="restart"/>
          </w:tcPr>
          <w:p>
            <w:pPr>
              <w:jc w:val="right"/>
              <w:ind w:right="58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22"/>
              <w:spacing w:after="0" w:line="112" w:lineRule="exact"/>
              <w:rPr>
                <w:sz w:val="20"/>
                <w:szCs w:val="20"/>
                <w:color w:val="auto"/>
              </w:rPr>
            </w:pPr>
            <w:r>
              <w:rPr>
                <w:rFonts w:ascii="Arial" w:cs="Arial" w:eastAsia="Arial" w:hAnsi="Arial"/>
                <w:sz w:val="12"/>
                <w:szCs w:val="12"/>
                <w:b w:val="1"/>
                <w:bCs w:val="1"/>
                <w:color w:val="auto"/>
              </w:rPr>
              <w:t>(unaudited, in</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millions)</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Capitalized internal-use software</w:t>
            </w: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2-5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 property and equipment</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 property and equipment, net</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40"/>
        <w:spacing w:after="0" w:line="260" w:lineRule="auto"/>
        <w:rPr>
          <w:sz w:val="20"/>
          <w:szCs w:val="20"/>
          <w:color w:val="auto"/>
        </w:rPr>
      </w:pPr>
      <w:r>
        <w:rPr>
          <w:rFonts w:ascii="Arial" w:cs="Arial" w:eastAsia="Arial" w:hAnsi="Arial"/>
          <w:sz w:val="17"/>
          <w:szCs w:val="17"/>
          <w:color w:val="auto"/>
        </w:rPr>
        <w:t>Depreciation and amortization expense related to the Company’s property and equipment was $8 million, $9 million, and $13 million for the years ended December 31, 2020, 2021, and 2022, respectively, and $6 million and $8 million for the six months ended June 30, 2022 and 2023 (unaudited), respectively.</w:t>
      </w:r>
    </w:p>
    <w:p>
      <w:pPr>
        <w:spacing w:after="0" w:line="175" w:lineRule="exact"/>
        <w:rPr>
          <w:sz w:val="20"/>
          <w:szCs w:val="20"/>
          <w:color w:val="auto"/>
        </w:rPr>
      </w:pPr>
    </w:p>
    <w:p>
      <w:pPr>
        <w:ind w:left="460" w:right="140"/>
        <w:spacing w:after="0" w:line="274" w:lineRule="auto"/>
        <w:rPr>
          <w:sz w:val="20"/>
          <w:szCs w:val="20"/>
          <w:color w:val="auto"/>
        </w:rPr>
      </w:pPr>
      <w:r>
        <w:rPr>
          <w:rFonts w:ascii="Arial" w:cs="Arial" w:eastAsia="Arial" w:hAnsi="Arial"/>
          <w:sz w:val="16"/>
          <w:szCs w:val="16"/>
          <w:color w:val="auto"/>
        </w:rPr>
        <w:t>The Company capitalized $2 million, $7 million, and $8 million of internal-use software costs during the years ended December 31, 2020, 2021, and 2022, respectively, and $3 million and $27 million during the six months ended June 30, 2022 and 2023 (unaudited), respectively. Included in depreciation and amortization expense above is amortization expense related to internal-use software within cost of revenue in the consolidated statements of operations of $3 million, $3 million, and $4 million for the years ended December 31, 2020, 2021, and 2022, respectively, and $2 million and $2 million for the six months ended June 30, 2022 and 2023 (unaudited), respectively.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800"/>
          </w:cols>
          <w:pgMar w:left="320" w:top="440" w:right="779" w:bottom="1440" w:gutter="0" w:footer="0" w:header="0"/>
        </w:sectPr>
      </w:pPr>
    </w:p>
    <w:bookmarkStart w:id="348" w:name="page349"/>
    <w:bookmarkEnd w:id="3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long-lived assets, net of accumulated depreciation and amortization, by geographic area were as follows: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300" w:type="dxa"/>
            <w:vAlign w:val="bottom"/>
          </w:tcPr>
          <w:p>
            <w:pPr>
              <w:spacing w:after="0"/>
              <w:rPr>
                <w:sz w:val="13"/>
                <w:szCs w:val="13"/>
                <w:color w:val="auto"/>
              </w:rPr>
            </w:pPr>
          </w:p>
        </w:tc>
        <w:tc>
          <w:tcPr>
            <w:tcW w:w="1960" w:type="dxa"/>
            <w:vAlign w:val="bottom"/>
            <w:gridSpan w:val="4"/>
          </w:tcPr>
          <w:p>
            <w:pPr>
              <w:jc w:val="right"/>
              <w:ind w:right="208"/>
              <w:spacing w:after="0"/>
              <w:rPr>
                <w:sz w:val="20"/>
                <w:szCs w:val="20"/>
                <w:color w:val="auto"/>
              </w:rPr>
            </w:pPr>
            <w:r>
              <w:rPr>
                <w:rFonts w:ascii="Arial" w:cs="Arial" w:eastAsia="Arial" w:hAnsi="Arial"/>
                <w:sz w:val="13"/>
                <w:szCs w:val="13"/>
                <w:b w:val="1"/>
                <w:bCs w:val="1"/>
                <w:color w:val="auto"/>
              </w:rPr>
              <w:t>As of December 31,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 June 30,</w:t>
            </w:r>
          </w:p>
        </w:tc>
        <w:tc>
          <w:tcPr>
            <w:tcW w:w="0" w:type="dxa"/>
            <w:vAlign w:val="bottom"/>
          </w:tcPr>
          <w:p>
            <w:pPr>
              <w:spacing w:after="0"/>
              <w:rPr>
                <w:sz w:val="1"/>
                <w:szCs w:val="1"/>
                <w:color w:val="auto"/>
              </w:rPr>
            </w:pPr>
          </w:p>
        </w:tc>
      </w:tr>
      <w:tr>
        <w:trPr>
          <w:trHeight w:val="132"/>
        </w:trPr>
        <w:tc>
          <w:tcPr>
            <w:tcW w:w="43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9"/>
              <w:spacing w:after="0" w:line="13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
              <w:spacing w:after="0" w:line="132" w:lineRule="exact"/>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center"/>
              <w:ind w:right="5"/>
              <w:spacing w:after="0" w:line="132" w:lineRule="exact"/>
              <w:rPr>
                <w:sz w:val="20"/>
                <w:szCs w:val="20"/>
                <w:color w:val="auto"/>
              </w:rPr>
            </w:pPr>
            <w:r>
              <w:rPr>
                <w:rFonts w:ascii="Arial" w:cs="Arial" w:eastAsia="Arial" w:hAnsi="Arial"/>
                <w:sz w:val="13"/>
                <w:szCs w:val="13"/>
                <w:b w:val="1"/>
                <w:bCs w:val="1"/>
                <w:color w:val="auto"/>
                <w:w w:val="89"/>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3"/>
            <w:vMerge w:val="restart"/>
          </w:tcPr>
          <w:p>
            <w:pPr>
              <w:jc w:val="right"/>
              <w:ind w:right="428"/>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5"/>
              <w:spacing w:after="0" w:line="112" w:lineRule="exact"/>
              <w:rPr>
                <w:sz w:val="20"/>
                <w:szCs w:val="20"/>
                <w:color w:val="auto"/>
              </w:rPr>
            </w:pPr>
            <w:r>
              <w:rPr>
                <w:rFonts w:ascii="Arial" w:cs="Arial" w:eastAsia="Arial" w:hAnsi="Arial"/>
                <w:sz w:val="12"/>
                <w:szCs w:val="12"/>
                <w:b w:val="1"/>
                <w:bCs w:val="1"/>
                <w:color w:val="auto"/>
              </w:rPr>
              <w:t>(unaudited, in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millions)</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700" w:type="dxa"/>
            <w:vAlign w:val="bottom"/>
            <w:shd w:val="clear" w:color="auto" w:fill="CCEEFF"/>
          </w:tcPr>
          <w:p>
            <w:pPr>
              <w:jc w:val="right"/>
              <w:ind w:right="549"/>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7"/>
                <w:szCs w:val="17"/>
                <w:color w:val="auto"/>
              </w:rPr>
              <w:t>Canada</w:t>
            </w:r>
          </w:p>
        </w:tc>
        <w:tc>
          <w:tcPr>
            <w:tcW w:w="7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680"/>
              <w:spacing w:after="0"/>
              <w:rPr>
                <w:sz w:val="20"/>
                <w:szCs w:val="20"/>
                <w:color w:val="auto"/>
              </w:rPr>
            </w:pPr>
            <w:r>
              <w:rPr>
                <w:rFonts w:ascii="Arial" w:cs="Arial" w:eastAsia="Arial" w:hAnsi="Arial"/>
                <w:sz w:val="17"/>
                <w:szCs w:val="17"/>
                <w:color w:val="auto"/>
              </w:rPr>
              <w:t>Total long-lived assets, net</w:t>
            </w: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vMerge w:val="continue"/>
          </w:tcPr>
          <w:p>
            <w:pPr>
              <w:spacing w:after="0"/>
              <w:rPr>
                <w:sz w:val="18"/>
                <w:szCs w:val="18"/>
                <w:color w:val="auto"/>
              </w:rPr>
            </w:pPr>
          </w:p>
        </w:tc>
        <w:tc>
          <w:tcPr>
            <w:tcW w:w="700" w:type="dxa"/>
            <w:vAlign w:val="bottom"/>
          </w:tcPr>
          <w:p>
            <w:pPr>
              <w:jc w:val="right"/>
              <w:ind w:right="549"/>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73</w:t>
            </w:r>
          </w:p>
        </w:tc>
        <w:tc>
          <w:tcPr>
            <w:tcW w:w="28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480"/>
        <w:spacing w:after="0" w:line="272" w:lineRule="auto"/>
        <w:rPr>
          <w:sz w:val="20"/>
          <w:szCs w:val="20"/>
          <w:color w:val="auto"/>
        </w:rPr>
      </w:pPr>
      <w:r>
        <w:rPr>
          <w:rFonts w:ascii="Arial" w:cs="Arial" w:eastAsia="Arial" w:hAnsi="Arial"/>
          <w:sz w:val="17"/>
          <w:szCs w:val="17"/>
          <w:color w:val="auto"/>
        </w:rPr>
        <w:t>Long-lived assets consist of property and equipment, net and operating lease right-of-use assets. Long-lived assets attributed to the United States, Canada, and other international geographies are based on the country in which the asset is located.</w:t>
      </w:r>
    </w:p>
    <w:p>
      <w:pPr>
        <w:spacing w:after="0" w:line="262" w:lineRule="exact"/>
        <w:rPr>
          <w:sz w:val="20"/>
          <w:szCs w:val="20"/>
          <w:color w:val="auto"/>
        </w:rPr>
      </w:pPr>
    </w:p>
    <w:p>
      <w:pPr>
        <w:ind w:left="800" w:hanging="343"/>
        <w:spacing w:after="0"/>
        <w:tabs>
          <w:tab w:leader="none" w:pos="800"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CaterXpress Pty. Ltd. DBA FoodStorm</w:t>
      </w:r>
    </w:p>
    <w:p>
      <w:pPr>
        <w:spacing w:after="0" w:line="108" w:lineRule="exact"/>
        <w:rPr>
          <w:sz w:val="20"/>
          <w:szCs w:val="20"/>
          <w:color w:val="auto"/>
        </w:rPr>
      </w:pPr>
    </w:p>
    <w:p>
      <w:pPr>
        <w:ind w:left="460" w:right="420"/>
        <w:spacing w:after="0" w:line="260" w:lineRule="auto"/>
        <w:rPr>
          <w:sz w:val="20"/>
          <w:szCs w:val="20"/>
          <w:color w:val="auto"/>
        </w:rPr>
      </w:pPr>
      <w:r>
        <w:rPr>
          <w:rFonts w:ascii="Arial" w:cs="Arial" w:eastAsia="Arial" w:hAnsi="Arial"/>
          <w:sz w:val="17"/>
          <w:szCs w:val="17"/>
          <w:color w:val="auto"/>
        </w:rPr>
        <w:t>On August 24, 2021, pursuant to a share purchase agreement, the Company acquired a 100% ownership interest in CaterXpress Pty. Ltd. DBA FoodStorm, a software company based in Australia. The purpose of the acquisition is to enhance the Company’s software-as-a-service offerings to retailers.</w:t>
      </w:r>
    </w:p>
    <w:p>
      <w:pPr>
        <w:spacing w:after="0" w:line="175"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The fair value of the purchase consideration was $24 million, consisting of $17 million in cash and 60,128 shares of the Company’s non-voting common stock with an aggregate fair value of $7 million. In addition, the Company issued 11,967 shares of its non-voting common stock with an aggregate fair value of $1 million, which are subject to continuous employment and were recognized as post-combination compensation expense over the requisite service period.</w:t>
      </w:r>
    </w:p>
    <w:p>
      <w:pPr>
        <w:spacing w:after="0" w:line="179" w:lineRule="exact"/>
        <w:rPr>
          <w:sz w:val="20"/>
          <w:szCs w:val="20"/>
          <w:color w:val="auto"/>
        </w:rPr>
      </w:pPr>
    </w:p>
    <w:p>
      <w:pPr>
        <w:jc w:val="both"/>
        <w:ind w:left="460" w:right="80"/>
        <w:spacing w:after="0" w:line="284" w:lineRule="auto"/>
        <w:rPr>
          <w:sz w:val="20"/>
          <w:szCs w:val="20"/>
          <w:color w:val="auto"/>
        </w:rPr>
      </w:pPr>
      <w:r>
        <w:rPr>
          <w:rFonts w:ascii="Arial" w:cs="Arial" w:eastAsia="Arial" w:hAnsi="Arial"/>
          <w:sz w:val="16"/>
          <w:szCs w:val="16"/>
          <w:color w:val="auto"/>
        </w:rPr>
        <w:t>The Company has accounted for this acquisition as a business combination. The fair value of the identified assets acquired and liabilities assumed as of the date of acquisition primarily consisted of $17 million of intangible assets and $7 million of goodwill. Other identified assets acquired and liabilities assumed were not material. Acquisition related costs were expensed as incurred and were not material.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fair value of identified intangible assets and their respective useful lives as at the time of acquisition were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2"/>
              </w:rPr>
              <w:t>Average Useful</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Life</w:t>
            </w: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660" w:type="dxa"/>
            <w:vAlign w:val="bottom"/>
          </w:tcPr>
          <w:p>
            <w:pPr>
              <w:spacing w:after="0"/>
              <w:rPr>
                <w:sz w:val="11"/>
                <w:szCs w:val="11"/>
                <w:color w:val="auto"/>
              </w:rPr>
            </w:pPr>
          </w:p>
        </w:tc>
        <w:tc>
          <w:tcPr>
            <w:tcW w:w="8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680" w:type="dxa"/>
            <w:vAlign w:val="bottom"/>
            <w:gridSpan w:val="2"/>
            <w:shd w:val="clear" w:color="auto" w:fill="CCEEFF"/>
          </w:tcPr>
          <w:p>
            <w:pPr>
              <w:ind w:left="2580"/>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6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intangible assets</w:t>
            </w:r>
          </w:p>
        </w:tc>
        <w:tc>
          <w:tcPr>
            <w:tcW w:w="2680" w:type="dxa"/>
            <w:vAlign w:val="bottom"/>
            <w:gridSpan w:val="2"/>
            <w:shd w:val="clear" w:color="auto" w:fill="CCEEFF"/>
          </w:tcPr>
          <w:p>
            <w:pPr>
              <w:ind w:left="2580"/>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17</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960" w:type="dxa"/>
            <w:vAlign w:val="bottom"/>
          </w:tcPr>
          <w:p>
            <w:pPr>
              <w:spacing w:after="0"/>
              <w:rPr>
                <w:sz w:val="24"/>
                <w:szCs w:val="24"/>
                <w:color w:val="auto"/>
              </w:rPr>
            </w:pPr>
          </w:p>
        </w:tc>
        <w:tc>
          <w:tcPr>
            <w:tcW w:w="2680" w:type="dxa"/>
            <w:vAlign w:val="bottom"/>
            <w:gridSpan w:val="2"/>
          </w:tcPr>
          <w:p>
            <w:pPr>
              <w:ind w:left="800"/>
              <w:spacing w:after="0"/>
              <w:rPr>
                <w:sz w:val="20"/>
                <w:szCs w:val="20"/>
                <w:color w:val="auto"/>
              </w:rPr>
            </w:pPr>
            <w:r>
              <w:rPr>
                <w:rFonts w:ascii="Arial" w:cs="Arial" w:eastAsia="Arial" w:hAnsi="Arial"/>
                <w:sz w:val="17"/>
                <w:szCs w:val="17"/>
                <w:color w:val="auto"/>
              </w:rPr>
              <w:t>F-37</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0" w:right="819" w:bottom="1440" w:gutter="0" w:footer="0" w:header="0"/>
        </w:sectPr>
      </w:pPr>
    </w:p>
    <w:bookmarkStart w:id="349" w:name="page350"/>
    <w:bookmarkEnd w:id="3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In addition, the Company acquired trademarks with an estimated useful life of five years that were not material. The overall weighted-average useful life of the identified amortizable intangible assets at the time of acquisition was three years.</w:t>
      </w:r>
    </w:p>
    <w:p>
      <w:pPr>
        <w:spacing w:after="0" w:line="165"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value of synergies and monetization opportunities from the Company’s current and future offerings and the value of the assembled workforce. Goodwill recognized from the acquisition is not deductible for tax purposes.</w:t>
      </w:r>
    </w:p>
    <w:p>
      <w:pPr>
        <w:spacing w:after="0" w:line="179" w:lineRule="exact"/>
        <w:rPr>
          <w:sz w:val="20"/>
          <w:szCs w:val="20"/>
          <w:color w:val="auto"/>
        </w:rPr>
      </w:pPr>
    </w:p>
    <w:p>
      <w:pPr>
        <w:ind w:left="460"/>
        <w:spacing w:after="0" w:line="311" w:lineRule="auto"/>
        <w:rPr>
          <w:sz w:val="20"/>
          <w:szCs w:val="20"/>
          <w:color w:val="auto"/>
        </w:rPr>
      </w:pPr>
      <w:r>
        <w:rPr>
          <w:rFonts w:ascii="Arial" w:cs="Arial" w:eastAsia="Arial" w:hAnsi="Arial"/>
          <w:sz w:val="15"/>
          <w:szCs w:val="15"/>
          <w:color w:val="auto"/>
        </w:rPr>
        <w:t>The Company determined the estimated fair value of the developed technology and customer relationships acquired by using the replacement cost approach, which is based on the cost of a market participant to reconstruct a substitute asset of comparable utility. Management applied judgment in determining the fair value of intangible assets, which involved the use of estimates and assumptions including costs anticipated to recreate similar assets.</w:t>
      </w:r>
    </w:p>
    <w:p>
      <w:pPr>
        <w:spacing w:after="0" w:line="140" w:lineRule="exact"/>
        <w:rPr>
          <w:sz w:val="20"/>
          <w:szCs w:val="20"/>
          <w:color w:val="auto"/>
        </w:rPr>
      </w:pPr>
    </w:p>
    <w:p>
      <w:pPr>
        <w:ind w:left="460" w:right="740"/>
        <w:spacing w:after="0" w:line="272" w:lineRule="auto"/>
        <w:rPr>
          <w:sz w:val="20"/>
          <w:szCs w:val="20"/>
          <w:color w:val="auto"/>
        </w:rPr>
      </w:pPr>
      <w:r>
        <w:rPr>
          <w:rFonts w:ascii="Arial" w:cs="Arial" w:eastAsia="Arial" w:hAnsi="Arial"/>
          <w:sz w:val="17"/>
          <w:szCs w:val="17"/>
          <w:color w:val="auto"/>
        </w:rPr>
        <w:t>The results of operations of the business combination have been included in the Company’s consolidated financial statements from the date of acquisition.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SBOT Technologies Inc. DBA Caper</w:t>
      </w:r>
    </w:p>
    <w:p>
      <w:pPr>
        <w:spacing w:after="0" w:line="108" w:lineRule="exact"/>
        <w:rPr>
          <w:sz w:val="20"/>
          <w:szCs w:val="20"/>
          <w:color w:val="auto"/>
        </w:rPr>
      </w:pPr>
    </w:p>
    <w:p>
      <w:pPr>
        <w:ind w:left="460" w:right="500"/>
        <w:spacing w:after="0" w:line="260" w:lineRule="auto"/>
        <w:rPr>
          <w:sz w:val="20"/>
          <w:szCs w:val="20"/>
          <w:color w:val="auto"/>
        </w:rPr>
      </w:pPr>
      <w:r>
        <w:rPr>
          <w:rFonts w:ascii="Arial" w:cs="Arial" w:eastAsia="Arial" w:hAnsi="Arial"/>
          <w:sz w:val="17"/>
          <w:szCs w:val="17"/>
          <w:color w:val="auto"/>
        </w:rPr>
        <w:t>On October 15, 2021, pursuant to a merger agreement, the Company acquired a 100% ownership interest in SBOT Technologies Inc. DBA Caper (“Caper”), a technology-enabled shopping cart and checkout platform based in the United States. The purpose of the acquisition is to enable the Company to provide a unified online and in-store commerce solution for retailers.</w:t>
      </w:r>
    </w:p>
    <w:p>
      <w:pPr>
        <w:spacing w:after="0" w:line="175" w:lineRule="exact"/>
        <w:rPr>
          <w:sz w:val="20"/>
          <w:szCs w:val="20"/>
          <w:color w:val="auto"/>
        </w:rPr>
      </w:pPr>
    </w:p>
    <w:p>
      <w:pPr>
        <w:ind w:left="460" w:right="40"/>
        <w:spacing w:after="0" w:line="256" w:lineRule="auto"/>
        <w:rPr>
          <w:sz w:val="20"/>
          <w:szCs w:val="20"/>
          <w:color w:val="auto"/>
        </w:rPr>
      </w:pPr>
      <w:r>
        <w:rPr>
          <w:rFonts w:ascii="Arial" w:cs="Arial" w:eastAsia="Arial" w:hAnsi="Arial"/>
          <w:sz w:val="17"/>
          <w:szCs w:val="17"/>
          <w:color w:val="auto"/>
        </w:rPr>
        <w:t>The fair value of the purchase consideration was $287 million, consisting of $39 million in cash and 2,044,937 shares of the Company’s non-voting common stock with an aggregate fair value of $248 million. The Company issued 256,563 shares of its non-voting common stock with an aggregate fair value of $31 million, which are subject to continuous employment and will be recognized as post-combination compensation expense over the requisite service period.</w:t>
      </w:r>
    </w:p>
    <w:p>
      <w:pPr>
        <w:spacing w:after="0" w:line="179" w:lineRule="exact"/>
        <w:rPr>
          <w:sz w:val="20"/>
          <w:szCs w:val="20"/>
          <w:color w:val="auto"/>
        </w:rPr>
      </w:pPr>
    </w:p>
    <w:p>
      <w:pPr>
        <w:ind w:left="460" w:right="100"/>
        <w:spacing w:after="0" w:line="291" w:lineRule="auto"/>
        <w:rPr>
          <w:sz w:val="20"/>
          <w:szCs w:val="20"/>
          <w:color w:val="auto"/>
        </w:rPr>
      </w:pPr>
      <w:r>
        <w:rPr>
          <w:rFonts w:ascii="Arial" w:cs="Arial" w:eastAsia="Arial" w:hAnsi="Arial"/>
          <w:sz w:val="15"/>
          <w:szCs w:val="15"/>
          <w:color w:val="auto"/>
        </w:rPr>
        <w:t>In addition, the Company issued RSUs with respect to 181,444 shares of the Company’s non-voting common stock as a replacement for Caper stock options to certain continuing employees. The fair value of the replacement RSUs was $22 million and will vest upon satisfaction of both service-based and performance-based vesting conditions. The service-based vesting condition is satisfied over a period of four years. The performance-based vesting condition will be satisfied upon a qualifying liquidity event defined as the earlier of a change of control or the effective date of a registration statement filed under the Securities Act for an initial public offering of the Company’s common stock. The replacement RSUs attributable to post-combination service are included in the RSU activity presented within Note 12—Stockholders’ Equity (Deficit) and will be recognized as stock-based compensation expense on the accelerated attribution method only if performance-based vesting conditions are considered probable to be satisfied.</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780"/>
          </w:cols>
          <w:pgMar w:left="320" w:top="440" w:right="799"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540"/>
        <w:spacing w:after="0" w:line="272" w:lineRule="auto"/>
        <w:rPr>
          <w:sz w:val="20"/>
          <w:szCs w:val="20"/>
          <w:color w:val="auto"/>
        </w:rPr>
      </w:pPr>
      <w:r>
        <w:rPr>
          <w:rFonts w:ascii="Arial" w:cs="Arial" w:eastAsia="Arial" w:hAnsi="Arial"/>
          <w:sz w:val="17"/>
          <w:szCs w:val="17"/>
          <w:color w:val="auto"/>
        </w:rPr>
        <w:t>The Company has accounted for this acquisition as a business combination. The following table summarizes the fair value of assets acquired and liabilities assumed as of the date of acquisition:</w:t>
      </w:r>
    </w:p>
    <w:p>
      <w:pPr>
        <w:spacing w:after="0" w:line="182"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4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r>
      <w:tr>
        <w:trPr>
          <w:trHeight w:val="132"/>
        </w:trPr>
        <w:tc>
          <w:tcPr>
            <w:tcW w:w="4140" w:type="dxa"/>
            <w:vAlign w:val="bottom"/>
            <w:tcBorders>
              <w:bottom w:val="single" w:sz="8" w:color="CCEEFF"/>
            </w:tcBorders>
          </w:tcPr>
          <w:p>
            <w:pPr>
              <w:spacing w:after="0"/>
              <w:rPr>
                <w:sz w:val="11"/>
                <w:szCs w:val="11"/>
                <w:color w:val="auto"/>
              </w:rPr>
            </w:pPr>
          </w:p>
        </w:tc>
        <w:tc>
          <w:tcPr>
            <w:tcW w:w="208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93"/>
              </w:rPr>
              <w:t>(in millions)</w:t>
            </w:r>
          </w:p>
        </w:tc>
        <w:tc>
          <w:tcPr>
            <w:tcW w:w="100" w:type="dxa"/>
            <w:vAlign w:val="bottom"/>
            <w:tcBorders>
              <w:bottom w:val="single" w:sz="8" w:color="CCEEFF"/>
            </w:tcBorders>
          </w:tcPr>
          <w:p>
            <w:pPr>
              <w:spacing w:after="0"/>
              <w:rPr>
                <w:sz w:val="11"/>
                <w:szCs w:val="11"/>
                <w:color w:val="auto"/>
              </w:rPr>
            </w:pPr>
          </w:p>
        </w:tc>
      </w:tr>
      <w:tr>
        <w:trPr>
          <w:trHeight w:val="195"/>
        </w:trPr>
        <w:tc>
          <w:tcPr>
            <w:tcW w:w="4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 assets</w:t>
            </w:r>
          </w:p>
        </w:tc>
        <w:tc>
          <w:tcPr>
            <w:tcW w:w="2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6"/>
                <w:szCs w:val="16"/>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7"/>
                <w:szCs w:val="17"/>
                <w:color w:val="auto"/>
              </w:rPr>
              <w:t>Goodwill</w:t>
            </w: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245</w:t>
            </w: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r>
      <w:tr>
        <w:trPr>
          <w:trHeight w:val="208"/>
        </w:trPr>
        <w:tc>
          <w:tcPr>
            <w:tcW w:w="414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r>
      <w:tr>
        <w:trPr>
          <w:trHeight w:val="203"/>
        </w:trPr>
        <w:tc>
          <w:tcPr>
            <w:tcW w:w="4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assets acquired</w:t>
            </w:r>
          </w:p>
        </w:tc>
        <w:tc>
          <w:tcPr>
            <w:tcW w:w="20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7"/>
                <w:szCs w:val="17"/>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7"/>
                <w:szCs w:val="17"/>
                <w:color w:val="auto"/>
              </w:rPr>
              <w:t>Total liabilities assumed</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6"/>
        </w:trPr>
        <w:tc>
          <w:tcPr>
            <w:tcW w:w="4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assets acquired</w:t>
            </w:r>
          </w:p>
        </w:tc>
        <w:tc>
          <w:tcPr>
            <w:tcW w:w="2340" w:type="dxa"/>
            <w:vAlign w:val="bottom"/>
            <w:gridSpan w:val="2"/>
            <w:shd w:val="clear" w:color="auto" w:fill="CCEEFF"/>
          </w:tcPr>
          <w:p>
            <w:pPr>
              <w:ind w:left="20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w:t>
            </w:r>
          </w:p>
        </w:tc>
      </w:tr>
      <w:tr>
        <w:trPr>
          <w:trHeight w:val="20"/>
        </w:trPr>
        <w:tc>
          <w:tcPr>
            <w:tcW w:w="4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color w:val="auto"/>
        </w:rPr>
        <w:t>Acquisition related costs were expensed as incurred and were not material. The fair value of identified intangible assets and their respective useful lives as at the time of acquisition were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2"/>
              </w:rPr>
              <w:t>Average Useful</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Life</w:t>
            </w:r>
          </w:p>
        </w:tc>
        <w:tc>
          <w:tcPr>
            <w:tcW w:w="0" w:type="dxa"/>
            <w:vAlign w:val="bottom"/>
          </w:tcPr>
          <w:p>
            <w:pPr>
              <w:spacing w:after="0"/>
              <w:rPr>
                <w:sz w:val="1"/>
                <w:szCs w:val="1"/>
                <w:color w:val="auto"/>
              </w:rPr>
            </w:pPr>
          </w:p>
        </w:tc>
      </w:tr>
      <w:tr>
        <w:trPr>
          <w:trHeight w:val="132"/>
        </w:trPr>
        <w:tc>
          <w:tcPr>
            <w:tcW w:w="5420" w:type="dxa"/>
            <w:vAlign w:val="bottom"/>
          </w:tcPr>
          <w:p>
            <w:pPr>
              <w:spacing w:after="0"/>
              <w:rPr>
                <w:sz w:val="11"/>
                <w:szCs w:val="11"/>
                <w:color w:val="auto"/>
              </w:rPr>
            </w:pPr>
          </w:p>
        </w:tc>
        <w:tc>
          <w:tcPr>
            <w:tcW w:w="70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93"/>
              </w:rPr>
              <w:t>(in millions)</w:t>
            </w:r>
          </w:p>
        </w:tc>
        <w:tc>
          <w:tcPr>
            <w:tcW w:w="800" w:type="dxa"/>
            <w:vAlign w:val="bottom"/>
          </w:tcPr>
          <w:p>
            <w:pPr>
              <w:spacing w:after="0"/>
              <w:rPr>
                <w:sz w:val="11"/>
                <w:szCs w:val="11"/>
                <w:color w:val="auto"/>
              </w:rPr>
            </w:pPr>
          </w:p>
        </w:tc>
        <w:tc>
          <w:tcPr>
            <w:tcW w:w="8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7"/>
                <w:szCs w:val="17"/>
                <w:color w:val="auto"/>
              </w:rPr>
              <w:t>1</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intangible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overall weighted-average useful life of the identified amortizable intangible assets at the time of acquisition was five years.</w:t>
      </w:r>
    </w:p>
    <w:p>
      <w:pPr>
        <w:spacing w:after="0" w:line="210"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spacing w:after="0" w:line="179" w:lineRule="exact"/>
        <w:rPr>
          <w:sz w:val="20"/>
          <w:szCs w:val="20"/>
          <w:color w:val="auto"/>
        </w:rPr>
      </w:pPr>
    </w:p>
    <w:p>
      <w:pPr>
        <w:ind w:left="460" w:right="140"/>
        <w:spacing w:after="0" w:line="256" w:lineRule="auto"/>
        <w:rPr>
          <w:sz w:val="20"/>
          <w:szCs w:val="20"/>
          <w:color w:val="auto"/>
        </w:rPr>
      </w:pPr>
      <w:r>
        <w:rPr>
          <w:rFonts w:ascii="Arial" w:cs="Arial" w:eastAsia="Arial" w:hAnsi="Arial"/>
          <w:sz w:val="17"/>
          <w:szCs w:val="17"/>
          <w:color w:val="auto"/>
        </w:rPr>
        <w:t>The Company determined the estimated fair value of the developed technology and customer relationships acquired by using the replacement cost approach, which is based on the cost of a market participant to reconstruct a substitute asset of comparable utility. Management applied significant judgment in determining the fair value of intangible assets, which involved the use of estimates and assumptions including costs anticipated to recreate similar assets.</w:t>
      </w:r>
    </w:p>
    <w:p>
      <w:pPr>
        <w:spacing w:after="0" w:line="179" w:lineRule="exact"/>
        <w:rPr>
          <w:sz w:val="20"/>
          <w:szCs w:val="20"/>
          <w:color w:val="auto"/>
        </w:rPr>
      </w:pPr>
    </w:p>
    <w:p>
      <w:pPr>
        <w:ind w:left="460" w:right="740"/>
        <w:spacing w:after="0" w:line="272" w:lineRule="auto"/>
        <w:rPr>
          <w:sz w:val="20"/>
          <w:szCs w:val="20"/>
          <w:color w:val="auto"/>
        </w:rPr>
      </w:pPr>
      <w:r>
        <w:rPr>
          <w:rFonts w:ascii="Arial" w:cs="Arial" w:eastAsia="Arial" w:hAnsi="Arial"/>
          <w:sz w:val="17"/>
          <w:szCs w:val="17"/>
          <w:color w:val="auto"/>
        </w:rPr>
        <w:t>The results of operations of the business combination have been included in the Company’s consolidated financial statements from the date of acquisition.</w:t>
      </w:r>
    </w:p>
    <w:p>
      <w:pPr>
        <w:spacing w:after="0" w:line="165" w:lineRule="exact"/>
        <w:rPr>
          <w:sz w:val="20"/>
          <w:szCs w:val="20"/>
          <w:color w:val="auto"/>
        </w:rPr>
      </w:pPr>
    </w:p>
    <w:p>
      <w:pPr>
        <w:ind w:left="460" w:right="320"/>
        <w:spacing w:after="0" w:line="272" w:lineRule="auto"/>
        <w:rPr>
          <w:sz w:val="20"/>
          <w:szCs w:val="20"/>
          <w:color w:val="auto"/>
        </w:rPr>
      </w:pPr>
      <w:r>
        <w:rPr>
          <w:rFonts w:ascii="Arial" w:cs="Arial" w:eastAsia="Arial" w:hAnsi="Arial"/>
          <w:sz w:val="17"/>
          <w:szCs w:val="17"/>
          <w:color w:val="auto"/>
        </w:rPr>
        <w:t>Pro forma and historical results of operations for acquisitions completed during the year ended December 31, 2021 have not been presented as those were not material to the Company’s consolidated statements of operations.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780"/>
          </w:cols>
          <w:pgMar w:left="320" w:top="440" w:right="799" w:bottom="1440" w:gutter="0" w:footer="0" w:header="0"/>
        </w:sectPr>
      </w:pPr>
    </w:p>
    <w:bookmarkStart w:id="351" w:name="page352"/>
    <w:bookmarkEnd w:id="3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Eversight, Inc.</w:t>
      </w:r>
    </w:p>
    <w:p>
      <w:pPr>
        <w:spacing w:after="0" w:line="108"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color w:val="auto"/>
        </w:rPr>
        <w:t>On August 31, 2022, pursuant to a merger agreement, the Company acquired a 100% ownership interest in Eversight, Inc. (“Eversight”), a pricing and promotions platform for the grocery industry, based in the United States. The purpose of the acquisition is to enable the Company to provide a pricing-as-a-service solution for retailers and consumer packaged goods companies.</w:t>
      </w:r>
    </w:p>
    <w:p>
      <w:pPr>
        <w:spacing w:after="0" w:line="175"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color w:val="auto"/>
        </w:rPr>
        <w:t>The purchase consideration was $59 million in cash. The Company has accounted for this acquisition as a business combination. The following table summarizes the preliminary fair value of assets acquired and liabilities assumed as of the date of acquisition:</w:t>
      </w:r>
    </w:p>
    <w:p>
      <w:pPr>
        <w:spacing w:after="0" w:line="182"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8"/>
              </w:rPr>
              <w:t>Fair value</w:t>
            </w:r>
          </w:p>
        </w:tc>
        <w:tc>
          <w:tcPr>
            <w:tcW w:w="0" w:type="dxa"/>
            <w:vAlign w:val="bottom"/>
          </w:tcPr>
          <w:p>
            <w:pPr>
              <w:spacing w:after="0"/>
              <w:rPr>
                <w:sz w:val="1"/>
                <w:szCs w:val="1"/>
                <w:color w:val="auto"/>
              </w:rPr>
            </w:pPr>
          </w:p>
        </w:tc>
      </w:tr>
      <w:tr>
        <w:trPr>
          <w:trHeight w:val="132"/>
        </w:trPr>
        <w:tc>
          <w:tcPr>
            <w:tcW w:w="6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90"/>
              </w:rPr>
              <w:t>(in millions)</w:t>
            </w:r>
          </w:p>
        </w:tc>
        <w:tc>
          <w:tcPr>
            <w:tcW w:w="10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 assets</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Goodwill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680"/>
              <w:spacing w:after="0"/>
              <w:rPr>
                <w:sz w:val="20"/>
                <w:szCs w:val="20"/>
                <w:color w:val="auto"/>
              </w:rPr>
            </w:pPr>
            <w:r>
              <w:rPr>
                <w:rFonts w:ascii="Arial" w:cs="Arial" w:eastAsia="Arial" w:hAnsi="Arial"/>
                <w:sz w:val="17"/>
                <w:szCs w:val="17"/>
                <w:color w:val="auto"/>
              </w:rPr>
              <w:t>Total assets acquired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680"/>
              <w:spacing w:after="0"/>
              <w:rPr>
                <w:sz w:val="20"/>
                <w:szCs w:val="20"/>
                <w:color w:val="auto"/>
              </w:rPr>
            </w:pPr>
            <w:r>
              <w:rPr>
                <w:rFonts w:ascii="Arial" w:cs="Arial" w:eastAsia="Arial" w:hAnsi="Arial"/>
                <w:sz w:val="17"/>
                <w:szCs w:val="17"/>
                <w:color w:val="auto"/>
              </w:rPr>
              <w:t>Net assets acquired</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Acquisition related costs were expensed as incurred and were not material. The preliminary fair value of identified intangible assets and their respective useful lives as at the time of acquisition were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right"/>
              <w:ind w:right="920"/>
              <w:spacing w:after="0"/>
              <w:rPr>
                <w:sz w:val="20"/>
                <w:szCs w:val="20"/>
                <w:color w:val="auto"/>
              </w:rPr>
            </w:pPr>
            <w:r>
              <w:rPr>
                <w:rFonts w:ascii="Arial" w:cs="Arial" w:eastAsia="Arial" w:hAnsi="Arial"/>
                <w:sz w:val="13"/>
                <w:szCs w:val="13"/>
                <w:b w:val="1"/>
                <w:bCs w:val="1"/>
                <w:color w:val="auto"/>
                <w:w w:val="97"/>
              </w:rPr>
              <w:t>Amount</w:t>
            </w:r>
          </w:p>
        </w:tc>
        <w:tc>
          <w:tcPr>
            <w:tcW w:w="9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2"/>
              </w:rPr>
              <w:t>Average Useful</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Life</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0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93"/>
              </w:rPr>
              <w:t>(in millions)</w:t>
            </w:r>
          </w:p>
        </w:tc>
        <w:tc>
          <w:tcPr>
            <w:tcW w:w="820" w:type="dxa"/>
            <w:vAlign w:val="bottom"/>
          </w:tcPr>
          <w:p>
            <w:pPr>
              <w:spacing w:after="0"/>
              <w:rPr>
                <w:sz w:val="11"/>
                <w:szCs w:val="11"/>
                <w:color w:val="auto"/>
              </w:rPr>
            </w:pPr>
          </w:p>
        </w:tc>
        <w:tc>
          <w:tcPr>
            <w:tcW w:w="8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7"/>
                <w:szCs w:val="17"/>
                <w:color w:val="auto"/>
              </w:rPr>
              <w:t>9</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7"/>
                <w:szCs w:val="17"/>
                <w:color w:val="auto"/>
              </w:rPr>
              <w:t>Non-compete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7"/>
                <w:szCs w:val="17"/>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 assets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overall weighted-average useful life of the identified amortizable intangible assets at the time of acquisition was five years.</w:t>
      </w:r>
    </w:p>
    <w:p>
      <w:pPr>
        <w:spacing w:after="0" w:line="210"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spacing w:after="0" w:line="179" w:lineRule="exact"/>
        <w:rPr>
          <w:sz w:val="20"/>
          <w:szCs w:val="20"/>
          <w:color w:val="auto"/>
        </w:rPr>
      </w:pPr>
    </w:p>
    <w:p>
      <w:pPr>
        <w:ind w:left="460" w:right="60"/>
        <w:spacing w:after="0" w:line="256" w:lineRule="auto"/>
        <w:rPr>
          <w:sz w:val="20"/>
          <w:szCs w:val="20"/>
          <w:color w:val="auto"/>
        </w:rPr>
      </w:pPr>
      <w:r>
        <w:rPr>
          <w:rFonts w:ascii="Arial" w:cs="Arial" w:eastAsia="Arial" w:hAnsi="Arial"/>
          <w:sz w:val="17"/>
          <w:szCs w:val="17"/>
          <w:color w:val="auto"/>
        </w:rPr>
        <w:t>The estimated fair values of the developed technology, customer relationships, trademarks, and non-compete agreements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technology life, customer base and growth rates, royalty rate, obsolescence, and discount rate.</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780"/>
          </w:cols>
          <w:pgMar w:left="320" w:top="440" w:right="799" w:bottom="1440" w:gutter="0" w:footer="0" w:header="0"/>
        </w:sectPr>
      </w:pPr>
    </w:p>
    <w:bookmarkStart w:id="352" w:name="page353"/>
    <w:bookmarkEnd w:id="3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jc w:val="both"/>
        <w:ind w:left="460" w:right="320"/>
        <w:spacing w:after="0" w:line="260" w:lineRule="auto"/>
        <w:rPr>
          <w:sz w:val="20"/>
          <w:szCs w:val="20"/>
          <w:color w:val="auto"/>
        </w:rPr>
      </w:pPr>
      <w:r>
        <w:rPr>
          <w:rFonts w:ascii="Arial" w:cs="Arial" w:eastAsia="Arial" w:hAnsi="Arial"/>
          <w:sz w:val="17"/>
          <w:szCs w:val="17"/>
          <w:color w:val="auto"/>
        </w:rPr>
        <w:t>Preliminary measurements of fair value are subject to change during the measurement period based on the Company’s continuing review of matters related to the acquisition. The Company expects to complete the purchase price allocation as soon as practicable, but no later than one year from the acquisition date.</w:t>
      </w:r>
    </w:p>
    <w:p>
      <w:pPr>
        <w:spacing w:after="0" w:line="175" w:lineRule="exact"/>
        <w:rPr>
          <w:sz w:val="20"/>
          <w:szCs w:val="20"/>
          <w:color w:val="auto"/>
        </w:rPr>
      </w:pPr>
    </w:p>
    <w:p>
      <w:pPr>
        <w:ind w:left="460" w:right="740"/>
        <w:spacing w:after="0" w:line="272" w:lineRule="auto"/>
        <w:rPr>
          <w:sz w:val="20"/>
          <w:szCs w:val="20"/>
          <w:color w:val="auto"/>
        </w:rPr>
      </w:pPr>
      <w:r>
        <w:rPr>
          <w:rFonts w:ascii="Arial" w:cs="Arial" w:eastAsia="Arial" w:hAnsi="Arial"/>
          <w:sz w:val="17"/>
          <w:szCs w:val="17"/>
          <w:color w:val="auto"/>
        </w:rPr>
        <w:t>The results of operations of the business combination have been included in the Company’s consolidated financial statements from the date of acquisition.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Rosie Applications Inc.</w:t>
      </w:r>
    </w:p>
    <w:p>
      <w:pPr>
        <w:spacing w:after="0" w:line="108"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On September 2, 2022, pursuant to a merger agreement, the Company acquired a 100% ownership interest in Rosie Applications Inc. (“Rosie”), a white-label online grocery shopping platform targeted toward local and independent grocers based in the United States. The purpose of the acquisition is to enable the Company to provide an e-commerce and mobile solution for small and midsize business retailers.</w:t>
      </w:r>
    </w:p>
    <w:p>
      <w:pPr>
        <w:spacing w:after="0" w:line="157" w:lineRule="exact"/>
        <w:rPr>
          <w:sz w:val="20"/>
          <w:szCs w:val="20"/>
          <w:color w:val="auto"/>
        </w:rPr>
      </w:pPr>
    </w:p>
    <w:p>
      <w:pPr>
        <w:jc w:val="both"/>
        <w:ind w:left="460" w:right="160"/>
        <w:spacing w:after="0" w:line="311" w:lineRule="auto"/>
        <w:rPr>
          <w:sz w:val="20"/>
          <w:szCs w:val="20"/>
          <w:color w:val="auto"/>
        </w:rPr>
      </w:pPr>
      <w:r>
        <w:rPr>
          <w:rFonts w:ascii="Arial" w:cs="Arial" w:eastAsia="Arial" w:hAnsi="Arial"/>
          <w:sz w:val="15"/>
          <w:szCs w:val="15"/>
          <w:color w:val="auto"/>
        </w:rPr>
        <w:t>The fair value of the purchase consideration was $50 million, consisting of $43 million in cash and $10 million of contingent consideration with a fair value of $7 million. In addition, the Company issued 223,313 shares of its non-voting common stock with an aggregate fair value of $9 million, which are subject to continuous employment and will be recognized as post-combination compensation expense over the requisite service period.</w:t>
      </w:r>
    </w:p>
    <w:p>
      <w:pPr>
        <w:spacing w:after="0" w:line="140" w:lineRule="exact"/>
        <w:rPr>
          <w:sz w:val="20"/>
          <w:szCs w:val="20"/>
          <w:color w:val="auto"/>
        </w:rPr>
      </w:pPr>
    </w:p>
    <w:p>
      <w:pPr>
        <w:ind w:left="460" w:right="20"/>
        <w:spacing w:after="0" w:line="272" w:lineRule="auto"/>
        <w:rPr>
          <w:sz w:val="20"/>
          <w:szCs w:val="20"/>
          <w:color w:val="auto"/>
        </w:rPr>
      </w:pPr>
      <w:r>
        <w:rPr>
          <w:rFonts w:ascii="Arial" w:cs="Arial" w:eastAsia="Arial" w:hAnsi="Arial"/>
          <w:sz w:val="16"/>
          <w:szCs w:val="16"/>
          <w:color w:val="auto"/>
        </w:rPr>
        <w:t>The contingent consideration is based on the achievement of certain performance goals for the year ending December 31, 2023 and is payable only upon the achievement of those goals. As of the acquisition date, the contingent consideration was valued using the income approach with assumptions including revenue projections and probability of achievement through the performance period. The contingent consideration will be remeasured at each reporting period with changes in fair value recorded within sales and marketing expense in the consolidated statements of operations, given that the contingent consideration is dependent on selling-related activities. For the year ended December 31, 2022 and the six months ended June 30, 2023 (unaudited), the change in fair value of the contingent consideration liability was not material.</w:t>
      </w:r>
    </w:p>
    <w:p>
      <w:pPr>
        <w:spacing w:after="0" w:line="167"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 Company has accounted for this acquisition as a business combination. The following table summarizes the preliminary fair value of assets acquired and liabilities assumed as of the date of acquisition:</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Fair value</w:t>
            </w:r>
          </w:p>
        </w:tc>
      </w:tr>
      <w:tr>
        <w:trPr>
          <w:trHeight w:val="160"/>
        </w:trPr>
        <w:tc>
          <w:tcPr>
            <w:tcW w:w="60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(in millions)</w:t>
            </w:r>
          </w:p>
        </w:tc>
      </w:tr>
      <w:tr>
        <w:trPr>
          <w:trHeight w:val="195"/>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7"/>
                <w:szCs w:val="17"/>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7"/>
                <w:szCs w:val="17"/>
                <w:color w:val="auto"/>
              </w:rPr>
            </w:pPr>
          </w:p>
        </w:tc>
      </w:tr>
      <w:tr>
        <w:trPr>
          <w:trHeight w:val="208"/>
        </w:trPr>
        <w:tc>
          <w:tcPr>
            <w:tcW w:w="6080" w:type="dxa"/>
            <w:vAlign w:val="bottom"/>
          </w:tcPr>
          <w:p>
            <w:pPr>
              <w:ind w:left="680"/>
              <w:spacing w:after="0"/>
              <w:rPr>
                <w:sz w:val="20"/>
                <w:szCs w:val="20"/>
                <w:color w:val="auto"/>
              </w:rPr>
            </w:pPr>
            <w:r>
              <w:rPr>
                <w:rFonts w:ascii="Arial" w:cs="Arial" w:eastAsia="Arial" w:hAnsi="Arial"/>
                <w:sz w:val="17"/>
                <w:szCs w:val="17"/>
                <w:color w:val="auto"/>
              </w:rPr>
              <w:t>Total assets acquired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r>
      <w:tr>
        <w:trPr>
          <w:trHeight w:val="208"/>
        </w:trPr>
        <w:tc>
          <w:tcPr>
            <w:tcW w:w="6080" w:type="dxa"/>
            <w:vAlign w:val="bottom"/>
          </w:tcPr>
          <w:p>
            <w:pPr>
              <w:ind w:left="680"/>
              <w:spacing w:after="0"/>
              <w:rPr>
                <w:sz w:val="20"/>
                <w:szCs w:val="20"/>
                <w:color w:val="auto"/>
              </w:rPr>
            </w:pPr>
            <w:r>
              <w:rPr>
                <w:rFonts w:ascii="Arial" w:cs="Arial" w:eastAsia="Arial" w:hAnsi="Arial"/>
                <w:sz w:val="17"/>
                <w:szCs w:val="17"/>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Acquisition related costs were expensed as incurred and were not material. The preliminary fair value of identified intangible assets and their respective useful lives as at the time of acquisition were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880"/>
              <w:spacing w:after="0"/>
              <w:rPr>
                <w:sz w:val="20"/>
                <w:szCs w:val="20"/>
                <w:color w:val="auto"/>
              </w:rPr>
            </w:pPr>
            <w:r>
              <w:rPr>
                <w:rFonts w:ascii="Arial" w:cs="Arial" w:eastAsia="Arial" w:hAnsi="Arial"/>
                <w:sz w:val="13"/>
                <w:szCs w:val="13"/>
                <w:b w:val="1"/>
                <w:bCs w:val="1"/>
                <w:color w:val="auto"/>
                <w:w w:val="93"/>
              </w:rPr>
              <w:t>Amount</w:t>
            </w:r>
          </w:p>
        </w:tc>
        <w:tc>
          <w:tcPr>
            <w:tcW w:w="92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2"/>
              </w:rPr>
              <w:t>Average Useful</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Life</w:t>
            </w: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760" w:type="dxa"/>
            <w:vAlign w:val="bottom"/>
          </w:tcPr>
          <w:p>
            <w:pPr>
              <w:spacing w:after="0"/>
              <w:rPr>
                <w:sz w:val="11"/>
                <w:szCs w:val="11"/>
                <w:color w:val="auto"/>
              </w:rPr>
            </w:pPr>
          </w:p>
        </w:tc>
        <w:tc>
          <w:tcPr>
            <w:tcW w:w="8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7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7"/>
                <w:szCs w:val="17"/>
                <w:color w:val="auto"/>
              </w:rPr>
              <w:t>7</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Trademark</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7"/>
                <w:szCs w:val="17"/>
                <w:color w:val="auto"/>
              </w:rPr>
              <w:t>Non-compete</w:t>
            </w:r>
          </w:p>
        </w:tc>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7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intangible assets</w:t>
            </w:r>
          </w:p>
        </w:tc>
        <w:tc>
          <w:tcPr>
            <w:tcW w:w="2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960" w:type="dxa"/>
            <w:vAlign w:val="bottom"/>
          </w:tcPr>
          <w:p>
            <w:pPr>
              <w:spacing w:after="0"/>
              <w:rPr>
                <w:sz w:val="24"/>
                <w:szCs w:val="24"/>
                <w:color w:val="auto"/>
              </w:rPr>
            </w:pPr>
          </w:p>
        </w:tc>
        <w:tc>
          <w:tcPr>
            <w:tcW w:w="2540" w:type="dxa"/>
            <w:vAlign w:val="bottom"/>
            <w:gridSpan w:val="2"/>
          </w:tcPr>
          <w:p>
            <w:pPr>
              <w:jc w:val="right"/>
              <w:ind w:right="1349"/>
              <w:spacing w:after="0"/>
              <w:rPr>
                <w:sz w:val="20"/>
                <w:szCs w:val="20"/>
                <w:color w:val="auto"/>
              </w:rPr>
            </w:pPr>
            <w:r>
              <w:rPr>
                <w:rFonts w:ascii="Arial" w:cs="Arial" w:eastAsia="Arial" w:hAnsi="Arial"/>
                <w:sz w:val="17"/>
                <w:szCs w:val="17"/>
                <w:color w:val="auto"/>
              </w:rPr>
              <w:t>F-41</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353" w:name="page354"/>
    <w:bookmarkEnd w:id="3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overall weighted-average useful life of the identified amortizable intangible assets at the time of acquisition was five years.</w:t>
      </w:r>
    </w:p>
    <w:p>
      <w:pPr>
        <w:spacing w:after="0" w:line="210"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spacing w:after="0" w:line="179" w:lineRule="exact"/>
        <w:rPr>
          <w:sz w:val="20"/>
          <w:szCs w:val="20"/>
          <w:color w:val="auto"/>
        </w:rPr>
      </w:pPr>
    </w:p>
    <w:p>
      <w:pPr>
        <w:ind w:left="460" w:right="60"/>
        <w:spacing w:after="0" w:line="256" w:lineRule="auto"/>
        <w:rPr>
          <w:sz w:val="20"/>
          <w:szCs w:val="20"/>
          <w:color w:val="auto"/>
        </w:rPr>
      </w:pPr>
      <w:r>
        <w:rPr>
          <w:rFonts w:ascii="Arial" w:cs="Arial" w:eastAsia="Arial" w:hAnsi="Arial"/>
          <w:sz w:val="17"/>
          <w:szCs w:val="17"/>
          <w:color w:val="auto"/>
        </w:rPr>
        <w:t>The estimated fair values of the developed technology, customer relationships, trademark, and non-compete agreements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technology life, customer base and growth rates, royalty rate, obsolescence, and discount rate.</w:t>
      </w:r>
    </w:p>
    <w:p>
      <w:pPr>
        <w:spacing w:after="0" w:line="179" w:lineRule="exact"/>
        <w:rPr>
          <w:sz w:val="20"/>
          <w:szCs w:val="20"/>
          <w:color w:val="auto"/>
        </w:rPr>
      </w:pPr>
    </w:p>
    <w:p>
      <w:pPr>
        <w:jc w:val="both"/>
        <w:ind w:left="460" w:right="320"/>
        <w:spacing w:after="0" w:line="260" w:lineRule="auto"/>
        <w:rPr>
          <w:sz w:val="20"/>
          <w:szCs w:val="20"/>
          <w:color w:val="auto"/>
        </w:rPr>
      </w:pPr>
      <w:r>
        <w:rPr>
          <w:rFonts w:ascii="Arial" w:cs="Arial" w:eastAsia="Arial" w:hAnsi="Arial"/>
          <w:sz w:val="17"/>
          <w:szCs w:val="17"/>
          <w:color w:val="auto"/>
        </w:rPr>
        <w:t>Preliminary measurements of fair value are subject to change during the measurement period based on the Company’s continuing review of matters related to the acquisition. The Company expects to complete the purchase price allocation as soon as practicable, but no later than one year from the acquisition date.</w:t>
      </w:r>
    </w:p>
    <w:p>
      <w:pPr>
        <w:spacing w:after="0" w:line="175" w:lineRule="exact"/>
        <w:rPr>
          <w:sz w:val="20"/>
          <w:szCs w:val="20"/>
          <w:color w:val="auto"/>
        </w:rPr>
      </w:pPr>
    </w:p>
    <w:p>
      <w:pPr>
        <w:ind w:left="460" w:right="740"/>
        <w:spacing w:after="0" w:line="272" w:lineRule="auto"/>
        <w:rPr>
          <w:sz w:val="20"/>
          <w:szCs w:val="20"/>
          <w:color w:val="auto"/>
        </w:rPr>
      </w:pPr>
      <w:r>
        <w:rPr>
          <w:rFonts w:ascii="Arial" w:cs="Arial" w:eastAsia="Arial" w:hAnsi="Arial"/>
          <w:sz w:val="17"/>
          <w:szCs w:val="17"/>
          <w:color w:val="auto"/>
        </w:rPr>
        <w:t>The results of operations of the business combination have been included in the Company’s consolidated financial statements from the date of acquisition.</w:t>
      </w:r>
    </w:p>
    <w:p>
      <w:pPr>
        <w:spacing w:after="0" w:line="165" w:lineRule="exact"/>
        <w:rPr>
          <w:sz w:val="20"/>
          <w:szCs w:val="20"/>
          <w:color w:val="auto"/>
        </w:rPr>
      </w:pPr>
    </w:p>
    <w:p>
      <w:pPr>
        <w:ind w:left="460" w:right="320"/>
        <w:spacing w:after="0" w:line="272" w:lineRule="auto"/>
        <w:rPr>
          <w:sz w:val="20"/>
          <w:szCs w:val="20"/>
          <w:color w:val="auto"/>
        </w:rPr>
      </w:pPr>
      <w:r>
        <w:rPr>
          <w:rFonts w:ascii="Arial" w:cs="Arial" w:eastAsia="Arial" w:hAnsi="Arial"/>
          <w:sz w:val="17"/>
          <w:szCs w:val="17"/>
          <w:color w:val="auto"/>
        </w:rPr>
        <w:t>Pro forma and historical results of operations for acquisitions completed during the year ended December 31, 2022 have not been presented as those were not material to the Company’s consolidated statements of operations.</w:t>
      </w:r>
    </w:p>
    <w:p>
      <w:pPr>
        <w:spacing w:after="0" w:line="262" w:lineRule="exact"/>
        <w:rPr>
          <w:sz w:val="20"/>
          <w:szCs w:val="20"/>
          <w:color w:val="auto"/>
        </w:rPr>
      </w:pPr>
    </w:p>
    <w:p>
      <w:pPr>
        <w:ind w:left="800" w:hanging="343"/>
        <w:spacing w:after="0"/>
        <w:tabs>
          <w:tab w:leader="none" w:pos="80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 Net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Goodwill</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changes in the carrying amount of goodwill for the years ended December 31, 2021 and 2022 and the six months ended June 30, 2023 (unaudited)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were as follows:</w:t>
      </w:r>
    </w:p>
    <w:p>
      <w:pPr>
        <w:spacing w:after="0" w:line="215"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32"/>
        </w:trPr>
        <w:tc>
          <w:tcPr>
            <w:tcW w:w="608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spacing w:after="0" w:line="132" w:lineRule="exact"/>
              <w:rPr>
                <w:sz w:val="20"/>
                <w:szCs w:val="20"/>
                <w:color w:val="auto"/>
              </w:rPr>
            </w:pPr>
            <w:r>
              <w:rPr>
                <w:rFonts w:ascii="Arial" w:cs="Arial" w:eastAsia="Arial" w:hAnsi="Arial"/>
                <w:sz w:val="13"/>
                <w:szCs w:val="13"/>
                <w:b w:val="1"/>
                <w:bCs w:val="1"/>
                <w:color w:val="auto"/>
              </w:rPr>
              <w:t>(in millions)</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as of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Additions related to business acquisitions</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Effect of foreign currency translation</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7"/>
                <w:szCs w:val="17"/>
                <w:color w:val="auto"/>
              </w:rPr>
              <w:t>Balance as of December 31, 2021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Additions related to business acquisitions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7"/>
                <w:szCs w:val="17"/>
                <w:color w:val="auto"/>
              </w:rPr>
              <w:t>Effect of foreign currency translation</w:t>
            </w: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Additions related to business acquisitions (unaudited)</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Effect of foreign currency translation (unaudited)</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7"/>
                <w:szCs w:val="17"/>
                <w:color w:val="auto"/>
              </w:rPr>
              <w:t>Measurement period adjustments (unaudited)</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2023 (unaudited)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3340"/>
              <w:spacing w:after="0"/>
              <w:rPr>
                <w:sz w:val="20"/>
                <w:szCs w:val="20"/>
                <w:color w:val="auto"/>
              </w:rPr>
            </w:pPr>
            <w:r>
              <w:rPr>
                <w:rFonts w:ascii="Arial" w:cs="Arial" w:eastAsia="Arial" w:hAnsi="Arial"/>
                <w:sz w:val="17"/>
                <w:szCs w:val="17"/>
                <w:color w:val="auto"/>
              </w:rPr>
              <w:t>F-42</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354" w:name="page355"/>
    <w:bookmarkEnd w:id="3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Intangible assets, net, resulting from business combinations and asset purchases consisted of the following: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8"/>
          </w:tcPr>
          <w:p>
            <w:pPr>
              <w:ind w:left="140"/>
              <w:spacing w:after="0"/>
              <w:rPr>
                <w:sz w:val="20"/>
                <w:szCs w:val="20"/>
                <w:color w:val="auto"/>
              </w:rPr>
            </w:pPr>
            <w:r>
              <w:rPr>
                <w:rFonts w:ascii="Arial" w:cs="Arial" w:eastAsia="Arial" w:hAnsi="Arial"/>
                <w:sz w:val="13"/>
                <w:szCs w:val="13"/>
                <w:b w:val="1"/>
                <w:bCs w:val="1"/>
                <w:color w:val="auto"/>
              </w:rPr>
              <w:t>As of December 31, 2021</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6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9"/>
                <w:szCs w:val="9"/>
                <w:color w:val="auto"/>
              </w:rPr>
            </w:pPr>
          </w:p>
        </w:tc>
        <w:tc>
          <w:tcPr>
            <w:tcW w:w="1360" w:type="dxa"/>
            <w:vAlign w:val="bottom"/>
            <w:gridSpan w:val="7"/>
            <w:vMerge w:val="restart"/>
          </w:tcPr>
          <w:p>
            <w:pPr>
              <w:jc w:val="right"/>
              <w:ind w:right="5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9"/>
                <w:szCs w:val="9"/>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Net Carrying</w:t>
            </w:r>
          </w:p>
        </w:tc>
        <w:tc>
          <w:tcPr>
            <w:tcW w:w="1060" w:type="dxa"/>
            <w:vAlign w:val="bottom"/>
          </w:tcPr>
          <w:p>
            <w:pPr>
              <w:jc w:val="right"/>
              <w:spacing w:after="0" w:line="112" w:lineRule="exact"/>
              <w:rPr>
                <w:sz w:val="20"/>
                <w:szCs w:val="20"/>
                <w:color w:val="auto"/>
              </w:rPr>
            </w:pPr>
            <w:r>
              <w:rPr>
                <w:rFonts w:ascii="Arial" w:cs="Arial" w:eastAsia="Arial" w:hAnsi="Arial"/>
                <w:sz w:val="12"/>
                <w:szCs w:val="12"/>
                <w:b w:val="1"/>
                <w:bCs w:val="1"/>
                <w:color w:val="auto"/>
                <w:w w:val="98"/>
              </w:rPr>
              <w:t>Weighted-Average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gridSpan w:val="7"/>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12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w w:val="92"/>
              </w:rPr>
              <w:t>Value</w:t>
            </w:r>
          </w:p>
        </w:tc>
        <w:tc>
          <w:tcPr>
            <w:tcW w:w="240" w:type="dxa"/>
            <w:vAlign w:val="bottom"/>
          </w:tcPr>
          <w:p>
            <w:pPr>
              <w:spacing w:after="0"/>
              <w:rPr>
                <w:sz w:val="13"/>
                <w:szCs w:val="13"/>
                <w:color w:val="auto"/>
              </w:rPr>
            </w:pPr>
          </w:p>
        </w:tc>
        <w:tc>
          <w:tcPr>
            <w:tcW w:w="1360" w:type="dxa"/>
            <w:vAlign w:val="bottom"/>
            <w:gridSpan w:val="7"/>
          </w:tcPr>
          <w:p>
            <w:pPr>
              <w:jc w:val="right"/>
              <w:ind w:right="52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Useful Life</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6"/>
          </w:tcPr>
          <w:p>
            <w:pPr>
              <w:spacing w:after="0" w:line="132" w:lineRule="exact"/>
              <w:rPr>
                <w:sz w:val="20"/>
                <w:szCs w:val="20"/>
                <w:color w:val="auto"/>
              </w:rPr>
            </w:pPr>
            <w:r>
              <w:rPr>
                <w:rFonts w:ascii="Arial" w:cs="Arial" w:eastAsia="Arial" w:hAnsi="Arial"/>
                <w:sz w:val="13"/>
                <w:szCs w:val="13"/>
                <w:b w:val="1"/>
                <w:bCs w:val="1"/>
                <w:color w:val="auto"/>
              </w:rPr>
              <w:t>(in millions)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96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8</w:t>
            </w: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340"/>
              <w:spacing w:after="0"/>
              <w:rPr>
                <w:sz w:val="20"/>
                <w:szCs w:val="20"/>
                <w:color w:val="auto"/>
              </w:rPr>
            </w:pPr>
            <w:r>
              <w:rPr>
                <w:rFonts w:ascii="Arial" w:cs="Arial" w:eastAsia="Arial" w:hAnsi="Arial"/>
                <w:sz w:val="17"/>
                <w:szCs w:val="17"/>
                <w:color w:val="auto"/>
              </w:rPr>
              <w:t>Total intangible assets, net</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vMerge w:val="continue"/>
          </w:tcPr>
          <w:p>
            <w:pPr>
              <w:spacing w:after="0"/>
              <w:rPr>
                <w:sz w:val="18"/>
                <w:szCs w:val="18"/>
                <w:color w:val="auto"/>
              </w:rPr>
            </w:pPr>
          </w:p>
        </w:tc>
        <w:tc>
          <w:tcPr>
            <w:tcW w:w="96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68</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w w:val="99"/>
              </w:rPr>
              <w:t>As of December 31, 2022</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restart"/>
          </w:tcPr>
          <w:p>
            <w:pPr>
              <w:jc w:val="right"/>
              <w:ind w:right="44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restart"/>
          </w:tcPr>
          <w:p>
            <w:pPr>
              <w:jc w:val="center"/>
              <w:ind w:right="580"/>
              <w:spacing w:after="0"/>
              <w:rPr>
                <w:sz w:val="20"/>
                <w:szCs w:val="20"/>
                <w:color w:val="auto"/>
              </w:rPr>
            </w:pPr>
            <w:r>
              <w:rPr>
                <w:rFonts w:ascii="Arial" w:cs="Arial" w:eastAsia="Arial" w:hAnsi="Arial"/>
                <w:sz w:val="13"/>
                <w:szCs w:val="13"/>
                <w:b w:val="1"/>
                <w:bCs w:val="1"/>
                <w:color w:val="auto"/>
                <w:w w:val="99"/>
              </w:rPr>
              <w:t>Net Carrying</w:t>
            </w:r>
          </w:p>
        </w:tc>
        <w:tc>
          <w:tcPr>
            <w:tcW w:w="1060" w:type="dxa"/>
            <w:vAlign w:val="bottom"/>
          </w:tcPr>
          <w:p>
            <w:pPr>
              <w:jc w:val="right"/>
              <w:spacing w:after="0" w:line="112" w:lineRule="exact"/>
              <w:rPr>
                <w:sz w:val="20"/>
                <w:szCs w:val="20"/>
                <w:color w:val="auto"/>
              </w:rPr>
            </w:pPr>
            <w:r>
              <w:rPr>
                <w:rFonts w:ascii="Arial" w:cs="Arial" w:eastAsia="Arial" w:hAnsi="Arial"/>
                <w:sz w:val="12"/>
                <w:szCs w:val="12"/>
                <w:b w:val="1"/>
                <w:bCs w:val="1"/>
                <w:color w:val="auto"/>
                <w:w w:val="98"/>
              </w:rPr>
              <w:t>Weighted-Average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12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left="93"/>
              <w:spacing w:after="0"/>
              <w:rPr>
                <w:sz w:val="20"/>
                <w:szCs w:val="20"/>
                <w:color w:val="auto"/>
              </w:rPr>
            </w:pPr>
            <w:r>
              <w:rPr>
                <w:rFonts w:ascii="Arial" w:cs="Arial" w:eastAsia="Arial" w:hAnsi="Arial"/>
                <w:sz w:val="13"/>
                <w:szCs w:val="13"/>
                <w:b w:val="1"/>
                <w:bCs w:val="1"/>
                <w:color w:val="auto"/>
                <w:w w:val="97"/>
              </w:rPr>
              <w:t>Value</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Useful Life</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6"/>
          </w:tcPr>
          <w:p>
            <w:pPr>
              <w:jc w:val="right"/>
              <w:ind w:right="520"/>
              <w:spacing w:after="0" w:line="132" w:lineRule="exact"/>
              <w:rPr>
                <w:sz w:val="20"/>
                <w:szCs w:val="20"/>
                <w:color w:val="auto"/>
              </w:rPr>
            </w:pPr>
            <w:r>
              <w:rPr>
                <w:rFonts w:ascii="Arial" w:cs="Arial" w:eastAsia="Arial" w:hAnsi="Arial"/>
                <w:sz w:val="13"/>
                <w:szCs w:val="13"/>
                <w:b w:val="1"/>
                <w:bCs w:val="1"/>
                <w:color w:val="auto"/>
                <w:w w:val="98"/>
              </w:rPr>
              <w:t>(in millions)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08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2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 assets, net</w:t>
            </w:r>
          </w:p>
        </w:tc>
        <w:tc>
          <w:tcPr>
            <w:tcW w:w="108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138</w:t>
            </w: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2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103</w:t>
            </w: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ind w:left="400"/>
              <w:spacing w:after="0"/>
              <w:rPr>
                <w:sz w:val="20"/>
                <w:szCs w:val="20"/>
                <w:color w:val="auto"/>
              </w:rPr>
            </w:pPr>
            <w:r>
              <w:rPr>
                <w:rFonts w:ascii="Arial" w:cs="Arial" w:eastAsia="Arial" w:hAnsi="Arial"/>
                <w:sz w:val="13"/>
                <w:szCs w:val="13"/>
                <w:b w:val="1"/>
                <w:bCs w:val="1"/>
                <w:color w:val="auto"/>
              </w:rPr>
              <w:t>As of June 30, 2023</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5"/>
            <w:vMerge w:val="restart"/>
          </w:tcPr>
          <w:p>
            <w:pPr>
              <w:jc w:val="right"/>
              <w:ind w:right="34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Net Carrying</w:t>
            </w:r>
          </w:p>
        </w:tc>
        <w:tc>
          <w:tcPr>
            <w:tcW w:w="1060" w:type="dxa"/>
            <w:vAlign w:val="bottom"/>
          </w:tcPr>
          <w:p>
            <w:pPr>
              <w:jc w:val="right"/>
              <w:spacing w:after="0" w:line="112" w:lineRule="exact"/>
              <w:rPr>
                <w:sz w:val="20"/>
                <w:szCs w:val="20"/>
                <w:color w:val="auto"/>
              </w:rPr>
            </w:pPr>
            <w:r>
              <w:rPr>
                <w:rFonts w:ascii="Arial" w:cs="Arial" w:eastAsia="Arial" w:hAnsi="Arial"/>
                <w:sz w:val="12"/>
                <w:szCs w:val="12"/>
                <w:b w:val="1"/>
                <w:bCs w:val="1"/>
                <w:color w:val="auto"/>
                <w:w w:val="98"/>
              </w:rPr>
              <w:t>Weighted-Average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2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Value</w:t>
            </w:r>
          </w:p>
        </w:tc>
        <w:tc>
          <w:tcPr>
            <w:tcW w:w="11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Useful Life</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8"/>
          </w:tcPr>
          <w:p>
            <w:pPr>
              <w:jc w:val="right"/>
              <w:ind w:right="120"/>
              <w:spacing w:after="0" w:line="132" w:lineRule="exact"/>
              <w:rPr>
                <w:sz w:val="20"/>
                <w:szCs w:val="20"/>
                <w:color w:val="auto"/>
              </w:rPr>
            </w:pPr>
            <w:r>
              <w:rPr>
                <w:rFonts w:ascii="Arial" w:cs="Arial" w:eastAsia="Arial" w:hAnsi="Arial"/>
                <w:sz w:val="13"/>
                <w:szCs w:val="13"/>
                <w:b w:val="1"/>
                <w:bCs w:val="1"/>
                <w:color w:val="auto"/>
              </w:rPr>
              <w:t>(unaudited, in millions)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years)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160" w:type="dxa"/>
            <w:vAlign w:val="bottom"/>
            <w:gridSpan w:val="4"/>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c>
          <w:tcPr>
            <w:tcW w:w="660" w:type="dxa"/>
            <w:vAlign w:val="bottom"/>
            <w:gridSpan w:val="4"/>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7"/>
                <w:szCs w:val="17"/>
                <w:color w:val="auto"/>
              </w:rPr>
              <w:t>6</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 assets, net</w:t>
            </w:r>
          </w:p>
        </w:tc>
        <w:tc>
          <w:tcPr>
            <w:tcW w:w="1160" w:type="dxa"/>
            <w:vAlign w:val="bottom"/>
            <w:gridSpan w:val="4"/>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137</w:t>
            </w:r>
          </w:p>
        </w:tc>
        <w:tc>
          <w:tcPr>
            <w:tcW w:w="660" w:type="dxa"/>
            <w:vAlign w:val="bottom"/>
            <w:gridSpan w:val="4"/>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60"/>
        <w:spacing w:after="0" w:line="272" w:lineRule="auto"/>
        <w:rPr>
          <w:sz w:val="20"/>
          <w:szCs w:val="20"/>
          <w:color w:val="auto"/>
        </w:rPr>
      </w:pPr>
      <w:r>
        <w:rPr>
          <w:rFonts w:ascii="Arial" w:cs="Arial" w:eastAsia="Arial" w:hAnsi="Arial"/>
          <w:sz w:val="17"/>
          <w:szCs w:val="17"/>
          <w:color w:val="auto"/>
        </w:rPr>
        <w:t>Amortization expense totaled $2 million, $7 million, and $21 million for the years ended December 31, 2020, 2021, and 2022, respectively, and $9 million and $14 million for the six months ended June 30, 2022 and 2023 (unaudited).</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0380"/>
          </w:cols>
          <w:pgMar w:left="320" w:top="440" w:right="1199" w:bottom="1440" w:gutter="0" w:footer="0" w:header="0"/>
        </w:sectPr>
      </w:pPr>
    </w:p>
    <w:bookmarkStart w:id="355" w:name="page356"/>
    <w:bookmarkEnd w:id="3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MAPLEBEAR INC. DBA INSTACART</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2022, the remaining intangible asset amortization was as follows:</w:t>
      </w:r>
    </w:p>
    <w:p>
      <w:pPr>
        <w:spacing w:after="0" w:line="215"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6080" w:type="dxa"/>
            <w:vAlign w:val="bottom"/>
            <w:vMerge w:val="restart"/>
          </w:tcPr>
          <w:p>
            <w:pPr>
              <w:spacing w:after="0"/>
              <w:rPr>
                <w:sz w:val="20"/>
                <w:szCs w:val="20"/>
                <w:color w:val="auto"/>
              </w:rPr>
            </w:pPr>
            <w:r>
              <w:rPr>
                <w:rFonts w:ascii="Arial" w:cs="Arial" w:eastAsia="Arial" w:hAnsi="Arial"/>
                <w:sz w:val="13"/>
                <w:szCs w:val="13"/>
                <w:b w:val="1"/>
                <w:bCs w:val="1"/>
                <w:color w:val="auto"/>
              </w:rPr>
              <w:t>Year ending December 31,</w:t>
            </w: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(in millions)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7"/>
          <w:szCs w:val="17"/>
          <w:b w:val="1"/>
          <w:bCs w:val="1"/>
          <w:color w:val="auto"/>
        </w:rPr>
        <w:t>9.</w:t>
        <w:tab/>
        <w:t>Accrued and Other Current Liabilities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and other current liabilities were as follows: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As of December 31,</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9"/>
              </w:rPr>
              <w:t>As of 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2"/>
          </w:tcPr>
          <w:p>
            <w:pPr>
              <w:jc w:val="right"/>
              <w:spacing w:after="0" w:line="132" w:lineRule="exact"/>
              <w:rPr>
                <w:sz w:val="20"/>
                <w:szCs w:val="20"/>
                <w:color w:val="auto"/>
              </w:rPr>
            </w:pPr>
            <w:r>
              <w:rPr>
                <w:rFonts w:ascii="Arial" w:cs="Arial" w:eastAsia="Arial" w:hAnsi="Arial"/>
                <w:sz w:val="13"/>
                <w:szCs w:val="13"/>
                <w:b w:val="1"/>
                <w:bCs w:val="1"/>
                <w:color w:val="auto"/>
              </w:rPr>
              <w:t>2022</w:t>
            </w:r>
          </w:p>
        </w:tc>
        <w:tc>
          <w:tcPr>
            <w:tcW w:w="280" w:type="dxa"/>
            <w:vAlign w:val="bottom"/>
            <w:tcBorders>
              <w:top w:val="single" w:sz="8" w:color="auto"/>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9"/>
              <w:spacing w:after="0" w:line="132" w:lineRule="exact"/>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restart"/>
          </w:tcPr>
          <w:p>
            <w:pPr>
              <w:jc w:val="right"/>
              <w:ind w:right="4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(unaudited, in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Accrued losses related to legal matters</w:t>
            </w:r>
          </w:p>
        </w:tc>
        <w:tc>
          <w:tcPr>
            <w:tcW w:w="14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6"/>
                <w:szCs w:val="16"/>
                <w:color w:val="auto"/>
              </w:rPr>
              <w:t xml:space="preserve">Accrued shopper and merchant liability </w:t>
            </w:r>
            <w:r>
              <w:rPr>
                <w:rFonts w:ascii="Arial" w:cs="Arial" w:eastAsia="Arial" w:hAnsi="Arial"/>
                <w:sz w:val="23"/>
                <w:szCs w:val="23"/>
                <w:color w:val="auto"/>
                <w:vertAlign w:val="superscript"/>
              </w:rPr>
              <w:t>(1)</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114</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4"/>
              </w:rPr>
              <w:t>103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Accrued advertising</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Accrued compensation and benefits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Income and other taxes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Accrued professional, legal, and contractor services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34</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Sales and indirect tax payable</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Other</w:t>
            </w:r>
          </w:p>
        </w:tc>
        <w:tc>
          <w:tcPr>
            <w:tcW w:w="8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373</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515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860" w:hanging="403"/>
        <w:spacing w:after="0"/>
        <w:tabs>
          <w:tab w:leader="none" w:pos="860" w:val="left"/>
        </w:tabs>
        <w:numPr>
          <w:ilvl w:val="0"/>
          <w:numId w:val="294"/>
        </w:numPr>
        <w:rPr>
          <w:rFonts w:ascii="Arial" w:cs="Arial" w:eastAsia="Arial" w:hAnsi="Arial"/>
          <w:sz w:val="10"/>
          <w:szCs w:val="10"/>
          <w:color w:val="auto"/>
        </w:rPr>
      </w:pPr>
      <w:r>
        <w:rPr>
          <w:rFonts w:ascii="Arial" w:cs="Arial" w:eastAsia="Arial" w:hAnsi="Arial"/>
          <w:sz w:val="13"/>
          <w:szCs w:val="13"/>
          <w:color w:val="auto"/>
        </w:rPr>
        <w:t>Accrued merchant liability primarily includes liabilities to certain retailers for payment of goods.</w:t>
      </w:r>
    </w:p>
    <w:p>
      <w:pPr>
        <w:spacing w:after="0" w:line="296" w:lineRule="exact"/>
        <w:rPr>
          <w:sz w:val="20"/>
          <w:szCs w:val="20"/>
          <w:color w:val="auto"/>
        </w:rPr>
      </w:pPr>
    </w:p>
    <w:p>
      <w:pPr>
        <w:ind w:left="880" w:hanging="423"/>
        <w:spacing w:after="0"/>
        <w:tabs>
          <w:tab w:leader="none" w:pos="88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Leases</w:t>
      </w:r>
    </w:p>
    <w:p>
      <w:pPr>
        <w:spacing w:after="0" w:line="108" w:lineRule="exact"/>
        <w:rPr>
          <w:sz w:val="20"/>
          <w:szCs w:val="20"/>
          <w:color w:val="auto"/>
        </w:rPr>
      </w:pPr>
    </w:p>
    <w:p>
      <w:pPr>
        <w:ind w:left="460"/>
        <w:spacing w:after="0" w:line="291" w:lineRule="auto"/>
        <w:rPr>
          <w:sz w:val="20"/>
          <w:szCs w:val="20"/>
          <w:color w:val="auto"/>
        </w:rPr>
      </w:pPr>
      <w:r>
        <w:rPr>
          <w:rFonts w:ascii="Arial" w:cs="Arial" w:eastAsia="Arial" w:hAnsi="Arial"/>
          <w:sz w:val="15"/>
          <w:szCs w:val="15"/>
          <w:color w:val="auto"/>
        </w:rPr>
        <w:t>The Company’s leases primarily include corporate offices. The lease terms of operating leases vary from one year to 11 years. The Company has leases that include one or more options to extend the lease term for up to five years as well as 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to extend the lease term and hence are not recognized as part of the Company’s operating lease liabilities and operating lease right-of-use assets. The Company leases office space under noncancelable operating lease agreements with expirations through June 2027. The Company did not modify, enter into, or acquire any material leasing arrangements during the years ended December 31, 2020, 2021, or 2022 or during the six months ended June 30, 2022 or 2023 (unaudited).</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780"/>
          </w:cols>
          <w:pgMar w:left="320" w:top="440" w:right="799" w:bottom="1440" w:gutter="0" w:footer="0" w:header="0"/>
        </w:sectPr>
      </w:pPr>
    </w:p>
    <w:bookmarkStart w:id="356" w:name="page357"/>
    <w:bookmarkEnd w:id="3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lease expense were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3"/>
                <w:szCs w:val="13"/>
                <w:b w:val="1"/>
                <w:bCs w:val="1"/>
                <w:color w:val="auto"/>
                <w:w w:val="93"/>
              </w:rPr>
              <w:t>Year Ended December 31,</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right="107"/>
              <w:spacing w:after="0" w:line="132" w:lineRule="exact"/>
              <w:rPr>
                <w:sz w:val="20"/>
                <w:szCs w:val="20"/>
                <w:color w:val="auto"/>
              </w:rPr>
            </w:pPr>
            <w:r>
              <w:rPr>
                <w:rFonts w:ascii="Arial" w:cs="Arial" w:eastAsia="Arial" w:hAnsi="Arial"/>
                <w:sz w:val="13"/>
                <w:szCs w:val="13"/>
                <w:b w:val="1"/>
                <w:bCs w:val="1"/>
                <w:color w:val="auto"/>
                <w:w w:val="89"/>
              </w:rPr>
              <w:t>2021</w:t>
            </w: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0"/>
              <w:spacing w:after="0" w:line="132" w:lineRule="exact"/>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jc w:val="center"/>
              <w:spacing w:after="0" w:line="132" w:lineRule="exact"/>
              <w:rPr>
                <w:sz w:val="20"/>
                <w:szCs w:val="20"/>
                <w:color w:val="auto"/>
              </w:rPr>
            </w:pPr>
            <w:r>
              <w:rPr>
                <w:rFonts w:ascii="Arial" w:cs="Arial" w:eastAsia="Arial" w:hAnsi="Arial"/>
                <w:sz w:val="13"/>
                <w:szCs w:val="13"/>
                <w:b w:val="1"/>
                <w:bCs w:val="1"/>
                <w:color w:val="auto"/>
                <w:w w:val="95"/>
              </w:rPr>
              <w:t>(in millions)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costs</w:t>
            </w:r>
          </w:p>
        </w:tc>
        <w:tc>
          <w:tcPr>
            <w:tcW w:w="1380" w:type="dxa"/>
            <w:vAlign w:val="bottom"/>
            <w:gridSpan w:val="3"/>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12</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Short-term lease costs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ind w:right="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Variable lease costs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7"/>
                <w:szCs w:val="17"/>
                <w:color w:val="auto"/>
              </w:rPr>
              <w:t>Total lease costs</w:t>
            </w:r>
          </w:p>
        </w:tc>
        <w:tc>
          <w:tcPr>
            <w:tcW w:w="1380" w:type="dxa"/>
            <w:vAlign w:val="bottom"/>
            <w:gridSpan w:val="3"/>
          </w:tcPr>
          <w:p>
            <w:pPr>
              <w:jc w:val="right"/>
              <w:ind w:right="373"/>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w w:val="94"/>
              </w:rPr>
              <w:t>15</w:t>
            </w:r>
          </w:p>
        </w:tc>
        <w:tc>
          <w:tcPr>
            <w:tcW w:w="56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5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Arial" w:cs="Arial" w:eastAsia="Arial" w:hAnsi="Arial"/>
                <w:sz w:val="17"/>
                <w:szCs w:val="17"/>
                <w:color w:val="auto"/>
              </w:rPr>
              <w:t>The weighted-average lease term and discount rate were as follows:</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6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39"/>
              <w:spacing w:after="0" w:line="13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93"/>
              <w:spacing w:after="0" w:line="132" w:lineRule="exact"/>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0"/>
              <w:spacing w:after="0" w:line="132" w:lineRule="exact"/>
              <w:rPr>
                <w:sz w:val="20"/>
                <w:szCs w:val="20"/>
                <w:color w:val="auto"/>
              </w:rPr>
            </w:pPr>
            <w:r>
              <w:rPr>
                <w:rFonts w:ascii="Arial" w:cs="Arial" w:eastAsia="Arial" w:hAnsi="Arial"/>
                <w:sz w:val="13"/>
                <w:szCs w:val="13"/>
                <w:b w:val="1"/>
                <w:bCs w:val="1"/>
                <w:color w:val="auto"/>
                <w:w w:val="96"/>
              </w:rPr>
              <w:t>2022</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47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Weighted-average remaining lease term (in years)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Weighted-average discount rate</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4.03%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4"/>
          </w:tcPr>
          <w:p>
            <w:pPr>
              <w:jc w:val="right"/>
              <w:ind w:right="287"/>
              <w:spacing w:after="0"/>
              <w:rPr>
                <w:sz w:val="20"/>
                <w:szCs w:val="20"/>
                <w:color w:val="auto"/>
              </w:rPr>
            </w:pPr>
            <w:r>
              <w:rPr>
                <w:rFonts w:ascii="Arial" w:cs="Arial" w:eastAsia="Arial" w:hAnsi="Arial"/>
                <w:sz w:val="17"/>
                <w:szCs w:val="17"/>
                <w:color w:val="auto"/>
              </w:rPr>
              <w:t>3.87%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393"/>
        </w:trPr>
        <w:tc>
          <w:tcPr>
            <w:tcW w:w="5600" w:type="dxa"/>
            <w:vAlign w:val="bottom"/>
            <w:gridSpan w:val="3"/>
          </w:tcPr>
          <w:p>
            <w:pPr>
              <w:spacing w:after="0"/>
              <w:rPr>
                <w:sz w:val="20"/>
                <w:szCs w:val="20"/>
                <w:color w:val="auto"/>
              </w:rPr>
            </w:pPr>
            <w:r>
              <w:rPr>
                <w:rFonts w:ascii="Arial" w:cs="Arial" w:eastAsia="Arial" w:hAnsi="Arial"/>
                <w:sz w:val="17"/>
                <w:szCs w:val="17"/>
                <w:color w:val="auto"/>
                <w:w w:val="91"/>
              </w:rPr>
              <w:t>As of December 31, 2022, the future maturities of lease liabilities were as follows: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40" w:type="dxa"/>
            <w:vAlign w:val="bottom"/>
            <w:vMerge w:val="restart"/>
          </w:tcPr>
          <w:p>
            <w:pPr>
              <w:spacing w:after="0"/>
              <w:rPr>
                <w:sz w:val="20"/>
                <w:szCs w:val="20"/>
                <w:color w:val="auto"/>
              </w:rPr>
            </w:pPr>
            <w:r>
              <w:rPr>
                <w:rFonts w:ascii="Arial" w:cs="Arial" w:eastAsia="Arial" w:hAnsi="Arial"/>
                <w:sz w:val="13"/>
                <w:szCs w:val="13"/>
                <w:b w:val="1"/>
                <w:bCs w:val="1"/>
                <w:color w:val="auto"/>
              </w:rPr>
              <w:t>Year ending December 31,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Amount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9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32" w:lineRule="exact"/>
              <w:rPr>
                <w:sz w:val="20"/>
                <w:szCs w:val="20"/>
                <w:color w:val="auto"/>
              </w:rPr>
            </w:pPr>
            <w:r>
              <w:rPr>
                <w:rFonts w:ascii="Arial" w:cs="Arial" w:eastAsia="Arial" w:hAnsi="Arial"/>
                <w:sz w:val="13"/>
                <w:szCs w:val="13"/>
                <w:b w:val="1"/>
                <w:bCs w:val="1"/>
                <w:color w:val="auto"/>
                <w:w w:val="93"/>
              </w:rPr>
              <w:t>(in millions)</w:t>
            </w:r>
          </w:p>
        </w:tc>
        <w:tc>
          <w:tcPr>
            <w:tcW w:w="24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87"/>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2024</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2026</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w:t>
            </w:r>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Thereafter</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w:t>
            </w:r>
          </w:p>
        </w:tc>
        <w:tc>
          <w:tcPr>
            <w:tcW w:w="1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Total undiscounted lease payments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Less: imputed interest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operating lease liabilities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ind w:right="387"/>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Sales and Indirect Taxes</w:t>
      </w:r>
    </w:p>
    <w:p>
      <w:pPr>
        <w:spacing w:after="0" w:line="108"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The Company pays applicable state, franchise, and other taxes in states in which the Company conducts business. In the United States, the Company is under audit by various state tax authorities with regard to sales and indirect tax matters. The subject matter of these audits primarily relates to the reporting of sales on behalf of the Company’s third-party sellers or tax treatment applied to the sale of the Company’s services in these jurisdictions. While the Company believes it properly accrues and pays taxes according to its understanding of tax requirements in each state, it is possible that tax authorities may question the Company’s interpretation of taxability. As such, there is a high degree of complexity involved in the interpretation and application of states’ sales and indirect tax rules to the Company’s activities. As a result, the Company maintains a reserve related to potential tax, interest, or penalties that may become due. Significant judgments are made by the Company in estimating these reserves which includes assessing the taxability of goods or services transacted using the Company’s technology solution. The Company maintains such reserves until the statute of limitations has passed or upon conclusion with the relevant tax authorities, at which point the tax exposure and related interest and penalties are released. The reserve balance was $71 million, $69 million, and $57 million as of December 31, 2021 and 2022 and June 30, 2023 (unaudited), respectively, and is included within other long-term liabilities on</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780"/>
          </w:cols>
          <w:pgMar w:left="320" w:top="440" w:right="799" w:bottom="1440" w:gutter="0" w:footer="0" w:header="0"/>
        </w:sectPr>
      </w:pPr>
    </w:p>
    <w:bookmarkStart w:id="357" w:name="page358"/>
    <w:bookmarkEnd w:id="3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69" w:lineRule="auto"/>
        <w:rPr>
          <w:sz w:val="20"/>
          <w:szCs w:val="20"/>
          <w:color w:val="auto"/>
        </w:rPr>
      </w:pPr>
      <w:r>
        <w:rPr>
          <w:rFonts w:ascii="Arial" w:cs="Arial" w:eastAsia="Arial" w:hAnsi="Arial"/>
          <w:sz w:val="16"/>
          <w:szCs w:val="16"/>
          <w:color w:val="auto"/>
        </w:rPr>
        <w:t>the consolidated balance sheets. The Company recognized expense of $44 million and $13 million related to these reserves for the years ended December 31, 2020 and 2021, respectively, and a reserve release of $1 million for the year ended December 31, 2022. The expense of $13 million recognized during the year ended December 31, 2021 is net of a reserve release of $11 million, including interest and penalties, related to a waiver granted to the Company from requirements of the marketplace facilitator law in the State of Texas. The waiver provides that the Company will not be held liable for the collection and remittance of sales tax as a marketplace facilitator retroactive to the effective date of the Texas marketplace facilitator law. The Company recognized expense of less than $1 million related to these reserves for the six months ended June 30, 2022 (unaudited) and a reserve release of $11 million for the six months ended June 30, 2023 (unaudited). These amounts were recorded within general and administrative expense in the consolidated statements of operations.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Legal Matters</w:t>
      </w:r>
    </w:p>
    <w:p>
      <w:pPr>
        <w:spacing w:after="0" w:line="108"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color w:val="auto"/>
        </w:rPr>
        <w:t>The Company records a liability for legal contingencies when the Company believes that it is both probable that a loss has been incurred and the amount can be estimated. If the Company determines that a loss is reasonably possible and the loss or range of loss can be estimated, the Company discloses the possible loss in the consolidated financial statements. If the Company determines that a loss is either probable or reasonably possible, but the loss or range of loss cannot be estimated, the Company discloses that fact in the consolidated financial statements. Legal fees are expensed as incurred.</w:t>
      </w:r>
    </w:p>
    <w:p>
      <w:pPr>
        <w:spacing w:after="0" w:line="148" w:lineRule="exact"/>
        <w:rPr>
          <w:sz w:val="20"/>
          <w:szCs w:val="20"/>
          <w:color w:val="auto"/>
        </w:rPr>
      </w:pPr>
    </w:p>
    <w:p>
      <w:pPr>
        <w:ind w:left="460" w:right="120"/>
        <w:spacing w:after="0" w:line="285" w:lineRule="auto"/>
        <w:rPr>
          <w:sz w:val="20"/>
          <w:szCs w:val="20"/>
          <w:color w:val="auto"/>
        </w:rPr>
      </w:pPr>
      <w:r>
        <w:rPr>
          <w:rFonts w:ascii="Arial" w:cs="Arial" w:eastAsia="Arial" w:hAnsi="Arial"/>
          <w:sz w:val="15"/>
          <w:szCs w:val="15"/>
          <w:color w:val="auto"/>
        </w:rPr>
        <w:t>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 Further, on December 16, 2020, the California state ballot initiative, Proposition 22, which provides a framework that offers legal certainty regarding the status of independent work and protects worker flexibility and the quality of on-demand work, among other things, became effective. The Company provides appropriate worker benefits and other protections in accordance with Proposition 22, including guaranteed minimum earnings, healthcare subsidies, insurance, and safety trainings. On August 20, 2021, a judge in Alameda County Superior Court granted a writ that orders the State of California to not enforce Proposition 22 on the ground that it is unconstitutional. The California Attorney General filed an appeal, and on March 13, 2023, the appellate court largely reversed the superior court and effectively upheld Proposition 22. As of December 31, 2022, the Company expected the plaintiffs to appeal the decision to the California Supreme Court. During the six months ended June 30, 2023 (unaudited), plaintiffs have appealed the decision to the California Supreme Court. If the appellate court ruling is reversed by the California Supreme Court, the Company will face continued legal uncertainty over whether it can properly classify a shopper as an independent contractor in California. If shoppers are determined to be employees under U.S. federal or state law, or under the laws of other jurisdictions in which the Company operates, including as a result of litigation, this would likely require the Company to significantly alter its existing business model and could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spacing w:after="0" w:line="167" w:lineRule="exact"/>
        <w:rPr>
          <w:sz w:val="20"/>
          <w:szCs w:val="20"/>
          <w:color w:val="auto"/>
        </w:rPr>
      </w:pPr>
    </w:p>
    <w:p>
      <w:pPr>
        <w:ind w:left="460" w:right="200"/>
        <w:spacing w:after="0" w:line="277" w:lineRule="auto"/>
        <w:rPr>
          <w:sz w:val="20"/>
          <w:szCs w:val="20"/>
          <w:color w:val="auto"/>
        </w:rPr>
      </w:pPr>
      <w:r>
        <w:rPr>
          <w:rFonts w:ascii="Arial" w:cs="Arial" w:eastAsia="Arial" w:hAnsi="Arial"/>
          <w:sz w:val="16"/>
          <w:szCs w:val="16"/>
          <w:color w:val="auto"/>
        </w:rPr>
        <w:t>The Company has active legal matters in California and several other jurisdictions, including litigation,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handling these matters may rule that the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760"/>
          </w:cols>
          <w:pgMar w:left="320" w:top="440" w:right="819" w:bottom="1440" w:gutter="0" w:footer="0" w:header="0"/>
        </w:sectPr>
      </w:pPr>
    </w:p>
    <w:bookmarkStart w:id="358" w:name="page359"/>
    <w:bookmarkEnd w:id="3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Company cannot engage workers to perform certain tasks, including delivery and other fulfillment services, as independent contractors. In some of these cases, the Company has entered into settlement agreements to resolve the claims without any admission of liability; in others, there is active litigation or proceedings, and several cases are stayed pending the outcome of earlier filed complaints. In October 2022, the Company signed and filed a stipulated judgment with the city attorney for San Diego, California, which was entered by the court in January 2023 and settled the case for $46.5 million. This amount was previously accrued for and was included in the reserve balances noted below as of December 31, 2022 and subsequently paid during the six months ended June 30, 2023 (unaudited). In March 2023 (unaudited), the Company entered into a settlement agreement with the California Employment Development Department to resolve disputes concerning alleged unemployment insurance contributions for $32 million. In April 2023 (unaudited), the settlement became effective after the approval by the California Attorney General and an Administrative Law Judge of the California Unemployment Insurance Appeal Board. This amount was previously accrued for and was included in the reserve balances noted below as of December 31, 2022 and subsequently paid during the six months ended June 30, 2023 (unaudited).</w:t>
      </w:r>
    </w:p>
    <w:p>
      <w:pPr>
        <w:spacing w:after="0" w:line="174" w:lineRule="exact"/>
        <w:rPr>
          <w:sz w:val="20"/>
          <w:szCs w:val="20"/>
          <w:color w:val="auto"/>
        </w:rPr>
      </w:pPr>
    </w:p>
    <w:p>
      <w:pPr>
        <w:ind w:left="460" w:right="40"/>
        <w:spacing w:after="0" w:line="253" w:lineRule="auto"/>
        <w:rPr>
          <w:sz w:val="20"/>
          <w:szCs w:val="20"/>
          <w:color w:val="auto"/>
        </w:rPr>
      </w:pPr>
      <w:r>
        <w:rPr>
          <w:rFonts w:ascii="Arial" w:cs="Arial" w:eastAsia="Arial" w:hAnsi="Arial"/>
          <w:sz w:val="17"/>
          <w:szCs w:val="17"/>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regulatory, environmental, health and safety, employment, intellectual property, data protection and privacy, consumer protection, unfair competition, tax, and other laws. In some of these proceedings, claims for substantial monetary damages are asserted against the Company and could result in fines, penalties, compensatory damages, or non-monetary relief. The Company does not believe that these matters will have a material adverse effect upon its results of operations, cash flows, or financial condition.</w:t>
      </w:r>
    </w:p>
    <w:p>
      <w:pPr>
        <w:spacing w:after="0" w:line="182" w:lineRule="exact"/>
        <w:rPr>
          <w:sz w:val="20"/>
          <w:szCs w:val="20"/>
          <w:color w:val="auto"/>
        </w:rPr>
      </w:pPr>
    </w:p>
    <w:p>
      <w:pPr>
        <w:ind w:left="460" w:right="120"/>
        <w:spacing w:after="0" w:line="289" w:lineRule="auto"/>
        <w:rPr>
          <w:sz w:val="20"/>
          <w:szCs w:val="20"/>
          <w:color w:val="auto"/>
        </w:rPr>
      </w:pPr>
      <w:r>
        <w:rPr>
          <w:rFonts w:ascii="Arial" w:cs="Arial" w:eastAsia="Arial" w:hAnsi="Arial"/>
          <w:sz w:val="15"/>
          <w:szCs w:val="15"/>
          <w:color w:val="auto"/>
        </w:rPr>
        <w:t>To the extent the Company has agreed to settle outstanding claims or where the Company has concluded it is probable that a resolution may be reached at an amount of loss that is estimable, the loss has been recognized within general and administrative expense in the consolidated statements of operations. The total loss recognized related to these claims was $51 million, $52 million, and $44 million for the years ended December 31, 2020, 2021, and 2022, respectively, and $13 million for the six months ended June 30, 2022 (unaudited). During the six months ended June 30, 2023 (unaudited), the Company recognized a reserve release related to these claims of $6 million. In addition, during the year ended December 31, 2021, the Company recorded an $11 million gain related to legal settlements that is included within other income (expense), net in the consolidated statements of operations. The reserve balance was $123 million, $164 million, and $69 million as of December 31, 2021 and 2022 and June 30, 2023 (unaudited), respectively, and is included within accrued and other current liabilities on the consolidated balance sheets. The actual losses incurred on claims that have not been resolved may differ from the initial estimates of loss, and such differences could be material.</w:t>
      </w:r>
    </w:p>
    <w:p>
      <w:pPr>
        <w:spacing w:after="0" w:line="157"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The Company is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consolidated statements of operations. The results of these audits may result in additional payments, penalties, and interest, and such additional amounts could be material.</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08" w:lineRule="exact"/>
        <w:rPr>
          <w:sz w:val="20"/>
          <w:szCs w:val="20"/>
          <w:color w:val="auto"/>
        </w:rPr>
      </w:pPr>
    </w:p>
    <w:p>
      <w:pPr>
        <w:ind w:left="460" w:right="20"/>
        <w:spacing w:after="0" w:line="254" w:lineRule="auto"/>
        <w:rPr>
          <w:sz w:val="20"/>
          <w:szCs w:val="20"/>
          <w:color w:val="auto"/>
        </w:rPr>
      </w:pPr>
      <w:r>
        <w:rPr>
          <w:rFonts w:ascii="Arial" w:cs="Arial" w:eastAsia="Arial" w:hAnsi="Arial"/>
          <w:sz w:val="17"/>
          <w:szCs w:val="17"/>
          <w:color w:val="auto"/>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 provision. To date, no significant costs have been incurred, either individually or collectively, in connection with the Company’s indemnification provisions.</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780"/>
          </w:cols>
          <w:pgMar w:left="320" w:top="440" w:right="799" w:bottom="1440" w:gutter="0" w:footer="0" w:header="0"/>
        </w:sectPr>
      </w:pPr>
    </w:p>
    <w:bookmarkStart w:id="359" w:name="page360"/>
    <w:bookmarkEnd w:id="3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5" w:lineRule="exact"/>
        <w:rPr>
          <w:sz w:val="20"/>
          <w:szCs w:val="20"/>
          <w:color w:val="auto"/>
        </w:rPr>
      </w:pPr>
    </w:p>
    <w:p>
      <w:pPr>
        <w:ind w:left="860" w:hanging="403"/>
        <w:spacing w:after="0"/>
        <w:tabs>
          <w:tab w:leader="none" w:pos="860"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Redeemable Convertible Preferred Stock</w:t>
      </w:r>
    </w:p>
    <w:p>
      <w:pPr>
        <w:spacing w:after="0" w:line="112" w:lineRule="exact"/>
        <w:rPr>
          <w:sz w:val="20"/>
          <w:szCs w:val="20"/>
          <w:color w:val="auto"/>
        </w:rPr>
      </w:pPr>
    </w:p>
    <w:p>
      <w:pPr>
        <w:jc w:val="both"/>
        <w:ind w:left="460" w:right="40"/>
        <w:spacing w:after="0" w:line="311" w:lineRule="auto"/>
        <w:rPr>
          <w:sz w:val="20"/>
          <w:szCs w:val="20"/>
          <w:color w:val="auto"/>
        </w:rPr>
      </w:pPr>
      <w:r>
        <w:rPr>
          <w:rFonts w:ascii="Arial" w:cs="Arial" w:eastAsia="Arial" w:hAnsi="Arial"/>
          <w:sz w:val="15"/>
          <w:szCs w:val="15"/>
          <w:color w:val="auto"/>
        </w:rPr>
        <w:t>In February 2021, the Company authorized and issued 2,120,000 shares of Series I redeemable convertible preferred stock at price of $125.00 per share, with total proceeds of $265 million, net of issuance costs. The Company also authorized 2,000,000 shares of Series I-1 redeemable convertible preferred stock, none of which were issued during the years ended December 31, 2021 or 2022 or the six months ended June 30, 2023 (unaudited).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Company’s redeemable convertible preferred stock:</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36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gridSpan w:val="12"/>
          </w:tcPr>
          <w:p>
            <w:pPr>
              <w:ind w:left="440"/>
              <w:spacing w:after="0"/>
              <w:rPr>
                <w:sz w:val="20"/>
                <w:szCs w:val="20"/>
                <w:color w:val="auto"/>
              </w:rPr>
            </w:pPr>
            <w:r>
              <w:rPr>
                <w:rFonts w:ascii="Arial" w:cs="Arial" w:eastAsia="Arial" w:hAnsi="Arial"/>
                <w:sz w:val="13"/>
                <w:szCs w:val="13"/>
                <w:b w:val="1"/>
                <w:bCs w:val="1"/>
                <w:color w:val="auto"/>
              </w:rPr>
              <w:t>As of December 31, 2021 and 2022 and June 30, 2023 (unaudited)</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600" w:type="dxa"/>
            <w:vAlign w:val="bottom"/>
          </w:tcPr>
          <w:p>
            <w:pPr>
              <w:spacing w:after="0"/>
              <w:rPr>
                <w:sz w:val="9"/>
                <w:szCs w:val="9"/>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7"/>
              </w:rPr>
              <w:t>Shares</w:t>
            </w: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88"/>
              </w:rPr>
              <w:t>Shares Issued</w:t>
            </w:r>
          </w:p>
        </w:tc>
        <w:tc>
          <w:tcPr>
            <w:tcW w:w="120" w:type="dxa"/>
            <w:vAlign w:val="bottom"/>
          </w:tcPr>
          <w:p>
            <w:pPr>
              <w:spacing w:after="0"/>
              <w:rPr>
                <w:sz w:val="9"/>
                <w:szCs w:val="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w w:val="95"/>
              </w:rPr>
              <w:t>Per Share</w:t>
            </w: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2"/>
              </w:rPr>
              <w:t>Conversion</w:t>
            </w:r>
          </w:p>
        </w:tc>
        <w:tc>
          <w:tcPr>
            <w:tcW w:w="160" w:type="dxa"/>
            <w:vAlign w:val="bottom"/>
          </w:tcPr>
          <w:p>
            <w:pPr>
              <w:spacing w:after="0"/>
              <w:rPr>
                <w:sz w:val="9"/>
                <w:szCs w:val="9"/>
                <w:color w:val="auto"/>
              </w:rPr>
            </w:pPr>
          </w:p>
        </w:tc>
        <w:tc>
          <w:tcPr>
            <w:tcW w:w="132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Carrying Value,</w:t>
            </w: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Liquidation</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1"/>
              </w:rPr>
              <w:t>Net of Issuance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Authorized</w:t>
            </w: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and Outstanding</w:t>
            </w: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Issuance Price</w:t>
            </w:r>
          </w:p>
        </w:tc>
        <w:tc>
          <w:tcPr>
            <w:tcW w:w="10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8"/>
              </w:rPr>
              <w:t>Costs</w:t>
            </w:r>
          </w:p>
        </w:tc>
        <w:tc>
          <w:tcPr>
            <w:tcW w:w="14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2000" w:type="dxa"/>
            <w:vAlign w:val="bottom"/>
            <w:tcBorders>
              <w:top w:val="single" w:sz="8" w:color="auto"/>
            </w:tcBorders>
            <w:gridSpan w:val="3"/>
          </w:tcPr>
          <w:p>
            <w:pPr>
              <w:jc w:val="right"/>
              <w:ind w:right="499"/>
              <w:spacing w:after="0" w:line="132"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ind w:left="480"/>
              <w:spacing w:after="0" w:line="132" w:lineRule="exact"/>
              <w:rPr>
                <w:sz w:val="20"/>
                <w:szCs w:val="20"/>
                <w:color w:val="auto"/>
              </w:rPr>
            </w:pPr>
            <w:r>
              <w:rPr>
                <w:rFonts w:ascii="Arial" w:cs="Arial" w:eastAsia="Arial" w:hAnsi="Arial"/>
                <w:sz w:val="13"/>
                <w:szCs w:val="13"/>
                <w:b w:val="1"/>
                <w:bCs w:val="1"/>
                <w:color w:val="auto"/>
              </w:rPr>
              <w:t>(in millions)</w:t>
            </w: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51,250</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51,210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0.2374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0.2374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7"/>
                <w:szCs w:val="17"/>
                <w:color w:val="auto"/>
              </w:rPr>
              <w:t>Series B</w:t>
            </w:r>
          </w:p>
        </w:tc>
        <w:tc>
          <w:tcPr>
            <w:tcW w:w="660" w:type="dxa"/>
            <w:vAlign w:val="bottom"/>
          </w:tcPr>
          <w:p>
            <w:pPr>
              <w:jc w:val="right"/>
              <w:spacing w:after="0"/>
              <w:rPr>
                <w:sz w:val="20"/>
                <w:szCs w:val="20"/>
                <w:color w:val="auto"/>
              </w:rPr>
            </w:pPr>
            <w:r>
              <w:rPr>
                <w:rFonts w:ascii="Arial" w:cs="Arial" w:eastAsia="Arial" w:hAnsi="Arial"/>
                <w:sz w:val="17"/>
                <w:szCs w:val="17"/>
                <w:color w:val="auto"/>
              </w:rPr>
              <w:t>16,655</w:t>
            </w:r>
          </w:p>
        </w:tc>
        <w:tc>
          <w:tcPr>
            <w:tcW w:w="36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15,115</w:t>
            </w:r>
          </w:p>
        </w:tc>
        <w:tc>
          <w:tcPr>
            <w:tcW w:w="12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2.9793</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2.9078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Series B-1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2.9793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2.9078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7"/>
                <w:szCs w:val="17"/>
                <w:color w:val="auto"/>
              </w:rPr>
              <w:t>Series C</w:t>
            </w:r>
          </w:p>
        </w:tc>
        <w:tc>
          <w:tcPr>
            <w:tcW w:w="660" w:type="dxa"/>
            <w:vAlign w:val="bottom"/>
          </w:tcPr>
          <w:p>
            <w:pPr>
              <w:jc w:val="right"/>
              <w:spacing w:after="0"/>
              <w:rPr>
                <w:sz w:val="20"/>
                <w:szCs w:val="20"/>
                <w:color w:val="auto"/>
              </w:rPr>
            </w:pPr>
            <w:r>
              <w:rPr>
                <w:rFonts w:ascii="Arial" w:cs="Arial" w:eastAsia="Arial" w:hAnsi="Arial"/>
                <w:sz w:val="17"/>
                <w:szCs w:val="17"/>
                <w:color w:val="auto"/>
              </w:rPr>
              <w:t>19,236</w:t>
            </w:r>
          </w:p>
        </w:tc>
        <w:tc>
          <w:tcPr>
            <w:tcW w:w="36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16,540</w:t>
            </w:r>
          </w:p>
        </w:tc>
        <w:tc>
          <w:tcPr>
            <w:tcW w:w="12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13.3104</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13.3104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220</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Series 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26,998</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22,302</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18.5201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18.5201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413</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7"/>
                <w:szCs w:val="17"/>
                <w:color w:val="auto"/>
              </w:rPr>
              <w:t>Series E</w:t>
            </w:r>
          </w:p>
        </w:tc>
        <w:tc>
          <w:tcPr>
            <w:tcW w:w="660" w:type="dxa"/>
            <w:vAlign w:val="bottom"/>
          </w:tcPr>
          <w:p>
            <w:pPr>
              <w:jc w:val="right"/>
              <w:spacing w:after="0"/>
              <w:rPr>
                <w:sz w:val="20"/>
                <w:szCs w:val="20"/>
                <w:color w:val="auto"/>
              </w:rPr>
            </w:pPr>
            <w:r>
              <w:rPr>
                <w:rFonts w:ascii="Arial" w:cs="Arial" w:eastAsia="Arial" w:hAnsi="Arial"/>
                <w:sz w:val="17"/>
                <w:szCs w:val="17"/>
                <w:color w:val="auto"/>
              </w:rPr>
              <w:t>17,404</w:t>
            </w:r>
          </w:p>
        </w:tc>
        <w:tc>
          <w:tcPr>
            <w:tcW w:w="36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17,359</w:t>
            </w:r>
          </w:p>
        </w:tc>
        <w:tc>
          <w:tcPr>
            <w:tcW w:w="12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20.1108</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20.1108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349</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Series F</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30,153</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30,153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29.7381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29.7381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897</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7"/>
                <w:szCs w:val="17"/>
                <w:color w:val="auto"/>
              </w:rPr>
              <w:t>Series G</w:t>
            </w:r>
          </w:p>
        </w:tc>
        <w:tc>
          <w:tcPr>
            <w:tcW w:w="660" w:type="dxa"/>
            <w:vAlign w:val="bottom"/>
          </w:tcPr>
          <w:p>
            <w:pPr>
              <w:jc w:val="right"/>
              <w:spacing w:after="0"/>
              <w:rPr>
                <w:sz w:val="20"/>
                <w:szCs w:val="20"/>
                <w:color w:val="auto"/>
              </w:rPr>
            </w:pPr>
            <w:r>
              <w:rPr>
                <w:rFonts w:ascii="Arial" w:cs="Arial" w:eastAsia="Arial" w:hAnsi="Arial"/>
                <w:sz w:val="17"/>
                <w:szCs w:val="17"/>
                <w:color w:val="auto"/>
              </w:rPr>
              <w:t>6,758</w:t>
            </w:r>
          </w:p>
        </w:tc>
        <w:tc>
          <w:tcPr>
            <w:tcW w:w="36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6,758</w:t>
            </w:r>
          </w:p>
        </w:tc>
        <w:tc>
          <w:tcPr>
            <w:tcW w:w="12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48.0919</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48.0919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Series H</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60.0000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7"/>
                <w:szCs w:val="17"/>
                <w:color w:val="auto"/>
              </w:rPr>
              <w:t>Series I</w:t>
            </w:r>
          </w:p>
        </w:tc>
        <w:tc>
          <w:tcPr>
            <w:tcW w:w="660" w:type="dxa"/>
            <w:vAlign w:val="bottom"/>
          </w:tcPr>
          <w:p>
            <w:pPr>
              <w:jc w:val="right"/>
              <w:spacing w:after="0"/>
              <w:rPr>
                <w:sz w:val="20"/>
                <w:szCs w:val="20"/>
                <w:color w:val="auto"/>
              </w:rPr>
            </w:pPr>
            <w:r>
              <w:rPr>
                <w:rFonts w:ascii="Arial" w:cs="Arial" w:eastAsia="Arial" w:hAnsi="Arial"/>
                <w:sz w:val="17"/>
                <w:szCs w:val="17"/>
                <w:color w:val="auto"/>
              </w:rPr>
              <w:t>2,120</w:t>
            </w:r>
          </w:p>
        </w:tc>
        <w:tc>
          <w:tcPr>
            <w:tcW w:w="36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2,120</w:t>
            </w:r>
          </w:p>
        </w:tc>
        <w:tc>
          <w:tcPr>
            <w:tcW w:w="12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w w:val="98"/>
              </w:rPr>
              <w:t>125.0000</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125.0000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265</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Series I-1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8"/>
              </w:rPr>
              <w:t>125.0000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125.0000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178,319</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167,302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2,822</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2,828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rights, preferences, and privileges of the redeemable convertible preferred stock are as follows: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Voting</w:t>
      </w:r>
    </w:p>
    <w:p>
      <w:pPr>
        <w:spacing w:after="0" w:line="108" w:lineRule="exact"/>
        <w:rPr>
          <w:sz w:val="20"/>
          <w:szCs w:val="20"/>
          <w:color w:val="auto"/>
        </w:rPr>
      </w:pPr>
    </w:p>
    <w:p>
      <w:pPr>
        <w:ind w:left="460" w:right="140"/>
        <w:spacing w:after="0" w:line="256" w:lineRule="auto"/>
        <w:rPr>
          <w:sz w:val="20"/>
          <w:szCs w:val="20"/>
          <w:color w:val="auto"/>
        </w:rPr>
      </w:pPr>
      <w:r>
        <w:rPr>
          <w:rFonts w:ascii="Arial" w:cs="Arial" w:eastAsia="Arial" w:hAnsi="Arial"/>
          <w:sz w:val="17"/>
          <w:szCs w:val="17"/>
          <w:color w:val="auto"/>
        </w:rPr>
        <w:t>The holders of redeemable convertible preferred stock, except the holders of Series I-1 redeemable convertible preferred stock who are not entitled to any votes, are entitled to the number of votes equal to the number of shares of common stock into which such shares may be converted, subject to certain limitations. Voting common stock, into which all series of redeemable convertible preferred stock may be converted, are entitled to one (1) vote for each share.</w:t>
      </w:r>
    </w:p>
    <w:p>
      <w:pPr>
        <w:spacing w:after="0" w:line="179" w:lineRule="exact"/>
        <w:rPr>
          <w:sz w:val="20"/>
          <w:szCs w:val="20"/>
          <w:color w:val="auto"/>
        </w:rPr>
      </w:pPr>
    </w:p>
    <w:p>
      <w:pPr>
        <w:ind w:left="460" w:right="60"/>
        <w:spacing w:after="0" w:line="290" w:lineRule="auto"/>
        <w:rPr>
          <w:sz w:val="20"/>
          <w:szCs w:val="20"/>
          <w:color w:val="auto"/>
        </w:rPr>
      </w:pPr>
      <w:r>
        <w:rPr>
          <w:rFonts w:ascii="Arial" w:cs="Arial" w:eastAsia="Arial" w:hAnsi="Arial"/>
          <w:sz w:val="15"/>
          <w:szCs w:val="15"/>
          <w:color w:val="auto"/>
        </w:rPr>
        <w:t>At any time when shares of redeemable convertible preferred stock are outstanding, the Company must obtain approval from the holders of at least 60% of the then outstanding shares of redeemable convertible preferred stock in order to liquidate, dissolve, or wind-up the business, or effect any merger or consolidation or any sale, lease, transfer, exclusive license, or other disposition of all or substantially all the assets of the Company (“Deemed Liquidation Event”), or consent to any foregoing; amend, alter, or repeal any provision of the Company’s Certificate of Incorporation, as amended (the “Charter”), or the Company’s bylaws; create or authorize the creation of any additional class or series of capital stock or any debt securities convertible into capital stock, or increase the number of authorized shares of redeemable convertible preferred stock, unless they are junior to any existing shares of redeemable convertible preferred stock with respect to the distribution of assets on the liquidation, dissolution, or winding up of the Company, payment of dividends and rights of redemption; purchase or redeem, or declare or pay any dividend or make any distribution on any shares of capital</w:t>
      </w:r>
    </w:p>
    <w:p>
      <w:pPr>
        <w:spacing w:after="0" w:line="9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800"/>
          </w:cols>
          <w:pgMar w:left="320" w:top="440" w:right="779" w:bottom="1440" w:gutter="0" w:footer="0" w:header="0"/>
        </w:sectPr>
      </w:pPr>
    </w:p>
    <w:bookmarkStart w:id="360" w:name="page361"/>
    <w:bookmarkEnd w:id="3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67" w:lineRule="auto"/>
        <w:rPr>
          <w:sz w:val="20"/>
          <w:szCs w:val="20"/>
          <w:color w:val="auto"/>
        </w:rPr>
      </w:pPr>
      <w:r>
        <w:rPr>
          <w:rFonts w:ascii="Arial" w:cs="Arial" w:eastAsia="Arial" w:hAnsi="Arial"/>
          <w:sz w:val="16"/>
          <w:szCs w:val="16"/>
          <w:color w:val="auto"/>
        </w:rPr>
        <w:t>stock of the Company other than certain authorized redemption of or dividend or distribution on the redeemable convertible preferred stock, dividend, or other distributions payable on the common stock solely in the form of additional shares of the common stock, repurchases of stock from persons who performed work to the Company, repurchase of stock made in connection with the exercise of a right of first refusal in favor of the Company, or as approved by the board of directors; increase the authorized number of shares of redeemable convertible preferred stock or common stock; declare or pay any dividend to holders of the redeemable convertible preferred stock or common stock; authorize or effectuate any reclassification or recapitalization of the Company’s outstanding capital stock; create, authorize, or issue debt securities that would result in the Company and its subsidiaries having an aggregate level of indebtedness greater than $20 million, unless approved by the board of directors, including at least one director elected by stockholders of a series of redeemable convertible preferred stock; change the class or series or number of shares issued pursuant to an equity incentive plan; enter into any transaction, without the prior written consent of the board of directors, with a director or officer of the Company or any other corporation, partnership, association, or other organization in which one or more of the directors or officers of the Company is a director or officer of, or has a financial interest in; or issue or authorize the issuance of any shares of Series I-1 redeemable convertible preferred stock, unless approved by the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Dividends</w:t>
      </w:r>
    </w:p>
    <w:p>
      <w:pPr>
        <w:spacing w:after="0" w:line="108" w:lineRule="exact"/>
        <w:rPr>
          <w:sz w:val="20"/>
          <w:szCs w:val="20"/>
          <w:color w:val="auto"/>
        </w:rPr>
      </w:pPr>
    </w:p>
    <w:p>
      <w:pPr>
        <w:ind w:left="460"/>
        <w:spacing w:after="0" w:line="269" w:lineRule="auto"/>
        <w:rPr>
          <w:sz w:val="20"/>
          <w:szCs w:val="20"/>
          <w:color w:val="auto"/>
        </w:rPr>
      </w:pPr>
      <w:r>
        <w:rPr>
          <w:rFonts w:ascii="Arial" w:cs="Arial" w:eastAsia="Arial" w:hAnsi="Arial"/>
          <w:sz w:val="16"/>
          <w:szCs w:val="16"/>
          <w:color w:val="auto"/>
        </w:rPr>
        <w:t>The holders of Series A, Series B, Series B-1, Series C, Series D, Series E, Series F, Series G, Series H, and Series I redeemable convertible preferred stock, on a pari passu basis, are entitled to receive dividends in an amount equal to 6% of the original issue price (as adjusted in the event of any stock dividend, stock split, combination, or other similar recapitalization) prior to any payment of any dividend on shares of Series I-1 redeemable convertible preferred stock. Such dividends are noncumulative and shall be paid only when, as, and if declared by the board of directors. The holders of Series I-1 redeemable convertible preferred stock are entitled to receive dividends in an amount equal to 6% of the original issue price (as adjusted in the event of any stock dividend, stock split, combination, or other similar recapitalization), after the payment of the other series of redeemable convertible preferred stock. Any additional dividends shall be distributed among the holders of redeemable convertible preferred stock and common stock pro rata on an as-converted basis. For the years ended December 31, 2020, 2021, and 2022 and the six months ended June 30, 2022 and 2023 (unaudited), no dividends were declared or paid.</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Liquidation Preference</w:t>
      </w:r>
    </w:p>
    <w:p>
      <w:pPr>
        <w:spacing w:after="0" w:line="108" w:lineRule="exact"/>
        <w:rPr>
          <w:sz w:val="20"/>
          <w:szCs w:val="20"/>
          <w:color w:val="auto"/>
        </w:rPr>
      </w:pPr>
    </w:p>
    <w:p>
      <w:pPr>
        <w:ind w:left="460" w:right="60"/>
        <w:spacing w:after="0" w:line="269"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the then outstanding series of redeemable convertible preferred stock are entitled to be paid out of the assets of the Company available for distribution to its stockholders before any payment to be made to the holders of the common stock, on a pari passu basis, an amount per share equal to the greater of the applicable original issue price, plus any dividends declared but unpaid, or such amount per share as would have been payable had all shares of such series of redeemable convertible preferred stock been converted into common stock prior to such event. The holders of Series I-1 redeemable convertible preferred stock are entitled to payment after the other holders of redeemable convertible preferred stock have been paid but before any payment to be made to the holders of the common stock, an amount per share equal to the greater of the applicable original issue price, plus any dividends declared but unpaid, or such amount per share as would have been payable had all shares of Series I-1 redeemable convertible preferred stock been converted into common stock prior to such event.</w:t>
      </w:r>
    </w:p>
    <w:p>
      <w:pPr>
        <w:spacing w:after="0" w:line="170" w:lineRule="exact"/>
        <w:rPr>
          <w:sz w:val="20"/>
          <w:szCs w:val="20"/>
          <w:color w:val="auto"/>
        </w:rPr>
      </w:pPr>
    </w:p>
    <w:p>
      <w:pPr>
        <w:ind w:left="460" w:right="140"/>
        <w:spacing w:after="0" w:line="272" w:lineRule="auto"/>
        <w:rPr>
          <w:sz w:val="20"/>
          <w:szCs w:val="20"/>
          <w:color w:val="auto"/>
        </w:rPr>
      </w:pPr>
      <w:r>
        <w:rPr>
          <w:rFonts w:ascii="Arial" w:cs="Arial" w:eastAsia="Arial" w:hAnsi="Arial"/>
          <w:sz w:val="17"/>
          <w:szCs w:val="17"/>
          <w:color w:val="auto"/>
        </w:rPr>
        <w:t>After the payment of all liquidation preference amounts are made to the holders of redeemable convertible preferred stock, all the remaining funds and assets of the corporation shall be distributed on a pro rata basis among the holders of common stock.</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780"/>
          </w:cols>
          <w:pgMar w:left="320" w:top="440" w:right="799" w:bottom="1440" w:gutter="0" w:footer="0" w:header="0"/>
        </w:sectPr>
      </w:pPr>
    </w:p>
    <w:bookmarkStart w:id="361" w:name="page362"/>
    <w:bookmarkEnd w:id="3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480"/>
        <w:spacing w:after="0" w:line="272" w:lineRule="auto"/>
        <w:rPr>
          <w:sz w:val="20"/>
          <w:szCs w:val="20"/>
          <w:color w:val="auto"/>
        </w:rPr>
      </w:pPr>
      <w:r>
        <w:rPr>
          <w:rFonts w:ascii="Arial" w:cs="Arial" w:eastAsia="Arial" w:hAnsi="Arial"/>
          <w:sz w:val="17"/>
          <w:szCs w:val="17"/>
          <w:color w:val="auto"/>
        </w:rPr>
        <w:t>The Company presents its redeemable convertible preferred stock outside of stockholders’ equity (deficit) as mezzanine equity because the shares contain liquidation features that are not solely within the Company’s control.</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Redemption</w:t>
      </w:r>
    </w:p>
    <w:p>
      <w:pPr>
        <w:spacing w:after="0" w:line="108" w:lineRule="exact"/>
        <w:rPr>
          <w:sz w:val="20"/>
          <w:szCs w:val="20"/>
          <w:color w:val="auto"/>
        </w:rPr>
      </w:pPr>
    </w:p>
    <w:p>
      <w:pPr>
        <w:ind w:left="460" w:right="120"/>
        <w:spacing w:after="0" w:line="284" w:lineRule="auto"/>
        <w:rPr>
          <w:sz w:val="20"/>
          <w:szCs w:val="20"/>
          <w:color w:val="auto"/>
        </w:rPr>
      </w:pPr>
      <w:r>
        <w:rPr>
          <w:rFonts w:ascii="Arial" w:cs="Arial" w:eastAsia="Arial" w:hAnsi="Arial"/>
          <w:sz w:val="16"/>
          <w:szCs w:val="16"/>
          <w:color w:val="auto"/>
        </w:rPr>
        <w:t>The holders of redeemable convertible preferred stock do not have redemption rights; however, as noted above, the Company’s Certificate of Incorporation provides that in the event of a Deemed Liquidation Event, the holders of such shares may be entitled to receive the applicable liquidation preference amount. In addition, the redeemable convertible preferred stock is not mandatorily redeemable.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Conversion</w:t>
      </w:r>
    </w:p>
    <w:p>
      <w:pPr>
        <w:spacing w:after="0" w:line="108" w:lineRule="exact"/>
        <w:rPr>
          <w:sz w:val="20"/>
          <w:szCs w:val="20"/>
          <w:color w:val="auto"/>
        </w:rPr>
      </w:pPr>
    </w:p>
    <w:p>
      <w:pPr>
        <w:ind w:left="460"/>
        <w:spacing w:after="0" w:line="293" w:lineRule="auto"/>
        <w:rPr>
          <w:sz w:val="20"/>
          <w:szCs w:val="20"/>
          <w:color w:val="auto"/>
        </w:rPr>
      </w:pPr>
      <w:r>
        <w:rPr>
          <w:rFonts w:ascii="Arial" w:cs="Arial" w:eastAsia="Arial" w:hAnsi="Arial"/>
          <w:sz w:val="15"/>
          <w:szCs w:val="15"/>
          <w:color w:val="auto"/>
        </w:rPr>
        <w:t>Each share of redeemable convertible preferred stock is convertible, at the option of the holder, into a number of shares of voting common stock (or non-voting common stock at the option of the holders of certain series of redeemable convertible preferred stock), except for shares of Series I-1 redeemable convertible preferred stock, which are convertible into non-voting common stock, as determined by dividing the applicable original issue price by the applicable conversion price in effect at the time. The conversion price of each series of redeemable convertible preferred stock is equal to its original issue price, except for Series B and Series B-1 redeemable convertible preferred stock as indicated in the tables above. The conversion price of each series of redeemable convertible preferred stock is subject to adjustment for certain dilutive share issuances and recapitalization events.</w:t>
      </w:r>
    </w:p>
    <w:p>
      <w:pPr>
        <w:spacing w:after="0" w:line="155" w:lineRule="exact"/>
        <w:rPr>
          <w:sz w:val="20"/>
          <w:szCs w:val="20"/>
          <w:color w:val="auto"/>
        </w:rPr>
      </w:pPr>
    </w:p>
    <w:p>
      <w:pPr>
        <w:ind w:left="460" w:right="200"/>
        <w:spacing w:after="0" w:line="296" w:lineRule="auto"/>
        <w:rPr>
          <w:sz w:val="20"/>
          <w:szCs w:val="20"/>
          <w:color w:val="auto"/>
        </w:rPr>
      </w:pPr>
      <w:r>
        <w:rPr>
          <w:rFonts w:ascii="Arial" w:cs="Arial" w:eastAsia="Arial" w:hAnsi="Arial"/>
          <w:sz w:val="15"/>
          <w:szCs w:val="15"/>
          <w:color w:val="auto"/>
        </w:rPr>
        <w:t>All shares of Series A, Series B, Series C, Series D, Series E, Series F, Series G, Series H, and Series I redeemable convertible preferred stock will convert to voting common stock (other than Series I-1 redeemable convertible preferred stock, which will convert to non-voting common stock) immediately prior to the filing of an amendment and restatement of the Company’s certificate of incorporation in connection with (i) the closing of a firm commitment underwritten public offering resulting in at least $50 million of gross proceeds to the Company (a “Qualified IPO”) or (ii) the initial listing of any class or series of capital stock of the Company on a national securities exchange (a “Qualified Direct Listing”).</w:t>
      </w:r>
    </w:p>
    <w:p>
      <w:pPr>
        <w:spacing w:after="0" w:line="152" w:lineRule="exact"/>
        <w:rPr>
          <w:sz w:val="20"/>
          <w:szCs w:val="20"/>
          <w:color w:val="auto"/>
        </w:rPr>
      </w:pPr>
    </w:p>
    <w:p>
      <w:pPr>
        <w:ind w:left="460" w:right="40"/>
        <w:spacing w:after="0" w:line="256" w:lineRule="auto"/>
        <w:rPr>
          <w:sz w:val="20"/>
          <w:szCs w:val="20"/>
          <w:color w:val="auto"/>
        </w:rPr>
      </w:pPr>
      <w:r>
        <w:rPr>
          <w:rFonts w:ascii="Arial" w:cs="Arial" w:eastAsia="Arial" w:hAnsi="Arial"/>
          <w:sz w:val="17"/>
          <w:szCs w:val="17"/>
          <w:color w:val="auto"/>
        </w:rPr>
        <w:t>In addition, all shares of a series of redeemable convertible preferred stock (other than Series B-1 redeemable convertible preferred stock) will convert into voting common stock upon the vote of holders of a majority of the then outstanding shares of such series, and additionally with respect to Series I-1 redeemable convertible preferred stock, which will convert to non-voting common stock upon the conversion of all outstanding shares of Series I redeemable convertible preferred stock.</w:t>
      </w:r>
    </w:p>
    <w:p>
      <w:pPr>
        <w:spacing w:after="0" w:line="179" w:lineRule="exact"/>
        <w:rPr>
          <w:sz w:val="20"/>
          <w:szCs w:val="20"/>
          <w:color w:val="auto"/>
        </w:rPr>
      </w:pPr>
    </w:p>
    <w:p>
      <w:pPr>
        <w:ind w:left="460"/>
        <w:spacing w:after="0" w:line="296" w:lineRule="auto"/>
        <w:rPr>
          <w:sz w:val="20"/>
          <w:szCs w:val="20"/>
          <w:color w:val="auto"/>
        </w:rPr>
      </w:pPr>
      <w:r>
        <w:rPr>
          <w:rFonts w:ascii="Arial" w:cs="Arial" w:eastAsia="Arial" w:hAnsi="Arial"/>
          <w:sz w:val="15"/>
          <w:szCs w:val="15"/>
          <w:color w:val="auto"/>
        </w:rPr>
        <w:t>Immediately prior to the filing of an amendment and restatement of the Company’s certificate of incorporation in connection with the closing of a Qualified IPO or Qualified Direct Listing, all outstanding shares of Series B-1 redeemable convertible preferred stock are automatically converted into shares of voting common stock if such conversion would not result in a regulated holder (i.e., a bank holding company subject to the provisions of the Bank Holding Company Act of 1956) and its Bank Holding Company Act transferees owning or controlling, or being deemed to own or control, collectively, greater than (i) 4.99% of the voting power of any class of voting securities of the Company or (ii) 9.99% of the total equity of the Company.</w:t>
      </w:r>
    </w:p>
    <w:p>
      <w:pPr>
        <w:spacing w:after="0" w:line="8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780"/>
          </w:cols>
          <w:pgMar w:left="320" w:top="440" w:right="799" w:bottom="1440" w:gutter="0" w:footer="0" w:header="0"/>
        </w:sectPr>
      </w:pPr>
    </w:p>
    <w:bookmarkStart w:id="362" w:name="page363"/>
    <w:bookmarkEnd w:id="3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5" w:lineRule="exact"/>
        <w:rPr>
          <w:sz w:val="20"/>
          <w:szCs w:val="20"/>
          <w:color w:val="auto"/>
        </w:rPr>
      </w:pPr>
    </w:p>
    <w:p>
      <w:pPr>
        <w:ind w:left="880" w:hanging="423"/>
        <w:spacing w:after="0"/>
        <w:tabs>
          <w:tab w:leader="none" w:pos="880"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(Deficit)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authorized and issued and outstanding common stock consisted of the following:</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gridSpan w:val="4"/>
          </w:tcPr>
          <w:p>
            <w:pPr>
              <w:jc w:val="right"/>
              <w:ind w:right="153"/>
              <w:spacing w:after="0"/>
              <w:rPr>
                <w:sz w:val="20"/>
                <w:szCs w:val="20"/>
                <w:color w:val="auto"/>
              </w:rPr>
            </w:pPr>
            <w:r>
              <w:rPr>
                <w:rFonts w:ascii="Arial" w:cs="Arial" w:eastAsia="Arial" w:hAnsi="Arial"/>
                <w:sz w:val="13"/>
                <w:szCs w:val="13"/>
                <w:b w:val="1"/>
                <w:bCs w:val="1"/>
                <w:color w:val="auto"/>
              </w:rPr>
              <w:t>As of December 31, 2021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6"/>
          </w:tcPr>
          <w:p>
            <w:pPr>
              <w:ind w:left="100"/>
              <w:spacing w:after="0"/>
              <w:rPr>
                <w:sz w:val="20"/>
                <w:szCs w:val="20"/>
                <w:color w:val="auto"/>
              </w:rPr>
            </w:pPr>
            <w:r>
              <w:rPr>
                <w:rFonts w:ascii="Arial" w:cs="Arial" w:eastAsia="Arial" w:hAnsi="Arial"/>
                <w:sz w:val="13"/>
                <w:szCs w:val="13"/>
                <w:b w:val="1"/>
                <w:bCs w:val="1"/>
                <w:color w:val="auto"/>
              </w:rPr>
              <w:t>As of December 31, 2022</w:t>
            </w:r>
          </w:p>
        </w:tc>
        <w:tc>
          <w:tcPr>
            <w:tcW w:w="240" w:type="dxa"/>
            <w:vAlign w:val="bottom"/>
          </w:tcPr>
          <w:p>
            <w:pPr>
              <w:spacing w:after="0"/>
              <w:rPr>
                <w:sz w:val="13"/>
                <w:szCs w:val="13"/>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As of June 30, 2023</w:t>
            </w: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60" w:type="dxa"/>
            <w:vAlign w:val="bottom"/>
            <w:tcBorders>
              <w:top w:val="single" w:sz="8" w:color="auto"/>
              <w:bottom w:val="single" w:sz="8" w:color="auto"/>
            </w:tcBorders>
            <w:gridSpan w:val="2"/>
          </w:tcPr>
          <w:p>
            <w:pPr>
              <w:jc w:val="right"/>
              <w:ind w:right="340"/>
              <w:spacing w:after="0" w:line="132" w:lineRule="exact"/>
              <w:rPr>
                <w:sz w:val="20"/>
                <w:szCs w:val="20"/>
                <w:color w:val="auto"/>
              </w:rPr>
            </w:pPr>
            <w:r>
              <w:rPr>
                <w:rFonts w:ascii="Arial" w:cs="Arial" w:eastAsia="Arial" w:hAnsi="Arial"/>
                <w:sz w:val="13"/>
                <w:szCs w:val="13"/>
                <w:b w:val="1"/>
                <w:bCs w:val="1"/>
                <w:color w:val="auto"/>
              </w:rPr>
              <w:t>Authorized</w:t>
            </w:r>
          </w:p>
        </w:tc>
        <w:tc>
          <w:tcPr>
            <w:tcW w:w="800" w:type="dxa"/>
            <w:vAlign w:val="bottom"/>
            <w:tcBorders>
              <w:top w:val="single" w:sz="8" w:color="auto"/>
              <w:bottom w:val="single" w:sz="8" w:color="auto"/>
            </w:tcBorders>
            <w:gridSpan w:val="2"/>
          </w:tcPr>
          <w:p>
            <w:pPr>
              <w:jc w:val="right"/>
              <w:spacing w:after="0" w:line="132" w:lineRule="exact"/>
              <w:rPr>
                <w:sz w:val="20"/>
                <w:szCs w:val="20"/>
                <w:color w:val="auto"/>
              </w:rPr>
            </w:pPr>
            <w:r>
              <w:rPr>
                <w:rFonts w:ascii="Arial" w:cs="Arial" w:eastAsia="Arial" w:hAnsi="Arial"/>
                <w:sz w:val="13"/>
                <w:szCs w:val="13"/>
                <w:b w:val="1"/>
                <w:bCs w:val="1"/>
                <w:color w:val="auto"/>
                <w:w w:val="96"/>
              </w:rPr>
              <w:t>Outstanding</w:t>
            </w:r>
          </w:p>
        </w:tc>
        <w:tc>
          <w:tcPr>
            <w:tcW w:w="260" w:type="dxa"/>
            <w:vAlign w:val="bottom"/>
            <w:tcBorders>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4"/>
          </w:tcPr>
          <w:p>
            <w:pPr>
              <w:ind w:left="80"/>
              <w:spacing w:after="0" w:line="132" w:lineRule="exact"/>
              <w:rPr>
                <w:sz w:val="20"/>
                <w:szCs w:val="20"/>
                <w:color w:val="auto"/>
              </w:rPr>
            </w:pPr>
            <w:r>
              <w:rPr>
                <w:rFonts w:ascii="Arial" w:cs="Arial" w:eastAsia="Arial" w:hAnsi="Arial"/>
                <w:sz w:val="13"/>
                <w:szCs w:val="13"/>
                <w:b w:val="1"/>
                <w:bCs w:val="1"/>
                <w:color w:val="auto"/>
              </w:rPr>
              <w:t>Authorized</w:t>
            </w:r>
          </w:p>
        </w:tc>
        <w:tc>
          <w:tcPr>
            <w:tcW w:w="820" w:type="dxa"/>
            <w:vAlign w:val="bottom"/>
            <w:tcBorders>
              <w:top w:val="single" w:sz="8" w:color="auto"/>
              <w:bottom w:val="single" w:sz="8" w:color="auto"/>
            </w:tcBorders>
            <w:gridSpan w:val="2"/>
          </w:tcPr>
          <w:p>
            <w:pPr>
              <w:jc w:val="right"/>
              <w:ind w:right="60"/>
              <w:spacing w:after="0" w:line="132" w:lineRule="exact"/>
              <w:rPr>
                <w:sz w:val="20"/>
                <w:szCs w:val="20"/>
                <w:color w:val="auto"/>
              </w:rPr>
            </w:pPr>
            <w:r>
              <w:rPr>
                <w:rFonts w:ascii="Arial" w:cs="Arial" w:eastAsia="Arial" w:hAnsi="Arial"/>
                <w:sz w:val="13"/>
                <w:szCs w:val="13"/>
                <w:b w:val="1"/>
                <w:bCs w:val="1"/>
                <w:color w:val="auto"/>
                <w:w w:val="96"/>
              </w:rPr>
              <w:t>Outstanding</w:t>
            </w:r>
          </w:p>
        </w:tc>
        <w:tc>
          <w:tcPr>
            <w:tcW w:w="240" w:type="dxa"/>
            <w:vAlign w:val="bottom"/>
          </w:tcPr>
          <w:p>
            <w:pPr>
              <w:spacing w:after="0"/>
              <w:rPr>
                <w:sz w:val="11"/>
                <w:szCs w:val="11"/>
                <w:color w:val="auto"/>
              </w:rPr>
            </w:pPr>
          </w:p>
        </w:tc>
        <w:tc>
          <w:tcPr>
            <w:tcW w:w="1100" w:type="dxa"/>
            <w:vAlign w:val="bottom"/>
            <w:tcBorders>
              <w:top w:val="single" w:sz="8" w:color="auto"/>
              <w:bottom w:val="single" w:sz="8" w:color="auto"/>
            </w:tcBorders>
            <w:gridSpan w:val="3"/>
          </w:tcPr>
          <w:p>
            <w:pPr>
              <w:jc w:val="right"/>
              <w:ind w:right="276"/>
              <w:spacing w:after="0" w:line="132" w:lineRule="exact"/>
              <w:rPr>
                <w:sz w:val="20"/>
                <w:szCs w:val="20"/>
                <w:color w:val="auto"/>
              </w:rPr>
            </w:pPr>
            <w:r>
              <w:rPr>
                <w:rFonts w:ascii="Arial" w:cs="Arial" w:eastAsia="Arial" w:hAnsi="Arial"/>
                <w:sz w:val="13"/>
                <w:szCs w:val="13"/>
                <w:b w:val="1"/>
                <w:bCs w:val="1"/>
                <w:color w:val="auto"/>
              </w:rPr>
              <w:t>Authorized</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3"/>
              </w:rPr>
              <w:t>Outstanding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6"/>
          </w:tcPr>
          <w:p>
            <w:pPr>
              <w:ind w:left="140"/>
              <w:spacing w:after="0" w:line="132" w:lineRule="exact"/>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gridSpan w:val="4"/>
          </w:tcPr>
          <w:p>
            <w:pPr>
              <w:jc w:val="right"/>
              <w:ind w:right="120"/>
              <w:spacing w:after="0" w:line="132" w:lineRule="exact"/>
              <w:rPr>
                <w:sz w:val="20"/>
                <w:szCs w:val="20"/>
                <w:color w:val="auto"/>
              </w:rPr>
            </w:pPr>
            <w:r>
              <w:rPr>
                <w:rFonts w:ascii="Arial" w:cs="Arial" w:eastAsia="Arial" w:hAnsi="Arial"/>
                <w:sz w:val="13"/>
                <w:szCs w:val="13"/>
                <w:b w:val="1"/>
                <w:bCs w:val="1"/>
                <w:color w:val="auto"/>
              </w:rPr>
              <w:t>(unaudited, 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Voting</w:t>
            </w:r>
          </w:p>
        </w:tc>
        <w:tc>
          <w:tcPr>
            <w:tcW w:w="44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345,120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345,120</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56,435</w:t>
            </w:r>
          </w:p>
        </w:tc>
        <w:tc>
          <w:tcPr>
            <w:tcW w:w="1100" w:type="dxa"/>
            <w:vAlign w:val="bottom"/>
            <w:tcBorders>
              <w:right w:val="single" w:sz="8" w:color="CCEEFF"/>
            </w:tcBorders>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345,120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56,543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20"/>
                <w:szCs w:val="20"/>
                <w:color w:val="auto"/>
              </w:rPr>
            </w:pPr>
            <w:r>
              <w:rPr>
                <w:rFonts w:ascii="Arial" w:cs="Arial" w:eastAsia="Arial" w:hAnsi="Arial"/>
                <w:sz w:val="17"/>
                <w:szCs w:val="17"/>
                <w:color w:val="auto"/>
                <w:w w:val="94"/>
              </w:rPr>
              <w:t>Non-voting</w:t>
            </w:r>
          </w:p>
        </w:tc>
        <w:tc>
          <w:tcPr>
            <w:tcW w:w="3360" w:type="dxa"/>
            <w:vAlign w:val="bottom"/>
            <w:gridSpan w:val="2"/>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475,389</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13,187</w:t>
            </w:r>
          </w:p>
        </w:tc>
        <w:tc>
          <w:tcPr>
            <w:tcW w:w="1100" w:type="dxa"/>
            <w:vAlign w:val="bottom"/>
            <w:gridSpan w:val="4"/>
          </w:tcPr>
          <w:p>
            <w:pPr>
              <w:jc w:val="right"/>
              <w:ind w:right="40"/>
              <w:spacing w:after="0"/>
              <w:rPr>
                <w:sz w:val="20"/>
                <w:szCs w:val="20"/>
                <w:color w:val="auto"/>
              </w:rPr>
            </w:pPr>
            <w:r>
              <w:rPr>
                <w:rFonts w:ascii="Arial" w:cs="Arial" w:eastAsia="Arial" w:hAnsi="Arial"/>
                <w:sz w:val="17"/>
                <w:szCs w:val="17"/>
                <w:color w:val="auto"/>
              </w:rPr>
              <w:t>475,389</w:t>
            </w:r>
          </w:p>
        </w:tc>
        <w:tc>
          <w:tcPr>
            <w:tcW w:w="22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7"/>
                <w:szCs w:val="17"/>
                <w:color w:val="auto"/>
              </w:rPr>
              <w:t>15,795</w:t>
            </w:r>
          </w:p>
        </w:tc>
        <w:tc>
          <w:tcPr>
            <w:tcW w:w="1100" w:type="dxa"/>
            <w:vAlign w:val="bottom"/>
            <w:gridSpan w:val="3"/>
          </w:tcPr>
          <w:p>
            <w:pPr>
              <w:jc w:val="right"/>
              <w:ind w:right="196"/>
              <w:spacing w:after="0"/>
              <w:rPr>
                <w:sz w:val="20"/>
                <w:szCs w:val="20"/>
                <w:color w:val="auto"/>
              </w:rPr>
            </w:pPr>
            <w:r>
              <w:rPr>
                <w:rFonts w:ascii="Arial" w:cs="Arial" w:eastAsia="Arial" w:hAnsi="Arial"/>
                <w:sz w:val="17"/>
                <w:szCs w:val="17"/>
                <w:color w:val="auto"/>
              </w:rPr>
              <w:t>475,389</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15,833</w:t>
            </w: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360" w:type="dxa"/>
            <w:vAlign w:val="bottom"/>
            <w:gridSpan w:val="2"/>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820,509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69,535</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820,509</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72,230</w:t>
            </w:r>
          </w:p>
        </w:tc>
        <w:tc>
          <w:tcPr>
            <w:tcW w:w="2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820,509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72,376</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020" w:type="dxa"/>
            <w:vAlign w:val="bottom"/>
            <w:gridSpan w:val="7"/>
          </w:tcPr>
          <w:p>
            <w:pPr>
              <w:spacing w:after="0"/>
              <w:rPr>
                <w:sz w:val="20"/>
                <w:szCs w:val="20"/>
                <w:color w:val="auto"/>
              </w:rPr>
            </w:pPr>
            <w:r>
              <w:rPr>
                <w:rFonts w:ascii="Arial" w:cs="Arial" w:eastAsia="Arial" w:hAnsi="Arial"/>
                <w:sz w:val="17"/>
                <w:szCs w:val="17"/>
                <w:color w:val="auto"/>
                <w:w w:val="95"/>
              </w:rPr>
              <w:t>The Company had reserved shares of common stock for future issuance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5"/>
          </w:tcPr>
          <w:p>
            <w:pPr>
              <w:ind w:left="180"/>
              <w:spacing w:after="0"/>
              <w:rPr>
                <w:sz w:val="20"/>
                <w:szCs w:val="20"/>
                <w:color w:val="auto"/>
              </w:rPr>
            </w:pPr>
            <w:r>
              <w:rPr>
                <w:rFonts w:ascii="Arial" w:cs="Arial" w:eastAsia="Arial" w:hAnsi="Arial"/>
                <w:sz w:val="13"/>
                <w:szCs w:val="13"/>
                <w:b w:val="1"/>
                <w:bCs w:val="1"/>
                <w:color w:val="auto"/>
                <w:w w:val="92"/>
              </w:rPr>
              <w:t>As of December 31,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center"/>
              <w:ind w:left="120"/>
              <w:spacing w:after="0"/>
              <w:rPr>
                <w:sz w:val="20"/>
                <w:szCs w:val="20"/>
                <w:color w:val="auto"/>
              </w:rPr>
            </w:pPr>
            <w:r>
              <w:rPr>
                <w:rFonts w:ascii="Arial" w:cs="Arial" w:eastAsia="Arial" w:hAnsi="Arial"/>
                <w:sz w:val="13"/>
                <w:szCs w:val="13"/>
                <w:b w:val="1"/>
                <w:bCs w:val="1"/>
                <w:color w:val="auto"/>
                <w:w w:val="92"/>
              </w:rPr>
              <w:t>As of June 30,</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78"/>
              <w:spacing w:after="0" w:line="13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8"/>
              <w:spacing w:after="0" w:line="132" w:lineRule="exact"/>
              <w:rPr>
                <w:sz w:val="20"/>
                <w:szCs w:val="20"/>
                <w:color w:val="auto"/>
              </w:rPr>
            </w:pPr>
            <w:r>
              <w:rPr>
                <w:rFonts w:ascii="Arial" w:cs="Arial" w:eastAsia="Arial" w:hAnsi="Arial"/>
                <w:sz w:val="13"/>
                <w:szCs w:val="13"/>
                <w:b w:val="1"/>
                <w:bCs w:val="1"/>
                <w:color w:val="auto"/>
                <w:w w:val="96"/>
              </w:rPr>
              <w:t>2022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center"/>
              <w:ind w:left="170"/>
              <w:spacing w:after="0" w:line="132" w:lineRule="exact"/>
              <w:rPr>
                <w:sz w:val="20"/>
                <w:szCs w:val="20"/>
                <w:color w:val="auto"/>
              </w:rPr>
            </w:pPr>
            <w:r>
              <w:rPr>
                <w:rFonts w:ascii="Arial" w:cs="Arial" w:eastAsia="Arial" w:hAnsi="Arial"/>
                <w:sz w:val="13"/>
                <w:szCs w:val="13"/>
                <w:b w:val="1"/>
                <w:bCs w:val="1"/>
                <w:color w:val="auto"/>
                <w:w w:val="89"/>
              </w:rPr>
              <w:t>2023</w:t>
            </w:r>
          </w:p>
        </w:tc>
        <w:tc>
          <w:tcPr>
            <w:tcW w:w="280" w:type="dxa"/>
            <w:vAlign w:val="bottom"/>
            <w:tcBorders>
              <w:top w:val="single" w:sz="8" w:color="auto"/>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jc w:val="center"/>
              <w:spacing w:after="0" w:line="112" w:lineRule="exact"/>
              <w:rPr>
                <w:sz w:val="20"/>
                <w:szCs w:val="20"/>
                <w:color w:val="auto"/>
              </w:rPr>
            </w:pPr>
            <w:r>
              <w:rPr>
                <w:rFonts w:ascii="Arial" w:cs="Arial" w:eastAsia="Arial" w:hAnsi="Arial"/>
                <w:sz w:val="12"/>
                <w:szCs w:val="12"/>
                <w:b w:val="1"/>
                <w:bCs w:val="1"/>
                <w:color w:val="auto"/>
              </w:rPr>
              <w:t>(unaudited,</w:t>
            </w: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167,692</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167,692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167,692</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Arial" w:cs="Arial" w:eastAsia="Arial" w:hAnsi="Arial"/>
                <w:sz w:val="17"/>
                <w:szCs w:val="17"/>
                <w:color w:val="auto"/>
              </w:rPr>
              <w:t>Non-voting common stock warrants</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11,147</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7,431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7,431</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39,450</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63,467</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Arial" w:cs="Arial" w:eastAsia="Arial" w:hAnsi="Arial"/>
                <w:sz w:val="17"/>
                <w:szCs w:val="17"/>
                <w:color w:val="auto"/>
              </w:rPr>
              <w:t>Exchangeable shares outstanding</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689</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689</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 options outstanding</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30,264</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30,033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29,910</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gridSpan w:val="3"/>
          </w:tcPr>
          <w:p>
            <w:pPr>
              <w:spacing w:after="0" w:line="190" w:lineRule="exact"/>
              <w:rPr>
                <w:sz w:val="20"/>
                <w:szCs w:val="20"/>
                <w:color w:val="auto"/>
              </w:rPr>
            </w:pPr>
            <w:r>
              <w:rPr>
                <w:rFonts w:ascii="Arial" w:cs="Arial" w:eastAsia="Arial" w:hAnsi="Arial"/>
                <w:sz w:val="17"/>
                <w:szCs w:val="17"/>
                <w:color w:val="auto"/>
              </w:rPr>
              <w:t>Non-voting common stock issuable pursuant to a</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gridSpan w:val="3"/>
          </w:tcPr>
          <w:p>
            <w:pPr>
              <w:ind w:left="160"/>
              <w:spacing w:after="0"/>
              <w:rPr>
                <w:sz w:val="20"/>
                <w:szCs w:val="20"/>
                <w:color w:val="auto"/>
              </w:rPr>
            </w:pPr>
            <w:r>
              <w:rPr>
                <w:rFonts w:ascii="Arial" w:cs="Arial" w:eastAsia="Arial" w:hAnsi="Arial"/>
                <w:sz w:val="17"/>
                <w:szCs w:val="17"/>
                <w:color w:val="auto"/>
              </w:rPr>
              <w:t>subscription agreement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465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Shares available for future grant</w:t>
            </w:r>
          </w:p>
        </w:tc>
        <w:tc>
          <w:tcPr>
            <w:tcW w:w="3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4,511</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gridSpan w:val="3"/>
          </w:tcPr>
          <w:p>
            <w:pPr>
              <w:ind w:left="660"/>
              <w:spacing w:after="0"/>
              <w:rPr>
                <w:sz w:val="20"/>
                <w:szCs w:val="20"/>
                <w:color w:val="auto"/>
              </w:rPr>
            </w:pPr>
            <w:r>
              <w:rPr>
                <w:rFonts w:ascii="Arial" w:cs="Arial" w:eastAsia="Arial" w:hAnsi="Arial"/>
                <w:sz w:val="17"/>
                <w:szCs w:val="17"/>
                <w:color w:val="auto"/>
              </w:rPr>
              <w:t>Total</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254,218</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266,488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276,842</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60" w:right="60"/>
        <w:spacing w:after="0" w:line="260" w:lineRule="auto"/>
        <w:rPr>
          <w:sz w:val="20"/>
          <w:szCs w:val="20"/>
          <w:color w:val="auto"/>
        </w:rPr>
      </w:pPr>
      <w:r>
        <w:rPr>
          <w:rFonts w:ascii="Arial" w:cs="Arial" w:eastAsia="Arial" w:hAnsi="Arial"/>
          <w:sz w:val="17"/>
          <w:szCs w:val="17"/>
          <w:color w:val="auto"/>
        </w:rPr>
        <w:t>The holders of common stock are also entitled to receive dividends out of funds that are legally available, when and if declared by the board of directors and subject to the prior rights of the holders of redeemable convertible preferred stock. For the years ended December 31, 2020, 2021, and 2022 and six months ended June 30, 2022 and 2023 (unaudited), no dividends were declared or paid.</w:t>
      </w:r>
    </w:p>
    <w:p>
      <w:pPr>
        <w:spacing w:after="0" w:line="175" w:lineRule="exact"/>
        <w:rPr>
          <w:sz w:val="20"/>
          <w:szCs w:val="20"/>
          <w:color w:val="auto"/>
        </w:rPr>
      </w:pPr>
    </w:p>
    <w:p>
      <w:pPr>
        <w:ind w:left="460" w:right="20"/>
        <w:spacing w:after="0" w:line="272" w:lineRule="auto"/>
        <w:rPr>
          <w:sz w:val="20"/>
          <w:szCs w:val="20"/>
          <w:color w:val="auto"/>
        </w:rPr>
      </w:pPr>
      <w:r>
        <w:rPr>
          <w:rFonts w:ascii="Arial" w:cs="Arial" w:eastAsia="Arial" w:hAnsi="Arial"/>
          <w:sz w:val="16"/>
          <w:szCs w:val="16"/>
          <w:color w:val="auto"/>
        </w:rPr>
        <w:t>In connection with the issuance of Series G redeemable convertible preferred stock, the Company facilitated a tender offer whereby certain existing investors purchased shares of the Company’s common stock from certain employees or former employees of the Company at a price of $46.30 per share for an aggregate of $143 million. The tender offer was completed in August 2020, and an aggregate of 3,098,052 shares of the Company’s common stock were tendered. The purchase price per share in the tender offer was in excess of the then fair value of outstanding common stock of $35.32 per share. The Company recognized $34 million of stock-based compensation expense related to the excess of the purchase price per share of common stock paid to its employees over the fair value of the shares tendered.</w:t>
      </w:r>
    </w:p>
    <w:p>
      <w:pPr>
        <w:spacing w:after="0" w:line="167"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In March 2021, the Company issued an aggregate of 960,000 shares of non-voting common stock to certain retailers at a price of $125.00 per share with total proceeds of $120 million.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08"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The Plans provide for the issuance of incentive stock options, non-statutory stock options, stock awards, restricted stock, RSUs, and stock appreciation rights to eligible participants. Under the Plans, stock options are to be granted with an exercise price per share that is not less than 100% of the fair value of the common stock on</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00"/>
          </w:cols>
          <w:pgMar w:left="320" w:top="440" w:right="779" w:bottom="1440" w:gutter="0" w:footer="0" w:header="0"/>
        </w:sectPr>
      </w:pPr>
    </w:p>
    <w:bookmarkStart w:id="363" w:name="page364"/>
    <w:bookmarkEnd w:id="3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color w:val="auto"/>
        </w:rPr>
        <w:t>the date of grant. The 2013 Plan, which was terminated in August 2018, allowed the Company to issue awards for its voting common stock only. The 2018 Plan allows the Company to issue awards for its non-voting common stock only.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Stock Options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Activity under the Plans is set forth below:</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Weighted-</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Weighted-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Available</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3"/>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rPr>
              <w:t>for</w:t>
            </w: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9"/>
              </w:rPr>
              <w:t>Average</w:t>
            </w:r>
          </w:p>
        </w:tc>
        <w:tc>
          <w:tcPr>
            <w:tcW w:w="96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6"/>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Future</w:t>
            </w:r>
          </w:p>
        </w:tc>
        <w:tc>
          <w:tcPr>
            <w:tcW w:w="10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3"/>
              </w:rPr>
              <w:t>Exercise</w:t>
            </w:r>
          </w:p>
        </w:tc>
        <w:tc>
          <w:tcPr>
            <w:tcW w:w="96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6"/>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Grant</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Options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Price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Life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000" w:type="dxa"/>
            <w:vAlign w:val="bottom"/>
            <w:tcBorders>
              <w:top w:val="single" w:sz="8" w:color="auto"/>
            </w:tcBorders>
            <w:gridSpan w:val="3"/>
          </w:tcPr>
          <w:p>
            <w:pPr>
              <w:jc w:val="right"/>
              <w:ind w:right="497"/>
              <w:spacing w:after="0" w:line="132"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6"/>
              </w:rPr>
              <w:t>(in years)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4"/>
              <w:spacing w:after="0" w:line="132" w:lineRule="exact"/>
              <w:rPr>
                <w:sz w:val="20"/>
                <w:szCs w:val="20"/>
                <w:color w:val="auto"/>
              </w:rPr>
            </w:pPr>
            <w:r>
              <w:rPr>
                <w:rFonts w:ascii="Arial" w:cs="Arial" w:eastAsia="Arial" w:hAnsi="Arial"/>
                <w:sz w:val="13"/>
                <w:szCs w:val="13"/>
                <w:b w:val="1"/>
                <w:bCs w:val="1"/>
                <w:color w:val="auto"/>
                <w:w w:val="95"/>
              </w:rPr>
              <w:t>(in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As of January 1, 2020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6,066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35,508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Additional shares reserved</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8,922</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exercised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(2,758)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4.38</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Options forfeited and cancelled</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1,674</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(1,674)</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9.96</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Restricted stock units granted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(14,384)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Restricted stock units 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1,318</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3,596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31,076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Additional shares reserved</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16,394</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granted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47.69</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Options exercised</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(1,051)</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6.16</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forfeited and cancelled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11.20</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Restricted stock granted</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Restricted stock units granted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(18,254)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Restricted stock units 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2021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4,511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30,264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Additional shares reserved</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16,600</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exercised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8.10</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Options forfeited and cancelled</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82</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(82)</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12.35</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Restricted stock units granted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Restricted stock units forfeited and 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2022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3,628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30,033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Additional shares reserved (unaudited)</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10,500</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exercised (unaudited)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5.00</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Restricted stock units granted (unaudited)</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(8,794)</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Shares withheld related to net share settlement (unaudited)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7"/>
                <w:szCs w:val="17"/>
                <w:color w:val="auto"/>
              </w:rPr>
              <w:t>Restricted stock units forfeited (unaudited)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As of June 30, 2023 (unaudited)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7"/>
                <w:szCs w:val="17"/>
                <w:color w:val="auto"/>
              </w:rPr>
              <w:t>Options vested and expected to vest as of December 31, 2022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7.65</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4.16</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line="20" w:lineRule="exact"/>
              <w:rPr>
                <w:sz w:val="1"/>
                <w:szCs w:val="1"/>
                <w:color w:val="auto"/>
              </w:rPr>
            </w:pPr>
          </w:p>
        </w:tc>
      </w:tr>
      <w:tr>
        <w:trPr>
          <w:trHeight w:val="193"/>
        </w:trPr>
        <w:tc>
          <w:tcPr>
            <w:tcW w:w="500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30,033</w:t>
            </w:r>
          </w:p>
        </w:tc>
        <w:tc>
          <w:tcPr>
            <w:tcW w:w="2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Options exercisable as of December 31, 2022</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29,795</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7.33</w:t>
            </w:r>
          </w:p>
        </w:tc>
        <w:tc>
          <w:tcPr>
            <w:tcW w:w="9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4.13</w:t>
            </w:r>
          </w:p>
        </w:tc>
        <w:tc>
          <w:tcPr>
            <w:tcW w:w="1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684</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7"/>
                <w:szCs w:val="17"/>
                <w:color w:val="auto"/>
                <w:w w:val="95"/>
              </w:rPr>
              <w:t>Options vested and expected to vest as of June 30, 2023 (unaudited)</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7.66</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3.68</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841</w:t>
            </w:r>
          </w:p>
        </w:tc>
        <w:tc>
          <w:tcPr>
            <w:tcW w:w="0" w:type="dxa"/>
            <w:vAlign w:val="bottom"/>
          </w:tcPr>
          <w:p>
            <w:pPr>
              <w:spacing w:after="0" w:line="20" w:lineRule="exact"/>
              <w:rPr>
                <w:sz w:val="1"/>
                <w:szCs w:val="1"/>
                <w:color w:val="auto"/>
              </w:rPr>
            </w:pPr>
          </w:p>
        </w:tc>
      </w:tr>
      <w:tr>
        <w:trPr>
          <w:trHeight w:val="193"/>
        </w:trPr>
        <w:tc>
          <w:tcPr>
            <w:tcW w:w="500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29,910</w:t>
            </w:r>
          </w:p>
        </w:tc>
        <w:tc>
          <w:tcPr>
            <w:tcW w:w="2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Options exercisable as of June 30, 2023 (unaudited)</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29,732</w:t>
            </w:r>
          </w:p>
        </w:tc>
        <w:tc>
          <w:tcPr>
            <w:tcW w:w="2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7.42</w:t>
            </w:r>
          </w:p>
        </w:tc>
        <w:tc>
          <w:tcPr>
            <w:tcW w:w="9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3.65</w:t>
            </w:r>
          </w:p>
        </w:tc>
        <w:tc>
          <w:tcPr>
            <w:tcW w:w="1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00" w:type="dxa"/>
            <w:vAlign w:val="bottom"/>
            <w:gridSpan w:val="2"/>
            <w:vMerge w:val="restart"/>
          </w:tcPr>
          <w:p>
            <w:pPr>
              <w:jc w:val="right"/>
              <w:ind w:right="780"/>
              <w:spacing w:after="0"/>
              <w:rPr>
                <w:sz w:val="20"/>
                <w:szCs w:val="20"/>
                <w:color w:val="auto"/>
              </w:rPr>
            </w:pPr>
            <w:r>
              <w:rPr>
                <w:rFonts w:ascii="Arial" w:cs="Arial" w:eastAsia="Arial" w:hAnsi="Arial"/>
                <w:sz w:val="17"/>
                <w:szCs w:val="17"/>
                <w:color w:val="auto"/>
                <w:w w:val="85"/>
              </w:rPr>
              <w:t>F-52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364" w:name="page365"/>
    <w:bookmarkEnd w:id="3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40"/>
        <w:spacing w:after="0" w:line="274" w:lineRule="auto"/>
        <w:rPr>
          <w:sz w:val="20"/>
          <w:szCs w:val="20"/>
          <w:color w:val="auto"/>
        </w:rPr>
      </w:pPr>
      <w:r>
        <w:rPr>
          <w:rFonts w:ascii="Arial" w:cs="Arial" w:eastAsia="Arial" w:hAnsi="Arial"/>
          <w:sz w:val="16"/>
          <w:szCs w:val="16"/>
          <w:color w:val="auto"/>
        </w:rPr>
        <w:t>The weighted-average grant-date fair value of stock options granted during the year ended December 31, 2021 was $49.80 per share. The total intrinsic value of the stock options exercised during the years ended December 31, 2020, 2021, and 2022 was $97 million, $93 million, and $8 million, respectively, and $6 million and $4 million for the six months ended June 30, 2022 and 2023 (unaudited), respectively. The total fair value of stock options vested was $41 million, $16 million, and $17 million during the years ended December 31, 2020, 2021, and 2022, respectively, and $13 million and $3 million for the six months ended June 30, 2022 and 2023 (unaudited), respectively.</w:t>
      </w:r>
    </w:p>
    <w:p>
      <w:pPr>
        <w:spacing w:after="0" w:line="165" w:lineRule="exact"/>
        <w:rPr>
          <w:sz w:val="20"/>
          <w:szCs w:val="20"/>
          <w:color w:val="auto"/>
        </w:rPr>
      </w:pPr>
    </w:p>
    <w:p>
      <w:pPr>
        <w:jc w:val="both"/>
        <w:ind w:left="460" w:right="60"/>
        <w:spacing w:after="0" w:line="284" w:lineRule="auto"/>
        <w:rPr>
          <w:sz w:val="20"/>
          <w:szCs w:val="20"/>
          <w:color w:val="auto"/>
        </w:rPr>
      </w:pPr>
      <w:r>
        <w:rPr>
          <w:rFonts w:ascii="Arial" w:cs="Arial" w:eastAsia="Arial" w:hAnsi="Arial"/>
          <w:sz w:val="16"/>
          <w:szCs w:val="16"/>
          <w:color w:val="auto"/>
        </w:rPr>
        <w:t>During the year ended December 31, 2021, the board of directors modified the terms of 1,060,459 stock options granted to certain executives related to the acceleration of the service-based vesting conditions upon involuntary termination of employment in conjunction with a change in control event. No incremental stock-based compensation expense was recorded as a result of the modification related to the stock options.</w:t>
      </w:r>
    </w:p>
    <w:p>
      <w:pPr>
        <w:spacing w:after="0" w:line="157"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Stock-based compensation expense recognized associated with stock options was $30 million, $18 million, and $15 million during the years ended December 31, 2020, 2021, and 2022, respectively, excluding the impact of the August 2020 tender offer discussed above, and $7 million and $2 million, respectively, for the six months ended June 30, 2022 and 2023 (unaudited). As of December 31, 2022 and June 30, 2023 (unaudited), unrecognized stock-based compensation expense totaled $12 million and $9 million, respectively, and is expected to be recognized over a weighted-average period of 2.04 and 1.58 years, respectively.</w:t>
      </w:r>
    </w:p>
    <w:p>
      <w:pPr>
        <w:spacing w:after="0" w:line="181"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No stock options were granted during the years ended December 31, 2020 or 2022 or the six months ended June 30, 2023 (unaudited). The fair value of the stock options granted during the year ended December 31, 2021 was determined using the following assumptions:</w:t>
      </w:r>
    </w:p>
    <w:p>
      <w:pPr>
        <w:spacing w:after="0" w:line="182"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5020" w:type="dxa"/>
            <w:vAlign w:val="bottom"/>
          </w:tcPr>
          <w:p>
            <w:pPr>
              <w:spacing w:after="0"/>
              <w:rPr>
                <w:sz w:val="13"/>
                <w:szCs w:val="13"/>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Year Ended December 31, 2021</w:t>
            </w:r>
          </w:p>
        </w:tc>
      </w:tr>
      <w:tr>
        <w:trPr>
          <w:trHeight w:val="195"/>
        </w:trPr>
        <w:tc>
          <w:tcPr>
            <w:tcW w:w="5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Expected term (years)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200" w:type="dxa"/>
            <w:vAlign w:val="bottom"/>
            <w:tcBorders>
              <w:top w:val="single" w:sz="8" w:color="CCEEFF"/>
            </w:tcBorders>
            <w:shd w:val="clear" w:color="auto" w:fill="CCEEFF"/>
          </w:tcPr>
          <w:p>
            <w:pPr>
              <w:spacing w:after="0"/>
              <w:rPr>
                <w:sz w:val="16"/>
                <w:szCs w:val="16"/>
                <w:color w:val="auto"/>
              </w:rPr>
            </w:pPr>
          </w:p>
        </w:tc>
      </w:tr>
      <w:tr>
        <w:trPr>
          <w:trHeight w:val="203"/>
        </w:trPr>
        <w:tc>
          <w:tcPr>
            <w:tcW w:w="5020" w:type="dxa"/>
            <w:vAlign w:val="bottom"/>
          </w:tcPr>
          <w:p>
            <w:pPr>
              <w:spacing w:after="0"/>
              <w:rPr>
                <w:sz w:val="20"/>
                <w:szCs w:val="20"/>
                <w:color w:val="auto"/>
              </w:rPr>
            </w:pPr>
            <w:r>
              <w:rPr>
                <w:rFonts w:ascii="Arial" w:cs="Arial" w:eastAsia="Arial" w:hAnsi="Arial"/>
                <w:sz w:val="17"/>
                <w:szCs w:val="17"/>
                <w:color w:val="auto"/>
              </w:rPr>
              <w:t>Expected volatility</w:t>
            </w:r>
          </w:p>
        </w:tc>
        <w:tc>
          <w:tcPr>
            <w:tcW w:w="2000" w:type="dxa"/>
            <w:vAlign w:val="bottom"/>
            <w:gridSpan w:val="2"/>
          </w:tcPr>
          <w:p>
            <w:pPr>
              <w:jc w:val="right"/>
              <w:ind w:right="60"/>
              <w:spacing w:after="0"/>
              <w:rPr>
                <w:sz w:val="20"/>
                <w:szCs w:val="20"/>
                <w:color w:val="auto"/>
              </w:rPr>
            </w:pPr>
            <w:r>
              <w:rPr>
                <w:rFonts w:ascii="Arial" w:cs="Arial" w:eastAsia="Arial" w:hAnsi="Arial"/>
                <w:sz w:val="17"/>
                <w:szCs w:val="17"/>
                <w:color w:val="auto"/>
              </w:rPr>
              <w:t>50.71%</w:t>
            </w: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0.71%</w:t>
            </w: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r>
    </w:tbl>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Restricted Stock</w:t>
      </w:r>
    </w:p>
    <w:p>
      <w:pPr>
        <w:spacing w:after="0" w:line="108"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color w:val="auto"/>
        </w:rPr>
        <w:t>The following table summarizes the activity related to the Company’s restricted stock for the years ended December 31, 2021 and 2022 and the six months ended June 30, 2023 (unaudited):</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40" w:type="dxa"/>
            <w:vAlign w:val="bottom"/>
            <w:gridSpan w:val="2"/>
            <w:vMerge w:val="restart"/>
          </w:tcPr>
          <w:p>
            <w:pPr>
              <w:jc w:val="center"/>
              <w:ind w:right="680"/>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Grant-Date Fair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Value per Share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6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95"/>
              </w:rPr>
              <w:t>(in</w:t>
            </w:r>
          </w:p>
        </w:tc>
        <w:tc>
          <w:tcPr>
            <w:tcW w:w="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88"/>
              </w:rPr>
              <w:t>thousands)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w w:val="97"/>
              </w:rPr>
              <w:t>Unvested and outstanding as of January 1, 2021</w:t>
            </w:r>
          </w:p>
        </w:tc>
        <w:tc>
          <w:tcPr>
            <w:tcW w:w="18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Granted</w:t>
            </w:r>
          </w:p>
        </w:tc>
        <w:tc>
          <w:tcPr>
            <w:tcW w:w="3220" w:type="dxa"/>
            <w:vAlign w:val="bottom"/>
            <w:gridSpan w:val="3"/>
          </w:tcPr>
          <w:p>
            <w:pPr>
              <w:ind w:left="2280"/>
              <w:spacing w:after="0"/>
              <w:rPr>
                <w:sz w:val="20"/>
                <w:szCs w:val="20"/>
                <w:color w:val="auto"/>
              </w:rPr>
            </w:pPr>
            <w:r>
              <w:rPr>
                <w:rFonts w:ascii="Arial" w:cs="Arial" w:eastAsia="Arial" w:hAnsi="Arial"/>
                <w:sz w:val="17"/>
                <w:szCs w:val="17"/>
                <w:color w:val="auto"/>
              </w:rPr>
              <w:t>719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322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880" w:type="dxa"/>
            <w:vAlign w:val="bottom"/>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w w:val="91"/>
              </w:rPr>
              <w:t>Unvested and outstanding as of December 31, 2021</w:t>
            </w:r>
          </w:p>
        </w:tc>
        <w:tc>
          <w:tcPr>
            <w:tcW w:w="3220" w:type="dxa"/>
            <w:vAlign w:val="bottom"/>
            <w:gridSpan w:val="3"/>
            <w:shd w:val="clear" w:color="auto" w:fill="CCEEFF"/>
          </w:tcPr>
          <w:p>
            <w:pPr>
              <w:ind w:left="2280"/>
              <w:spacing w:after="0"/>
              <w:rPr>
                <w:sz w:val="20"/>
                <w:szCs w:val="20"/>
                <w:color w:val="auto"/>
              </w:rPr>
            </w:pPr>
            <w:r>
              <w:rPr>
                <w:rFonts w:ascii="Arial" w:cs="Arial" w:eastAsia="Arial" w:hAnsi="Arial"/>
                <w:sz w:val="17"/>
                <w:szCs w:val="17"/>
                <w:color w:val="auto"/>
              </w:rPr>
              <w:t>697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Granted</w:t>
            </w:r>
          </w:p>
        </w:tc>
        <w:tc>
          <w:tcPr>
            <w:tcW w:w="3220" w:type="dxa"/>
            <w:vAlign w:val="bottom"/>
            <w:gridSpan w:val="3"/>
          </w:tcPr>
          <w:p>
            <w:pPr>
              <w:ind w:left="2280"/>
              <w:spacing w:after="0"/>
              <w:rPr>
                <w:sz w:val="20"/>
                <w:szCs w:val="20"/>
                <w:color w:val="auto"/>
              </w:rPr>
            </w:pPr>
            <w:r>
              <w:rPr>
                <w:rFonts w:ascii="Arial" w:cs="Arial" w:eastAsia="Arial" w:hAnsi="Arial"/>
                <w:sz w:val="17"/>
                <w:szCs w:val="17"/>
                <w:color w:val="auto"/>
              </w:rPr>
              <w:t>223</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322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880" w:type="dxa"/>
            <w:vAlign w:val="bottom"/>
          </w:tcPr>
          <w:p>
            <w:pPr>
              <w:spacing w:after="0"/>
              <w:rPr>
                <w:sz w:val="17"/>
                <w:szCs w:val="17"/>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20" w:type="dxa"/>
            <w:vAlign w:val="bottom"/>
            <w:gridSpan w:val="3"/>
          </w:tcPr>
          <w:p>
            <w:pPr>
              <w:jc w:val="right"/>
              <w:ind w:right="2760"/>
              <w:spacing w:after="0"/>
              <w:rPr>
                <w:sz w:val="20"/>
                <w:szCs w:val="20"/>
                <w:color w:val="auto"/>
              </w:rPr>
            </w:pPr>
            <w:r>
              <w:rPr>
                <w:rFonts w:ascii="Arial" w:cs="Arial" w:eastAsia="Arial" w:hAnsi="Arial"/>
                <w:sz w:val="17"/>
                <w:szCs w:val="17"/>
                <w:color w:val="auto"/>
              </w:rPr>
              <w:t>F-53</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40" w:right="839" w:bottom="1440" w:gutter="0" w:footer="0" w:header="0"/>
        </w:sectPr>
      </w:pPr>
    </w:p>
    <w:bookmarkStart w:id="365" w:name="page366"/>
    <w:bookmarkEnd w:id="3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80" w:type="dxa"/>
            <w:vAlign w:val="bottom"/>
            <w:gridSpan w:val="2"/>
            <w:vMerge w:val="restart"/>
          </w:tcPr>
          <w:p>
            <w:pPr>
              <w:jc w:val="center"/>
              <w:ind w:right="820"/>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Grant-Date Fair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80" w:type="dxa"/>
            <w:vAlign w:val="bottom"/>
            <w:gridSpan w:val="2"/>
          </w:tcPr>
          <w:p>
            <w:pPr>
              <w:jc w:val="center"/>
              <w:ind w:right="820"/>
              <w:spacing w:after="0"/>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Value per Share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4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rPr>
              <w:t>(in</w:t>
            </w:r>
          </w:p>
        </w:tc>
        <w:tc>
          <w:tcPr>
            <w:tcW w:w="8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thousands)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Unvested and outstanding as of December 31, 2022</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828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Granted (unaudited)</w:t>
            </w:r>
          </w:p>
        </w:tc>
        <w:tc>
          <w:tcPr>
            <w:tcW w:w="148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 (unaudited)</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Forfeited (unaudited)</w:t>
            </w:r>
          </w:p>
        </w:tc>
        <w:tc>
          <w:tcPr>
            <w:tcW w:w="148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Unvested and outstanding as of June 30, 2023 (unaudited)</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780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In January 2021, the Company granted restricted stock covering 450,000 shares of the Company’s non-voting common stock to an executive. The restricted stock vests upon satisfaction of both service-based and performance-based vesting conditions. The unvested restricted stock is subject to the Company’s right of repurchase. The service-based vesting condition is satisfied over a period of four years. The performance-based vesting condition will be satisfied upon a qualifying liquidity event defined as the earlier of (i) a combination or disposition transaction provided that such transaction (or series of transactions) qualifies as a change of control, and (ii) the effective date of a registration statement of the Company for an initial public offering. In July 2021, the board of directors modified the terms of the restricted stock related to the acceleration of the service-based vesting conditions upon involuntary termination of employment in conjunction with a change in control event. The modification resulted in the remeasurement of these awards as of the modification date that will result in an incremental stock-based compensation expense of $18 million upon satisfaction of both service-based and performance-based vesting conditions. The grant-date fair value and modification-date fair value of these awards were $79.02 and $119.37 per share, respectively.</w:t>
      </w:r>
    </w:p>
    <w:p>
      <w:pPr>
        <w:spacing w:after="0" w:line="174"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During the years ended December 31, 2021 and 2022, the Company issued restricted stock in connection with business acquisitions. Refer to Note 7— Business Combinations for further discussion.</w:t>
      </w:r>
    </w:p>
    <w:p>
      <w:pPr>
        <w:spacing w:after="0" w:line="165" w:lineRule="exact"/>
        <w:rPr>
          <w:sz w:val="20"/>
          <w:szCs w:val="20"/>
          <w:color w:val="auto"/>
        </w:rPr>
      </w:pPr>
    </w:p>
    <w:p>
      <w:pPr>
        <w:ind w:left="460" w:right="160"/>
        <w:spacing w:after="0" w:line="256" w:lineRule="auto"/>
        <w:rPr>
          <w:sz w:val="20"/>
          <w:szCs w:val="20"/>
          <w:color w:val="auto"/>
        </w:rPr>
      </w:pPr>
      <w:r>
        <w:rPr>
          <w:rFonts w:ascii="Arial" w:cs="Arial" w:eastAsia="Arial" w:hAnsi="Arial"/>
          <w:sz w:val="17"/>
          <w:szCs w:val="17"/>
          <w:color w:val="auto"/>
        </w:rPr>
        <w:t>The total unrecognized stock-based compensation expense relating to restricted stock with a performance-based vesting condition as of December 31, 2021 and 2022 and June 30, 2023 (unaudited) was $54 million. Of that amount, $30 million, $45 million, and $49 million relates to awards for which the service-based vesting condition had been satisfied or partially satisfied as of December 31, 2021 and 2022 and June 30, 2023 (unaudited), respectively, calculated using the accelerated attribution method.</w:t>
      </w:r>
    </w:p>
    <w:p>
      <w:pPr>
        <w:spacing w:after="0" w:line="179" w:lineRule="exact"/>
        <w:rPr>
          <w:sz w:val="20"/>
          <w:szCs w:val="20"/>
          <w:color w:val="auto"/>
        </w:rPr>
      </w:pPr>
    </w:p>
    <w:p>
      <w:pPr>
        <w:ind w:left="460" w:right="40"/>
        <w:spacing w:after="0" w:line="274" w:lineRule="auto"/>
        <w:rPr>
          <w:sz w:val="20"/>
          <w:szCs w:val="20"/>
          <w:color w:val="auto"/>
        </w:rPr>
      </w:pPr>
      <w:r>
        <w:rPr>
          <w:rFonts w:ascii="Arial" w:cs="Arial" w:eastAsia="Arial" w:hAnsi="Arial"/>
          <w:sz w:val="16"/>
          <w:szCs w:val="16"/>
          <w:color w:val="auto"/>
        </w:rPr>
        <w:t>Stock-based compensation expense recognized related to restricted stock with only the service-based vesting conditions was $3 million and $13 million during the years ended December 31, 2021 and 2022, respectively, and $6 million and $7 million during the six months ended June 30, 2022 and 2023 (unaudited), respectively. The total unrecognized stock-based compensation expense relating to restricted stock with only the service-based vesting conditions as of December 31, 2021 and 2022 and June 30, 2023 (unaudited) was $30 million, $26 million, and $19 million, respectively, and is expected to be recognized over a weighted-average period of 2.56 years, 1.94 years, and 1.48 years, respectively.</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740"/>
          </w:cols>
          <w:pgMar w:left="320" w:top="440" w:right="839" w:bottom="1440" w:gutter="0" w:footer="0" w:header="0"/>
        </w:sectPr>
      </w:pPr>
    </w:p>
    <w:bookmarkStart w:id="366" w:name="page367"/>
    <w:bookmarkEnd w:id="3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RSUs</w:t>
      </w:r>
    </w:p>
    <w:p>
      <w:pPr>
        <w:spacing w:after="0" w:line="108"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 following table summarizes the activity related to the Company’s RSUs for the years ended December 31, 2020, 2021, and 2022 and the six months ended June 30, 2023 (unaudited):</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380" w:type="dxa"/>
            <w:vAlign w:val="bottom"/>
            <w:gridSpan w:val="3"/>
            <w:vMerge w:val="restart"/>
          </w:tcPr>
          <w:p>
            <w:pPr>
              <w:jc w:val="center"/>
              <w:ind w:right="680"/>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Grant-Date Fair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Value per Share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70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95"/>
              </w:rPr>
              <w:t>(in</w:t>
            </w:r>
          </w:p>
        </w:tc>
        <w:tc>
          <w:tcPr>
            <w:tcW w:w="680" w:type="dxa"/>
            <w:vAlign w:val="bottom"/>
            <w:gridSpan w:val="2"/>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88"/>
              </w:rPr>
              <w:t>thousands)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Unvested and outstanding as of January 1, 2020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11,594</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14,384</w:t>
            </w:r>
          </w:p>
        </w:tc>
        <w:tc>
          <w:tcPr>
            <w:tcW w:w="6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380" w:type="dxa"/>
            <w:vAlign w:val="bottom"/>
            <w:gridSpan w:val="3"/>
          </w:tcPr>
          <w:p>
            <w:pPr>
              <w:jc w:val="right"/>
              <w:ind w:right="640"/>
              <w:spacing w:after="0"/>
              <w:rPr>
                <w:sz w:val="20"/>
                <w:szCs w:val="20"/>
                <w:color w:val="auto"/>
              </w:rPr>
            </w:pPr>
            <w:r>
              <w:rPr>
                <w:rFonts w:ascii="Arial" w:cs="Arial" w:eastAsia="Arial" w:hAnsi="Arial"/>
                <w:sz w:val="17"/>
                <w:szCs w:val="17"/>
                <w:color w:val="auto"/>
              </w:rPr>
              <w:t>(1,318)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Unvested and outstanding as of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24,660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18,254</w:t>
            </w:r>
          </w:p>
        </w:tc>
        <w:tc>
          <w:tcPr>
            <w:tcW w:w="6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120.02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380" w:type="dxa"/>
            <w:vAlign w:val="bottom"/>
            <w:gridSpan w:val="3"/>
          </w:tcPr>
          <w:p>
            <w:pPr>
              <w:jc w:val="right"/>
              <w:ind w:right="640"/>
              <w:spacing w:after="0"/>
              <w:rPr>
                <w:sz w:val="20"/>
                <w:szCs w:val="20"/>
                <w:color w:val="auto"/>
              </w:rPr>
            </w:pPr>
            <w:r>
              <w:rPr>
                <w:rFonts w:ascii="Arial" w:cs="Arial" w:eastAsia="Arial" w:hAnsi="Arial"/>
                <w:sz w:val="17"/>
                <w:szCs w:val="17"/>
                <w:color w:val="auto"/>
              </w:rPr>
              <w:t>(3,464)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Unvested and outstanding as of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39,450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25,175</w:t>
            </w:r>
          </w:p>
        </w:tc>
        <w:tc>
          <w:tcPr>
            <w:tcW w:w="6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Vested but not settled</w:t>
            </w:r>
          </w:p>
        </w:tc>
        <w:tc>
          <w:tcPr>
            <w:tcW w:w="1380" w:type="dxa"/>
            <w:vAlign w:val="bottom"/>
            <w:gridSpan w:val="3"/>
          </w:tcPr>
          <w:p>
            <w:pPr>
              <w:jc w:val="right"/>
              <w:ind w:right="64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119.37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 and cancelled</w:t>
            </w: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(7,610)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90.99</w:t>
            </w:r>
          </w:p>
        </w:tc>
        <w:tc>
          <w:tcPr>
            <w:tcW w:w="0" w:type="dxa"/>
            <w:vAlign w:val="bottom"/>
          </w:tcPr>
          <w:p>
            <w:pPr>
              <w:spacing w:after="0"/>
              <w:rPr>
                <w:sz w:val="1"/>
                <w:szCs w:val="1"/>
                <w:color w:val="auto"/>
              </w:rPr>
            </w:pPr>
          </w:p>
        </w:tc>
      </w:tr>
      <w:tr>
        <w:trPr>
          <w:trHeight w:val="208"/>
        </w:trPr>
        <w:tc>
          <w:tcPr>
            <w:tcW w:w="5460" w:type="dxa"/>
            <w:vAlign w:val="bottom"/>
            <w:gridSpan w:val="2"/>
          </w:tcPr>
          <w:p>
            <w:pPr>
              <w:spacing w:after="0"/>
              <w:rPr>
                <w:sz w:val="20"/>
                <w:szCs w:val="20"/>
                <w:color w:val="auto"/>
              </w:rPr>
            </w:pPr>
            <w:r>
              <w:rPr>
                <w:rFonts w:ascii="Arial" w:cs="Arial" w:eastAsia="Arial" w:hAnsi="Arial"/>
                <w:sz w:val="17"/>
                <w:szCs w:val="17"/>
                <w:color w:val="auto"/>
              </w:rPr>
              <w:t>Unvested and outstanding as of December 31,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56,969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Granted (unaudited)</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8,794</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7"/>
                <w:szCs w:val="17"/>
                <w:color w:val="auto"/>
              </w:rPr>
              <w:t>Vested (unaudited)</w:t>
            </w:r>
          </w:p>
        </w:tc>
        <w:tc>
          <w:tcPr>
            <w:tcW w:w="138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 (unaudited)</w:t>
            </w: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(2,296)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69.69</w:t>
            </w:r>
          </w:p>
        </w:tc>
        <w:tc>
          <w:tcPr>
            <w:tcW w:w="0" w:type="dxa"/>
            <w:vAlign w:val="bottom"/>
          </w:tcPr>
          <w:p>
            <w:pPr>
              <w:spacing w:after="0"/>
              <w:rPr>
                <w:sz w:val="1"/>
                <w:szCs w:val="1"/>
                <w:color w:val="auto"/>
              </w:rPr>
            </w:pPr>
          </w:p>
        </w:tc>
      </w:tr>
      <w:tr>
        <w:trPr>
          <w:trHeight w:val="208"/>
        </w:trPr>
        <w:tc>
          <w:tcPr>
            <w:tcW w:w="5460" w:type="dxa"/>
            <w:vAlign w:val="bottom"/>
            <w:gridSpan w:val="2"/>
          </w:tcPr>
          <w:p>
            <w:pPr>
              <w:spacing w:after="0"/>
              <w:rPr>
                <w:sz w:val="20"/>
                <w:szCs w:val="20"/>
                <w:color w:val="auto"/>
              </w:rPr>
            </w:pPr>
            <w:r>
              <w:rPr>
                <w:rFonts w:ascii="Arial" w:cs="Arial" w:eastAsia="Arial" w:hAnsi="Arial"/>
                <w:sz w:val="17"/>
                <w:szCs w:val="17"/>
                <w:color w:val="auto"/>
              </w:rPr>
              <w:t>Unvested and outstanding as of June 30, 2023 (unaudited)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63,467</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60" w:right="100"/>
        <w:spacing w:after="0" w:line="277" w:lineRule="auto"/>
        <w:rPr>
          <w:sz w:val="20"/>
          <w:szCs w:val="20"/>
          <w:color w:val="auto"/>
        </w:rPr>
      </w:pPr>
      <w:r>
        <w:rPr>
          <w:rFonts w:ascii="Arial" w:cs="Arial" w:eastAsia="Arial" w:hAnsi="Arial"/>
          <w:sz w:val="16"/>
          <w:szCs w:val="16"/>
          <w:color w:val="auto"/>
        </w:rPr>
        <w:t>In May 2020, the Company granted an aggregate of 802,622 RSUs to certain executives that included service-based, performance-based, and market-based vesting conditions under the 2018 Plan. These RSUs vest upon the occurrence of a liquidity event, defined as the effective date of a registration statement of the Company for an initial public offering or a change of control, and upon the Company satisfying certain valuation thresholds (provided no termination of service has occurred prior to satisfying the market-based vesting condition).</w:t>
      </w:r>
    </w:p>
    <w:p>
      <w:pPr>
        <w:spacing w:after="0" w:line="164" w:lineRule="exact"/>
        <w:rPr>
          <w:sz w:val="20"/>
          <w:szCs w:val="20"/>
          <w:color w:val="auto"/>
        </w:rPr>
      </w:pPr>
    </w:p>
    <w:p>
      <w:pPr>
        <w:ind w:left="460" w:right="80"/>
        <w:spacing w:after="0" w:line="270" w:lineRule="auto"/>
        <w:rPr>
          <w:sz w:val="20"/>
          <w:szCs w:val="20"/>
          <w:color w:val="auto"/>
        </w:rPr>
      </w:pPr>
      <w:r>
        <w:rPr>
          <w:rFonts w:ascii="Arial" w:cs="Arial" w:eastAsia="Arial" w:hAnsi="Arial"/>
          <w:sz w:val="16"/>
          <w:szCs w:val="16"/>
          <w:color w:val="auto"/>
        </w:rPr>
        <w:t>During the year ended December 31, 2021, the Company granted 752,000 RSUs to the Company’s chief executive officer that vest upon satisfaction of both service-based and performance-based vesting conditions. The service-based vesting condition is satisfied over a period of four years. The performance-based vesting condition will be satisfied upon a qualifying liquidity event defined as the earlier of (i) a change of control and (ii) the effective date of a registration statement filed under the Securities Act for an initial public offering of the Company’s common stock. In addition, to incentivize the chief executive officer to maximize stockholder value, the Company granted the executive 800,000 RSUs that vest upon satisfaction of both the performance-based vesting condition noted above and the achievement of certain market capitalization goals during a specified performance period following the effective date of a registration statement filed under the Securities Act for an</w:t>
      </w:r>
    </w:p>
    <w:p>
      <w:pPr>
        <w:spacing w:after="0" w:line="10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740"/>
          </w:cols>
          <w:pgMar w:left="320" w:top="440" w:right="839" w:bottom="1440" w:gutter="0" w:footer="0" w:header="0"/>
        </w:sectPr>
      </w:pPr>
    </w:p>
    <w:bookmarkStart w:id="367" w:name="page368"/>
    <w:bookmarkEnd w:id="3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line="287" w:lineRule="auto"/>
        <w:rPr>
          <w:sz w:val="20"/>
          <w:szCs w:val="20"/>
          <w:color w:val="auto"/>
        </w:rPr>
      </w:pPr>
      <w:r>
        <w:rPr>
          <w:rFonts w:ascii="Arial" w:cs="Arial" w:eastAsia="Arial" w:hAnsi="Arial"/>
          <w:sz w:val="15"/>
          <w:szCs w:val="15"/>
          <w:color w:val="auto"/>
        </w:rPr>
        <w:t>initial public offering of the Company’s common stock, subject in each case to the executive’s continued employment. The executive is also eligible to be granted annual RSU awards through 2025, with the first annual RSU award granted in 2022. In light of the uncertainty that may arise in the event that the Company were to pursue a strategic transaction during the first year of the executive’s employment while the executive is transitioning into the role of chief executive officer, in which case the RSUs noted above may not vest and the executive may not have the opportunity to be granted annual RSU awards, the Company also granted the executive 1,661,538 RSUs that vest upon satisfaction of both service-based vesting conditions and the performance-based vesting condition first noted above. The first service-based vesting condition is satisfied upon the executive’s continued employment over a period of two years following the signing of a qualifying change in control (“CIC”) agreement and is applicable to 50% of the award. The second service-based vesting condition is satisfied upon the executive’s continued employment through the closing of a CIC relating to the qualifying CIC agreement and is applicable to the remaining 50% of the award. If the Company does not enter into a CIC transaction agreement during the first year of the executive’s employment while the executive is transitioning into the role of chief executive officer, all 1,661,538 RSUs will be cancelled. Each of the RSU awards granted to the executive is subject to potential vesting acceleration under certain circumstances.</w:t>
      </w:r>
    </w:p>
    <w:p>
      <w:pPr>
        <w:spacing w:after="0" w:line="163" w:lineRule="exact"/>
        <w:rPr>
          <w:sz w:val="20"/>
          <w:szCs w:val="20"/>
          <w:color w:val="auto"/>
        </w:rPr>
      </w:pPr>
    </w:p>
    <w:p>
      <w:pPr>
        <w:ind w:left="460" w:right="40"/>
        <w:spacing w:after="0" w:line="277" w:lineRule="auto"/>
        <w:rPr>
          <w:sz w:val="20"/>
          <w:szCs w:val="20"/>
          <w:color w:val="auto"/>
        </w:rPr>
      </w:pPr>
      <w:r>
        <w:rPr>
          <w:rFonts w:ascii="Arial" w:cs="Arial" w:eastAsia="Arial" w:hAnsi="Arial"/>
          <w:sz w:val="16"/>
          <w:szCs w:val="16"/>
          <w:color w:val="auto"/>
        </w:rPr>
        <w:t>In May 2022, the chief executive officer elected to voluntarily forfeit 1,661,538 RSUs which would have been eligible to vest following the signing of a qualifying CIC agreement within a specified period as discussed above, pursuant to which the awards were cancelled. No payment or other consideration was provided to the executive for the cancelled RSUs. Given the RSUs were subject to performance-based vesting conditions that were not deemed probable, no stock-based compensation expense was recognized as a result of the cancellation.</w:t>
      </w:r>
    </w:p>
    <w:p>
      <w:pPr>
        <w:spacing w:after="0" w:line="164" w:lineRule="exact"/>
        <w:rPr>
          <w:sz w:val="20"/>
          <w:szCs w:val="20"/>
          <w:color w:val="auto"/>
        </w:rPr>
      </w:pPr>
    </w:p>
    <w:p>
      <w:pPr>
        <w:ind w:left="460" w:right="20"/>
        <w:spacing w:after="0" w:line="289" w:lineRule="auto"/>
        <w:rPr>
          <w:sz w:val="20"/>
          <w:szCs w:val="20"/>
          <w:color w:val="auto"/>
        </w:rPr>
      </w:pPr>
      <w:r>
        <w:rPr>
          <w:rFonts w:ascii="Arial" w:cs="Arial" w:eastAsia="Arial" w:hAnsi="Arial"/>
          <w:sz w:val="15"/>
          <w:szCs w:val="15"/>
          <w:color w:val="auto"/>
        </w:rPr>
        <w:t>During the year ended December 31, 2021, the board of directors modified the terms of an aggregate of 1,952,028 RSUs granted to certain executives and employees related to the acceleration of the service-based vesting conditions in the event of involuntary termination of employment and an aggregate of 10,169,878 RSUs granted to certain employees and other service providers to remove the requirement to continue service with the Company through the date of a liquidity event in order to vest in the RSUs. Additionally, the Company accelerated the service-based vesting of 215,000 RSUs in connection with the termination of employment of executives. The Company has not recorded stock-based compensation expense related to the RSU modifications since the awards are still subject to the performance-based vesting condition that is not deemed probable. However, the RSU modifications resulted in the remeasurement of these awards as of the modification date that will result in an incremental stock-based compensation expense of $165 million upon satisfaction of both the service-based and performance-based vesting conditions. The weighted-average grant-date fair value and weighted-average modification-date fair value of these awards was $106.06 and $119.42 per share, respectively.</w:t>
      </w:r>
    </w:p>
    <w:p>
      <w:pPr>
        <w:spacing w:after="0" w:line="157" w:lineRule="exact"/>
        <w:rPr>
          <w:sz w:val="20"/>
          <w:szCs w:val="20"/>
          <w:color w:val="auto"/>
        </w:rPr>
      </w:pPr>
    </w:p>
    <w:p>
      <w:pPr>
        <w:ind w:left="460" w:right="20"/>
        <w:spacing w:after="0" w:line="293" w:lineRule="auto"/>
        <w:rPr>
          <w:sz w:val="20"/>
          <w:szCs w:val="20"/>
          <w:color w:val="auto"/>
        </w:rPr>
      </w:pPr>
      <w:r>
        <w:rPr>
          <w:rFonts w:ascii="Arial" w:cs="Arial" w:eastAsia="Arial" w:hAnsi="Arial"/>
          <w:sz w:val="15"/>
          <w:szCs w:val="15"/>
          <w:color w:val="auto"/>
        </w:rPr>
        <w:t>In December 2022, the Company granted an aggregate of 2,520,000 RSUs to certain executives that vest upon satisfaction of a performance-based vesting condition and the achievement of certain market capitalization goals during a specified performance period following the date of grant, subject to the respective executive’s continued employment. The performance-based vesting condition will be satisfied upon a qualifying liquidity event defined as the earlier of (i) a change of control and (ii) the effective date of a registration statement filed under the Securities Act for an initial public offering of the Company’s common stock. Once vested, the shares will be subject to a one-year holding period prior to any sale, transfer, or disposal, subject to certain exceptions. Each of the RSU awards granted to the executives is subject to potential vesting acceleration under certain circumstances.</w:t>
      </w:r>
    </w:p>
    <w:p>
      <w:pPr>
        <w:spacing w:after="0" w:line="155" w:lineRule="exact"/>
        <w:rPr>
          <w:sz w:val="20"/>
          <w:szCs w:val="20"/>
          <w:color w:val="auto"/>
        </w:rPr>
      </w:pPr>
    </w:p>
    <w:p>
      <w:pPr>
        <w:jc w:val="both"/>
        <w:ind w:left="460" w:right="160"/>
        <w:spacing w:after="0" w:line="260" w:lineRule="auto"/>
        <w:rPr>
          <w:sz w:val="20"/>
          <w:szCs w:val="20"/>
          <w:color w:val="auto"/>
        </w:rPr>
      </w:pPr>
      <w:r>
        <w:rPr>
          <w:rFonts w:ascii="Arial" w:cs="Arial" w:eastAsia="Arial" w:hAnsi="Arial"/>
          <w:sz w:val="17"/>
          <w:szCs w:val="17"/>
          <w:color w:val="auto"/>
        </w:rPr>
        <w:t>The weighted-average grant-date fair value of RSUs with market capitalization goals described above in the years ended December 31, 2021 and 2022 were $104.98 and $21.36 per share, respectively. The weighted-average derived service period for these RSUs in the years ended December 31, 2021 and 2022 were 1.31 and</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780"/>
          </w:cols>
          <w:pgMar w:left="320" w:top="440" w:right="799" w:bottom="1440" w:gutter="0" w:footer="0" w:header="0"/>
        </w:sectPr>
      </w:pPr>
    </w:p>
    <w:bookmarkStart w:id="368" w:name="page369"/>
    <w:bookmarkEnd w:id="3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color w:val="auto"/>
        </w:rPr>
        <w:t>1.43 years, respectively. The fair value of these RSUs granted during the years ended December 31, 2021 and 2022 were determined using a Monte Carlo valuation model with the following weighted-average assumptions: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5800" w:type="dxa"/>
            <w:vAlign w:val="bottom"/>
          </w:tcPr>
          <w:p>
            <w:pPr>
              <w:spacing w:after="0"/>
              <w:rPr>
                <w:sz w:val="13"/>
                <w:szCs w:val="13"/>
                <w:color w:val="auto"/>
              </w:rPr>
            </w:pPr>
          </w:p>
        </w:tc>
        <w:tc>
          <w:tcPr>
            <w:tcW w:w="204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Year Ended December 31,</w:t>
            </w:r>
          </w:p>
        </w:tc>
      </w:tr>
      <w:tr>
        <w:trPr>
          <w:trHeight w:val="132"/>
        </w:trPr>
        <w:tc>
          <w:tcPr>
            <w:tcW w:w="58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2" w:lineRule="exact"/>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1"/>
                <w:szCs w:val="11"/>
                <w:color w:val="auto"/>
              </w:rPr>
            </w:pPr>
          </w:p>
        </w:tc>
      </w:tr>
      <w:tr>
        <w:trPr>
          <w:trHeight w:val="195"/>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80" w:type="dxa"/>
            <w:vAlign w:val="bottom"/>
            <w:shd w:val="clear" w:color="auto" w:fill="CCEEFF"/>
          </w:tcPr>
          <w:p>
            <w:pPr>
              <w:spacing w:after="0"/>
              <w:rPr>
                <w:sz w:val="16"/>
                <w:szCs w:val="16"/>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7"/>
                <w:szCs w:val="17"/>
                <w:color w:val="auto"/>
              </w:rPr>
              <w:t>Expected volatility</w:t>
            </w:r>
          </w:p>
        </w:tc>
        <w:tc>
          <w:tcPr>
            <w:tcW w:w="1180" w:type="dxa"/>
            <w:vAlign w:val="bottom"/>
            <w:gridSpan w:val="2"/>
          </w:tcPr>
          <w:p>
            <w:pPr>
              <w:jc w:val="right"/>
              <w:ind w:right="360"/>
              <w:spacing w:after="0"/>
              <w:rPr>
                <w:sz w:val="20"/>
                <w:szCs w:val="20"/>
                <w:color w:val="auto"/>
              </w:rPr>
            </w:pPr>
            <w:r>
              <w:rPr>
                <w:rFonts w:ascii="Arial" w:cs="Arial" w:eastAsia="Arial" w:hAnsi="Arial"/>
                <w:sz w:val="17"/>
                <w:szCs w:val="17"/>
                <w:color w:val="auto"/>
              </w:rPr>
              <w:t>53.81%</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65.76%</w:t>
            </w: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3.53%</w:t>
            </w:r>
          </w:p>
        </w:tc>
      </w:tr>
      <w:tr>
        <w:trPr>
          <w:trHeight w:val="203"/>
        </w:trPr>
        <w:tc>
          <w:tcPr>
            <w:tcW w:w="58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14.52%</w:t>
            </w:r>
          </w:p>
        </w:tc>
      </w:tr>
    </w:tbl>
    <w:p>
      <w:pPr>
        <w:spacing w:after="0" w:line="190" w:lineRule="exact"/>
        <w:rPr>
          <w:sz w:val="20"/>
          <w:szCs w:val="20"/>
          <w:color w:val="auto"/>
        </w:rPr>
      </w:pPr>
    </w:p>
    <w:p>
      <w:pPr>
        <w:ind w:left="460" w:right="80"/>
        <w:spacing w:after="0" w:line="270" w:lineRule="auto"/>
        <w:rPr>
          <w:sz w:val="20"/>
          <w:szCs w:val="20"/>
          <w:color w:val="auto"/>
        </w:rPr>
      </w:pPr>
      <w:r>
        <w:rPr>
          <w:rFonts w:ascii="Arial" w:cs="Arial" w:eastAsia="Arial" w:hAnsi="Arial"/>
          <w:sz w:val="16"/>
          <w:szCs w:val="16"/>
          <w:color w:val="auto"/>
        </w:rPr>
        <w:t>Of the 2,520,000 RSUs granted, 1,200,000 RSUs were granted to the Company’s chief executive officer in replacement of the cancellation of the 800,000 RSUs subject to both performance-based vesting conditions and the achievement of certain market capitalization goals. Given the cancelled RSUs were subject to performance-based vesting conditions that were not deemed probable, no stock-based compensation expense was recognized as a result of the cancellation. The cancellation and concurrent replacement was treated as a modification which resulted in the remeasurement of these awards as of the modification date that will result in stock-based compensation expense of $26 million upon satisfaction of both the service-based and performance-based vesting conditions. The weighted-average grant-date fair value and weighted-average modification-date fair value of these awards was $104.98 and $21.36 per share, respectively.</w:t>
      </w:r>
    </w:p>
    <w:p>
      <w:pPr>
        <w:spacing w:after="0" w:line="172" w:lineRule="exact"/>
        <w:rPr>
          <w:sz w:val="20"/>
          <w:szCs w:val="20"/>
          <w:color w:val="auto"/>
        </w:rPr>
      </w:pPr>
    </w:p>
    <w:p>
      <w:pPr>
        <w:ind w:left="460"/>
        <w:spacing w:after="0" w:line="293" w:lineRule="auto"/>
        <w:rPr>
          <w:sz w:val="20"/>
          <w:szCs w:val="20"/>
          <w:color w:val="auto"/>
        </w:rPr>
      </w:pPr>
      <w:r>
        <w:rPr>
          <w:rFonts w:ascii="Arial" w:cs="Arial" w:eastAsia="Arial" w:hAnsi="Arial"/>
          <w:sz w:val="15"/>
          <w:szCs w:val="15"/>
          <w:color w:val="auto"/>
        </w:rPr>
        <w:t>No stock-based compensation expense was recognized related to RSUs during the years ended December 31, 2020 or 2021 or the six months ended June 30, 2023 (unaudited). Stock-based compensation expense recognized associated with RSUs during the year ended December 31, 2022 was not material. The total unrecognized stock-based compensation expense relating to the RSUs as of December 31, 2021 and 2022 and June 30, 2023 (unaudited) was $2,667 million, $3,125 million, and $3,280 million, respectively. Of that amount, $1,066 million, $2,007 million, and $2,411 million relates to awards for which the service-based vesting condition, or as applicable, both the service-based and market-based vesting conditions, had been satisfied or partially satisfied as of December 31, 2021 and 2022 and June 30, 2023 (unaudited), respectively, calculated using the accelerated attribution method.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Exchangeable Shares</w:t>
      </w:r>
    </w:p>
    <w:p>
      <w:pPr>
        <w:spacing w:after="0" w:line="108" w:lineRule="exact"/>
        <w:rPr>
          <w:sz w:val="20"/>
          <w:szCs w:val="20"/>
          <w:color w:val="auto"/>
        </w:rPr>
      </w:pPr>
    </w:p>
    <w:p>
      <w:pPr>
        <w:ind w:left="460" w:right="140"/>
        <w:spacing w:after="0" w:line="296" w:lineRule="auto"/>
        <w:rPr>
          <w:sz w:val="20"/>
          <w:szCs w:val="20"/>
          <w:color w:val="auto"/>
        </w:rPr>
      </w:pPr>
      <w:r>
        <w:rPr>
          <w:rFonts w:ascii="Arial" w:cs="Arial" w:eastAsia="Arial" w:hAnsi="Arial"/>
          <w:sz w:val="15"/>
          <w:szCs w:val="15"/>
          <w:color w:val="auto"/>
        </w:rPr>
        <w:t>In connection with the acquisition of Unata in 2018, through the Company’s subsidiary, Aspen Merger Corp. (“Aspen”), Aspen issued exchangeable shares that are exchangeable by the holders for the shares of the Company’s non-voting common stock on a one-for-one basis (subject to customary adjustments for stock splits or other reorganizations). The exchangeable shares are legally issued and outstanding. The exchangeable shares are held in escrow until such shares are released to the recipient upon the first, second, and third anniversaries of the issuance date, subject to the continued employment of the recipient. The release may be accelerated upon the non-voluntary termination of the recipient by the Company.</w:t>
      </w:r>
    </w:p>
    <w:p>
      <w:pPr>
        <w:spacing w:after="0" w:line="152" w:lineRule="exact"/>
        <w:rPr>
          <w:sz w:val="20"/>
          <w:szCs w:val="20"/>
          <w:color w:val="auto"/>
        </w:rPr>
      </w:pPr>
    </w:p>
    <w:p>
      <w:pPr>
        <w:ind w:left="460"/>
        <w:spacing w:after="0" w:line="274" w:lineRule="auto"/>
        <w:rPr>
          <w:sz w:val="20"/>
          <w:szCs w:val="20"/>
          <w:color w:val="auto"/>
        </w:rPr>
      </w:pPr>
      <w:r>
        <w:rPr>
          <w:rFonts w:ascii="Arial" w:cs="Arial" w:eastAsia="Arial" w:hAnsi="Arial"/>
          <w:sz w:val="16"/>
          <w:szCs w:val="16"/>
          <w:color w:val="auto"/>
        </w:rPr>
        <w:t>Holders of the exchangeable shares are entitled to receive dividends economically equivalent to noncumulative dividends declared by the Company with respect to its common stock. The released shares may be exchanged for shares of the Company’s common stock, on a one-to-one basis as adjusted for any dividends or withholding tax obligation, at any time at the Company’s option, or upon certain change of control events including a merger, sale of assets, certain changes in law, or the effective date of a registration statement filed under the Securities Act for an initial public offering of the Company’s common stock, or automatically on the 10th anniversary of the issuance date.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780"/>
          </w:cols>
          <w:pgMar w:left="320" w:top="440" w:right="799" w:bottom="1440" w:gutter="0" w:footer="0" w:header="0"/>
        </w:sectPr>
      </w:pPr>
    </w:p>
    <w:bookmarkStart w:id="369" w:name="page370"/>
    <w:bookmarkEnd w:id="3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80"/>
        <w:spacing w:after="0" w:line="277" w:lineRule="auto"/>
        <w:rPr>
          <w:sz w:val="20"/>
          <w:szCs w:val="20"/>
          <w:color w:val="auto"/>
        </w:rPr>
      </w:pPr>
      <w:r>
        <w:rPr>
          <w:rFonts w:ascii="Arial" w:cs="Arial" w:eastAsia="Arial" w:hAnsi="Arial"/>
          <w:sz w:val="16"/>
          <w:szCs w:val="16"/>
          <w:color w:val="auto"/>
        </w:rPr>
        <w:t>The fair value of the exchangeable shares at the acquisition date was recognized as stock-based compensation expense over the three-year vesting period. Stock-based compensation expense recognized associated with exchangeable shares was $1 million and less than $1 million during the years ended December 31, 2020 and 2021, respectively. There was no unrecognized stock-based compensation expense relating to the exchangeable shares as of December 31, 2021 as the exchangeable shares were fully vested as of December 31, 2021.</w:t>
      </w:r>
    </w:p>
    <w:p>
      <w:pPr>
        <w:spacing w:after="0" w:line="164" w:lineRule="exact"/>
        <w:rPr>
          <w:sz w:val="20"/>
          <w:szCs w:val="20"/>
          <w:color w:val="auto"/>
        </w:rPr>
      </w:pPr>
    </w:p>
    <w:p>
      <w:pPr>
        <w:jc w:val="both"/>
        <w:ind w:left="460" w:right="100"/>
        <w:spacing w:after="0" w:line="284" w:lineRule="auto"/>
        <w:rPr>
          <w:sz w:val="20"/>
          <w:szCs w:val="20"/>
          <w:color w:val="auto"/>
        </w:rPr>
      </w:pPr>
      <w:r>
        <w:rPr>
          <w:rFonts w:ascii="Arial" w:cs="Arial" w:eastAsia="Arial" w:hAnsi="Arial"/>
          <w:sz w:val="16"/>
          <w:szCs w:val="16"/>
          <w:color w:val="auto"/>
        </w:rPr>
        <w:t>The following table summarizes the activity related to the Company’s exchangeable shares for the years ended December 31, 2020, 2021, and 2022 and the six months ended June 30, 2023 (unaudited). For purposes of this table, vested exchangeable shares represent the shares for which the service-based vesting condition had been fulfilled as of December 31, 2020, 2021 and 2022 and June 30, 2023 (unaudited):</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5"/>
              </w:rPr>
              <w:t>Number of</w:t>
            </w:r>
          </w:p>
        </w:tc>
        <w:tc>
          <w:tcPr>
            <w:tcW w:w="280" w:type="dxa"/>
            <w:vAlign w:val="bottom"/>
          </w:tcPr>
          <w:p>
            <w:pPr>
              <w:spacing w:after="0"/>
              <w:rPr>
                <w:sz w:val="12"/>
                <w:szCs w:val="12"/>
                <w:color w:val="auto"/>
              </w:rPr>
            </w:pPr>
          </w:p>
        </w:tc>
        <w:tc>
          <w:tcPr>
            <w:tcW w:w="860" w:type="dxa"/>
            <w:vAlign w:val="bottom"/>
            <w:gridSpan w:val="3"/>
          </w:tcPr>
          <w:p>
            <w:pPr>
              <w:jc w:val="center"/>
              <w:ind w:right="40"/>
              <w:spacing w:after="0" w:line="139" w:lineRule="exact"/>
              <w:rPr>
                <w:sz w:val="20"/>
                <w:szCs w:val="20"/>
                <w:color w:val="auto"/>
              </w:rPr>
            </w:pPr>
            <w:r>
              <w:rPr>
                <w:rFonts w:ascii="Arial" w:cs="Arial" w:eastAsia="Arial" w:hAnsi="Arial"/>
                <w:sz w:val="13"/>
                <w:szCs w:val="13"/>
                <w:b w:val="1"/>
                <w:bCs w:val="1"/>
                <w:color w:val="auto"/>
                <w:w w:val="98"/>
              </w:rPr>
              <w:t>Grant-Date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Shares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per Share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1"/>
              </w:rPr>
              <w:t>(in thousands)</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2020</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694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20"/>
              <w:spacing w:after="0"/>
              <w:rPr>
                <w:sz w:val="20"/>
                <w:szCs w:val="20"/>
                <w:color w:val="auto"/>
              </w:rPr>
            </w:pPr>
            <w:r>
              <w:rPr>
                <w:rFonts w:ascii="Arial" w:cs="Arial" w:eastAsia="Arial" w:hAnsi="Arial"/>
                <w:sz w:val="17"/>
                <w:szCs w:val="17"/>
                <w:color w:val="auto"/>
                <w:w w:val="89"/>
              </w:rPr>
              <w:t>18.52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Issued</w:t>
            </w:r>
          </w:p>
        </w:tc>
        <w:tc>
          <w:tcPr>
            <w:tcW w:w="11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Shares exchanged</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20"/>
              <w:spacing w:after="0"/>
              <w:rPr>
                <w:sz w:val="20"/>
                <w:szCs w:val="20"/>
                <w:color w:val="auto"/>
              </w:rPr>
            </w:pPr>
            <w:r>
              <w:rPr>
                <w:rFonts w:ascii="Arial" w:cs="Arial" w:eastAsia="Arial" w:hAnsi="Arial"/>
                <w:sz w:val="17"/>
                <w:szCs w:val="17"/>
                <w:color w:val="auto"/>
                <w:w w:val="89"/>
              </w:rPr>
              <w:t>18.52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center"/>
              <w:ind w:left="260"/>
              <w:spacing w:after="0"/>
              <w:rPr>
                <w:sz w:val="20"/>
                <w:szCs w:val="20"/>
                <w:color w:val="auto"/>
              </w:rPr>
            </w:pPr>
            <w:r>
              <w:rPr>
                <w:rFonts w:ascii="Arial" w:cs="Arial" w:eastAsia="Arial" w:hAnsi="Arial"/>
                <w:sz w:val="17"/>
                <w:szCs w:val="17"/>
                <w:color w:val="auto"/>
                <w:w w:val="89"/>
              </w:rPr>
              <w:t>18.52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689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20"/>
              <w:spacing w:after="0"/>
              <w:rPr>
                <w:sz w:val="20"/>
                <w:szCs w:val="20"/>
                <w:color w:val="auto"/>
              </w:rPr>
            </w:pPr>
            <w:r>
              <w:rPr>
                <w:rFonts w:ascii="Arial" w:cs="Arial" w:eastAsia="Arial" w:hAnsi="Arial"/>
                <w:sz w:val="17"/>
                <w:szCs w:val="17"/>
                <w:color w:val="auto"/>
                <w:w w:val="89"/>
              </w:rPr>
              <w:t>18.52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7"/>
                <w:szCs w:val="17"/>
                <w:color w:val="auto"/>
              </w:rPr>
              <w:t>Vested as of December 31, 2020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20" w:type="dxa"/>
            <w:vAlign w:val="bottom"/>
            <w:gridSpan w:val="2"/>
            <w:vMerge w:val="continue"/>
          </w:tcPr>
          <w:p>
            <w:pPr>
              <w:spacing w:after="0"/>
              <w:rPr>
                <w:sz w:val="16"/>
                <w:szCs w:val="16"/>
                <w:color w:val="auto"/>
              </w:rPr>
            </w:pPr>
          </w:p>
        </w:tc>
        <w:tc>
          <w:tcPr>
            <w:tcW w:w="1180" w:type="dxa"/>
            <w:vAlign w:val="bottom"/>
            <w:gridSpan w:val="2"/>
          </w:tcPr>
          <w:p>
            <w:pPr>
              <w:ind w:left="560"/>
              <w:spacing w:after="0" w:line="193" w:lineRule="exact"/>
              <w:rPr>
                <w:sz w:val="20"/>
                <w:szCs w:val="20"/>
                <w:color w:val="auto"/>
              </w:rPr>
            </w:pPr>
            <w:r>
              <w:rPr>
                <w:rFonts w:ascii="Arial" w:cs="Arial" w:eastAsia="Arial" w:hAnsi="Arial"/>
                <w:sz w:val="17"/>
                <w:szCs w:val="17"/>
                <w:color w:val="auto"/>
              </w:rPr>
              <w:t>648</w:t>
            </w:r>
          </w:p>
        </w:tc>
        <w:tc>
          <w:tcPr>
            <w:tcW w:w="3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220"/>
              <w:spacing w:after="0" w:line="193" w:lineRule="exact"/>
              <w:rPr>
                <w:sz w:val="20"/>
                <w:szCs w:val="20"/>
                <w:color w:val="auto"/>
              </w:rPr>
            </w:pPr>
            <w:r>
              <w:rPr>
                <w:rFonts w:ascii="Arial" w:cs="Arial" w:eastAsia="Arial" w:hAnsi="Arial"/>
                <w:sz w:val="17"/>
                <w:szCs w:val="17"/>
                <w:color w:val="auto"/>
                <w:w w:val="89"/>
              </w:rPr>
              <w:t>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as of January 1, 2021</w:t>
            </w:r>
          </w:p>
        </w:tc>
        <w:tc>
          <w:tcPr>
            <w:tcW w:w="1180" w:type="dxa"/>
            <w:vAlign w:val="bottom"/>
            <w:gridSpan w:val="2"/>
            <w:shd w:val="clear" w:color="auto" w:fill="CCEEFF"/>
          </w:tcPr>
          <w:p>
            <w:pPr>
              <w:ind w:left="560"/>
              <w:spacing w:after="0" w:line="194" w:lineRule="exact"/>
              <w:rPr>
                <w:sz w:val="20"/>
                <w:szCs w:val="20"/>
                <w:color w:val="auto"/>
              </w:rPr>
            </w:pPr>
            <w:r>
              <w:rPr>
                <w:rFonts w:ascii="Arial" w:cs="Arial" w:eastAsia="Arial" w:hAnsi="Arial"/>
                <w:sz w:val="17"/>
                <w:szCs w:val="17"/>
                <w:color w:val="auto"/>
              </w:rPr>
              <w:t>689</w:t>
            </w: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20"/>
              <w:spacing w:after="0" w:line="194" w:lineRule="exact"/>
              <w:rPr>
                <w:sz w:val="20"/>
                <w:szCs w:val="20"/>
                <w:color w:val="auto"/>
              </w:rPr>
            </w:pPr>
            <w:r>
              <w:rPr>
                <w:rFonts w:ascii="Arial" w:cs="Arial" w:eastAsia="Arial" w:hAnsi="Arial"/>
                <w:sz w:val="17"/>
                <w:szCs w:val="17"/>
                <w:color w:val="auto"/>
                <w:w w:val="89"/>
              </w:rPr>
              <w:t>18.52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Issued</w:t>
            </w:r>
          </w:p>
        </w:tc>
        <w:tc>
          <w:tcPr>
            <w:tcW w:w="11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Shares exchanged</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1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8"/>
              </w:rPr>
              <w:t>Outstanding and vested as of December 31, 2021 and 2022 and June 30,</w:t>
            </w:r>
          </w:p>
        </w:tc>
        <w:tc>
          <w:tcPr>
            <w:tcW w:w="8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2023 (unaudited)</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689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20"/>
              <w:spacing w:after="0"/>
              <w:rPr>
                <w:sz w:val="20"/>
                <w:szCs w:val="20"/>
                <w:color w:val="auto"/>
              </w:rPr>
            </w:pPr>
            <w:r>
              <w:rPr>
                <w:rFonts w:ascii="Arial" w:cs="Arial" w:eastAsia="Arial" w:hAnsi="Arial"/>
                <w:sz w:val="17"/>
                <w:szCs w:val="17"/>
                <w:color w:val="auto"/>
                <w:w w:val="89"/>
              </w:rPr>
              <w:t>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540"/>
        <w:spacing w:after="0" w:line="272" w:lineRule="auto"/>
        <w:rPr>
          <w:sz w:val="20"/>
          <w:szCs w:val="20"/>
          <w:color w:val="auto"/>
        </w:rPr>
      </w:pPr>
      <w:r>
        <w:rPr>
          <w:rFonts w:ascii="Arial" w:cs="Arial" w:eastAsia="Arial" w:hAnsi="Arial"/>
          <w:sz w:val="17"/>
          <w:szCs w:val="17"/>
          <w:color w:val="auto"/>
        </w:rPr>
        <w:t>Although legally issued and outstanding, the exchangeable shares are only deemed outstanding for basic net income (loss) per share computation purposes upon vesting.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 Summary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classification of stock-based compensation expense by line item in the consolidated statements of operations is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10"/>
            <w:vMerge w:val="restart"/>
          </w:tcPr>
          <w:p>
            <w:pPr>
              <w:jc w:val="center"/>
              <w:ind w:right="260"/>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10"/>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left="262"/>
              <w:spacing w:after="0"/>
              <w:rPr>
                <w:sz w:val="20"/>
                <w:szCs w:val="20"/>
                <w:color w:val="auto"/>
              </w:rPr>
            </w:pPr>
            <w:r>
              <w:rPr>
                <w:rFonts w:ascii="Arial" w:cs="Arial" w:eastAsia="Arial" w:hAnsi="Arial"/>
                <w:sz w:val="13"/>
                <w:szCs w:val="13"/>
                <w:b w:val="1"/>
                <w:bCs w:val="1"/>
                <w:color w:val="auto"/>
                <w:w w:val="92"/>
              </w:rPr>
              <w:t>June 30,</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32" w:lineRule="exact"/>
              <w:rPr>
                <w:sz w:val="20"/>
                <w:szCs w:val="20"/>
                <w:color w:val="auto"/>
              </w:rPr>
            </w:pPr>
            <w:r>
              <w:rPr>
                <w:rFonts w:ascii="Arial" w:cs="Arial" w:eastAsia="Arial" w:hAnsi="Arial"/>
                <w:sz w:val="13"/>
                <w:szCs w:val="13"/>
                <w:b w:val="1"/>
                <w:bCs w:val="1"/>
                <w:color w:val="auto"/>
                <w:w w:val="96"/>
              </w:rPr>
              <w:t>2020</w:t>
            </w: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center"/>
              <w:ind w:right="38"/>
              <w:spacing w:after="0" w:line="132" w:lineRule="exact"/>
              <w:rPr>
                <w:sz w:val="20"/>
                <w:szCs w:val="20"/>
                <w:color w:val="auto"/>
              </w:rPr>
            </w:pPr>
            <w:r>
              <w:rPr>
                <w:rFonts w:ascii="Arial" w:cs="Arial" w:eastAsia="Arial" w:hAnsi="Arial"/>
                <w:sz w:val="13"/>
                <w:szCs w:val="13"/>
                <w:b w:val="1"/>
                <w:bCs w:val="1"/>
                <w:color w:val="auto"/>
                <w:w w:val="96"/>
              </w:rPr>
              <w:t>2021</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2" w:lineRule="exact"/>
              <w:rPr>
                <w:sz w:val="20"/>
                <w:szCs w:val="20"/>
                <w:color w:val="auto"/>
              </w:rPr>
            </w:pPr>
            <w:r>
              <w:rPr>
                <w:rFonts w:ascii="Arial" w:cs="Arial" w:eastAsia="Arial" w:hAnsi="Arial"/>
                <w:sz w:val="13"/>
                <w:szCs w:val="13"/>
                <w:b w:val="1"/>
                <w:bCs w:val="1"/>
                <w:color w:val="auto"/>
                <w:w w:val="96"/>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02"/>
              <w:spacing w:after="0" w:line="132" w:lineRule="exact"/>
              <w:rPr>
                <w:sz w:val="20"/>
                <w:szCs w:val="20"/>
                <w:color w:val="auto"/>
              </w:rPr>
            </w:pPr>
            <w:r>
              <w:rPr>
                <w:rFonts w:ascii="Arial" w:cs="Arial" w:eastAsia="Arial" w:hAnsi="Arial"/>
                <w:sz w:val="13"/>
                <w:szCs w:val="13"/>
                <w:b w:val="1"/>
                <w:bCs w:val="1"/>
                <w:color w:val="auto"/>
                <w:w w:val="96"/>
              </w:rPr>
              <w:t>2022</w:t>
            </w:r>
          </w:p>
        </w:tc>
        <w:tc>
          <w:tcPr>
            <w:tcW w:w="2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2" w:lineRule="exact"/>
              <w:rPr>
                <w:sz w:val="20"/>
                <w:szCs w:val="20"/>
                <w:color w:val="auto"/>
              </w:rPr>
            </w:pPr>
            <w:r>
              <w:rPr>
                <w:rFonts w:ascii="Arial" w:cs="Arial" w:eastAsia="Arial" w:hAnsi="Arial"/>
                <w:sz w:val="13"/>
                <w:szCs w:val="13"/>
                <w:b w:val="1"/>
                <w:bCs w:val="1"/>
                <w:color w:val="auto"/>
                <w:w w:val="96"/>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spacing w:after="0" w:line="132" w:lineRule="exact"/>
              <w:rPr>
                <w:sz w:val="20"/>
                <w:szCs w:val="20"/>
                <w:color w:val="auto"/>
              </w:rPr>
            </w:pPr>
            <w:r>
              <w:rPr>
                <w:rFonts w:ascii="Arial" w:cs="Arial" w:eastAsia="Arial" w:hAnsi="Arial"/>
                <w:sz w:val="13"/>
                <w:szCs w:val="13"/>
                <w:b w:val="1"/>
                <w:bCs w:val="1"/>
                <w:color w:val="auto"/>
                <w:w w:val="93"/>
              </w:rPr>
              <w:t>(in millions)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5"/>
          </w:tcPr>
          <w:p>
            <w:pPr>
              <w:jc w:val="center"/>
              <w:spacing w:after="0" w:line="132" w:lineRule="exact"/>
              <w:rPr>
                <w:sz w:val="20"/>
                <w:szCs w:val="20"/>
                <w:color w:val="auto"/>
              </w:rPr>
            </w:pPr>
            <w:r>
              <w:rPr>
                <w:rFonts w:ascii="Arial" w:cs="Arial" w:eastAsia="Arial" w:hAnsi="Arial"/>
                <w:sz w:val="13"/>
                <w:szCs w:val="13"/>
                <w:b w:val="1"/>
                <w:bCs w:val="1"/>
                <w:color w:val="auto"/>
                <w:w w:val="95"/>
              </w:rPr>
              <w:t>(unaudited, 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Operations and support</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40" w:type="dxa"/>
            <w:vAlign w:val="bottom"/>
          </w:tcPr>
          <w:p>
            <w:pPr>
              <w:spacing w:after="0"/>
              <w:rPr>
                <w:sz w:val="24"/>
                <w:szCs w:val="24"/>
                <w:color w:val="auto"/>
              </w:rPr>
            </w:pPr>
          </w:p>
        </w:tc>
        <w:tc>
          <w:tcPr>
            <w:tcW w:w="2380" w:type="dxa"/>
            <w:vAlign w:val="bottom"/>
            <w:gridSpan w:val="2"/>
          </w:tcPr>
          <w:p>
            <w:pPr>
              <w:jc w:val="right"/>
              <w:ind w:right="1100"/>
              <w:spacing w:after="0"/>
              <w:rPr>
                <w:sz w:val="20"/>
                <w:szCs w:val="20"/>
                <w:color w:val="auto"/>
              </w:rPr>
            </w:pPr>
            <w:r>
              <w:rPr>
                <w:rFonts w:ascii="Arial" w:cs="Arial" w:eastAsia="Arial" w:hAnsi="Arial"/>
                <w:sz w:val="17"/>
                <w:szCs w:val="17"/>
                <w:color w:val="auto"/>
              </w:rPr>
              <w:t>F-58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370" w:name="page371"/>
    <w:bookmarkEnd w:id="3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color w:val="auto"/>
        </w:rPr>
        <w:t>The amount of stock-based compensation the Company capitalized as internal-use software costs was not material for the years ended December 31, 2020, 2021, or 2022 or six months ended June 30, 2022 or 2023 (unaudited).</w:t>
      </w:r>
    </w:p>
    <w:p>
      <w:pPr>
        <w:spacing w:after="0" w:line="165"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The Company recognized an income tax benefit of zero, zero, and $5 million in the consolidated statements of operations related to stock-based awards in the years ended December 31, 2020, 2021, and 2022, respectively. The income tax benefit was zero for the six months ended June 30, 2022 (unaudited) and less than $1 million for the six months ended June 30, 2023 (unaudited).</w:t>
      </w:r>
    </w:p>
    <w:p>
      <w:pPr>
        <w:spacing w:after="0" w:line="272" w:lineRule="exact"/>
        <w:rPr>
          <w:sz w:val="20"/>
          <w:szCs w:val="20"/>
          <w:color w:val="auto"/>
        </w:rPr>
      </w:pPr>
    </w:p>
    <w:p>
      <w:pPr>
        <w:ind w:left="880" w:hanging="423"/>
        <w:spacing w:after="0"/>
        <w:tabs>
          <w:tab w:leader="none" w:pos="880"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income (loss) before provision for (benefit from) income taxes are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8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10"/>
          </w:tcPr>
          <w:p>
            <w:pPr>
              <w:jc w:val="center"/>
              <w:ind w:right="60"/>
              <w:spacing w:after="0"/>
              <w:rPr>
                <w:sz w:val="20"/>
                <w:szCs w:val="20"/>
                <w:color w:val="auto"/>
              </w:rPr>
            </w:pPr>
            <w:r>
              <w:rPr>
                <w:rFonts w:ascii="Arial" w:cs="Arial" w:eastAsia="Arial" w:hAnsi="Arial"/>
                <w:sz w:val="13"/>
                <w:szCs w:val="13"/>
                <w:b w:val="1"/>
                <w:bCs w:val="1"/>
                <w:color w:val="auto"/>
                <w:w w:val="93"/>
              </w:rPr>
              <w:t>Year Ended December 31,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right"/>
              <w:ind w:right="73"/>
              <w:spacing w:after="0" w:line="132" w:lineRule="exact"/>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5"/>
          </w:tcPr>
          <w:p>
            <w:pPr>
              <w:jc w:val="center"/>
              <w:ind w:left="120"/>
              <w:spacing w:after="0" w:line="132" w:lineRule="exact"/>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8"/>
          </w:tcPr>
          <w:p>
            <w:pPr>
              <w:jc w:val="center"/>
              <w:ind w:right="440"/>
              <w:spacing w:after="0" w:line="132" w:lineRule="exact"/>
              <w:rPr>
                <w:sz w:val="20"/>
                <w:szCs w:val="20"/>
                <w:color w:val="auto"/>
              </w:rPr>
            </w:pPr>
            <w:r>
              <w:rPr>
                <w:rFonts w:ascii="Arial" w:cs="Arial" w:eastAsia="Arial" w:hAnsi="Arial"/>
                <w:sz w:val="13"/>
                <w:szCs w:val="13"/>
                <w:b w:val="1"/>
                <w:bCs w:val="1"/>
                <w:color w:val="auto"/>
                <w:w w:val="95"/>
              </w:rPr>
              <w:t>(in millions)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9"/>
              </w:rPr>
              <w:t>(75)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Foreign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(loss) before provision for (benefit from) income taxes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9"/>
              </w:rPr>
              <w:t>(72)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7"/>
                <w:szCs w:val="17"/>
                <w:color w:val="auto"/>
              </w:rPr>
              <w:t>The components of the provision for (benefit from) income taxes are as follows: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1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0"/>
          </w:tcPr>
          <w:p>
            <w:pPr>
              <w:jc w:val="center"/>
              <w:ind w:left="179"/>
              <w:spacing w:after="0"/>
              <w:rPr>
                <w:sz w:val="20"/>
                <w:szCs w:val="20"/>
                <w:color w:val="auto"/>
              </w:rPr>
            </w:pPr>
            <w:r>
              <w:rPr>
                <w:rFonts w:ascii="Arial" w:cs="Arial" w:eastAsia="Arial" w:hAnsi="Arial"/>
                <w:sz w:val="13"/>
                <w:szCs w:val="13"/>
                <w:b w:val="1"/>
                <w:bCs w:val="1"/>
                <w:color w:val="auto"/>
                <w:w w:val="93"/>
              </w:rPr>
              <w:t>Year Ended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gridSpan w:val="3"/>
          </w:tcPr>
          <w:p>
            <w:pPr>
              <w:jc w:val="right"/>
              <w:ind w:right="79"/>
              <w:spacing w:after="0" w:line="13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160"/>
              <w:spacing w:after="0" w:line="132" w:lineRule="exact"/>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89"/>
              </w:rPr>
              <w:t>2022</w:t>
            </w: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7"/>
          </w:tcPr>
          <w:p>
            <w:pPr>
              <w:jc w:val="center"/>
              <w:ind w:right="340"/>
              <w:spacing w:after="0" w:line="132" w:lineRule="exact"/>
              <w:rPr>
                <w:sz w:val="20"/>
                <w:szCs w:val="20"/>
                <w:color w:val="auto"/>
              </w:rPr>
            </w:pPr>
            <w:r>
              <w:rPr>
                <w:rFonts w:ascii="Arial" w:cs="Arial" w:eastAsia="Arial" w:hAnsi="Arial"/>
                <w:sz w:val="13"/>
                <w:szCs w:val="13"/>
                <w:b w:val="1"/>
                <w:bCs w:val="1"/>
                <w:color w:val="auto"/>
                <w:w w:val="93"/>
              </w:rPr>
              <w:t>(in millions)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Federal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40" w:type="dxa"/>
            <w:vAlign w:val="bottom"/>
            <w:gridSpan w:val="4"/>
          </w:tcPr>
          <w:p>
            <w:pPr>
              <w:ind w:left="16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Foreign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tax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80" w:type="dxa"/>
            <w:vAlign w:val="bottom"/>
            <w:gridSpan w:val="2"/>
          </w:tcPr>
          <w:p>
            <w:pPr>
              <w:ind w:left="820"/>
              <w:spacing w:after="0"/>
              <w:rPr>
                <w:sz w:val="20"/>
                <w:szCs w:val="20"/>
                <w:color w:val="auto"/>
              </w:rPr>
            </w:pPr>
            <w:r>
              <w:rPr>
                <w:rFonts w:ascii="Arial" w:cs="Arial" w:eastAsia="Arial" w:hAnsi="Arial"/>
                <w:sz w:val="17"/>
                <w:szCs w:val="17"/>
                <w:b w:val="1"/>
                <w:bCs w:val="1"/>
                <w:color w:val="auto"/>
              </w:rPr>
              <w:t>Deferred: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State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ind w:lef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340" w:type="dxa"/>
            <w:vAlign w:val="bottom"/>
            <w:vMerge w:val="restart"/>
          </w:tcPr>
          <w:p>
            <w:pPr>
              <w:ind w:left="660"/>
              <w:spacing w:after="0"/>
              <w:rPr>
                <w:sz w:val="20"/>
                <w:szCs w:val="20"/>
                <w:color w:val="auto"/>
              </w:rPr>
            </w:pPr>
            <w:r>
              <w:rPr>
                <w:rFonts w:ascii="Arial" w:cs="Arial" w:eastAsia="Arial" w:hAnsi="Arial"/>
                <w:sz w:val="17"/>
                <w:szCs w:val="17"/>
                <w:color w:val="auto"/>
              </w:rPr>
              <w:t>Total deferred tax expense (benefit)</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 for (benefit from) income taxes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7"/>
                <w:szCs w:val="17"/>
                <w:color w:val="auto"/>
                <w:w w:val="91"/>
              </w:rPr>
              <w:t>A reconciliation of the Company’s effective tax rate to the U.S. statutory rate is as follows: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1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53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gridSpan w:val="3"/>
          </w:tcPr>
          <w:p>
            <w:pPr>
              <w:jc w:val="right"/>
              <w:ind w:right="58"/>
              <w:spacing w:after="0" w:line="13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gridSpan w:val="3"/>
          </w:tcPr>
          <w:p>
            <w:pPr>
              <w:jc w:val="right"/>
              <w:ind w:right="80"/>
              <w:spacing w:after="0" w:line="132" w:lineRule="exact"/>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ind w:left="40"/>
              <w:spacing w:after="0" w:line="132" w:lineRule="exact"/>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5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U.S. federal statutory rate</w:t>
            </w:r>
          </w:p>
        </w:tc>
        <w:tc>
          <w:tcPr>
            <w:tcW w:w="820" w:type="dxa"/>
            <w:vAlign w:val="bottom"/>
            <w:gridSpan w:val="5"/>
            <w:shd w:val="clear" w:color="auto" w:fill="CCEEFF"/>
          </w:tcPr>
          <w:p>
            <w:pPr>
              <w:jc w:val="right"/>
              <w:ind w:right="73"/>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21.0%</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State, net of federal benefit</w:t>
            </w: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Foreign taxes</w:t>
            </w: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56"/>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(0.6)</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Penalties</w:t>
            </w: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jc w:val="right"/>
              <w:ind w:right="56"/>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40" w:type="dxa"/>
            <w:vAlign w:val="bottom"/>
          </w:tcPr>
          <w:p>
            <w:pPr>
              <w:spacing w:after="0"/>
              <w:rPr>
                <w:sz w:val="24"/>
                <w:szCs w:val="24"/>
                <w:color w:val="auto"/>
              </w:rPr>
            </w:pPr>
          </w:p>
        </w:tc>
        <w:tc>
          <w:tcPr>
            <w:tcW w:w="5340" w:type="dxa"/>
            <w:vAlign w:val="bottom"/>
          </w:tcPr>
          <w:p>
            <w:pPr>
              <w:ind w:left="4160"/>
              <w:spacing w:after="0"/>
              <w:rPr>
                <w:sz w:val="20"/>
                <w:szCs w:val="20"/>
                <w:color w:val="auto"/>
              </w:rPr>
            </w:pPr>
            <w:r>
              <w:rPr>
                <w:rFonts w:ascii="Arial" w:cs="Arial" w:eastAsia="Arial" w:hAnsi="Arial"/>
                <w:sz w:val="17"/>
                <w:szCs w:val="17"/>
                <w:color w:val="auto"/>
              </w:rPr>
              <w:t>F-59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40" w:right="879" w:bottom="1440" w:gutter="0" w:footer="0" w:header="0"/>
        </w:sectPr>
      </w:pPr>
    </w:p>
    <w:bookmarkStart w:id="371" w:name="page372"/>
    <w:bookmarkEnd w:id="3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1"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2022</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Lobbying expenses</w:t>
            </w:r>
          </w:p>
        </w:tc>
        <w:tc>
          <w:tcPr>
            <w:tcW w:w="112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(9.6)</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540" w:type="dxa"/>
            <w:vAlign w:val="bottom"/>
          </w:tcPr>
          <w:p>
            <w:pPr>
              <w:jc w:val="right"/>
              <w:spacing w:after="0"/>
              <w:rPr>
                <w:sz w:val="20"/>
                <w:szCs w:val="20"/>
                <w:color w:val="auto"/>
              </w:rPr>
            </w:pPr>
            <w:r>
              <w:rPr>
                <w:rFonts w:ascii="Arial" w:cs="Arial" w:eastAsia="Arial" w:hAnsi="Arial"/>
                <w:sz w:val="17"/>
                <w:szCs w:val="17"/>
                <w:color w:val="auto"/>
              </w:rPr>
              <w:t>2.9</w:t>
            </w:r>
          </w:p>
        </w:tc>
        <w:tc>
          <w:tcPr>
            <w:tcW w:w="5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w:t>
            </w:r>
          </w:p>
        </w:tc>
        <w:tc>
          <w:tcPr>
            <w:tcW w:w="6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Equity agreements with retailers</w:t>
            </w:r>
          </w:p>
        </w:tc>
        <w:tc>
          <w:tcPr>
            <w:tcW w:w="112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(7.6)</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Transaction costs</w:t>
            </w:r>
          </w:p>
        </w:tc>
        <w:tc>
          <w:tcPr>
            <w:tcW w:w="1120" w:type="dxa"/>
            <w:vAlign w:val="bottom"/>
            <w:gridSpan w:val="2"/>
          </w:tcPr>
          <w:p>
            <w:pPr>
              <w:jc w:val="right"/>
              <w:ind w:right="51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(1.9)</w:t>
            </w:r>
          </w:p>
        </w:tc>
        <w:tc>
          <w:tcPr>
            <w:tcW w:w="540" w:type="dxa"/>
            <w:vAlign w:val="bottom"/>
          </w:tcPr>
          <w:p>
            <w:pPr>
              <w:jc w:val="right"/>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12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(20.3)</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(57.3)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Research and development credits</w:t>
            </w:r>
          </w:p>
        </w:tc>
        <w:tc>
          <w:tcPr>
            <w:tcW w:w="540" w:type="dxa"/>
            <w:vAlign w:val="bottom"/>
          </w:tcPr>
          <w:p>
            <w:pPr>
              <w:jc w:val="right"/>
              <w:spacing w:after="0"/>
              <w:rPr>
                <w:sz w:val="20"/>
                <w:szCs w:val="20"/>
                <w:color w:val="auto"/>
              </w:rPr>
            </w:pPr>
            <w:r>
              <w:rPr>
                <w:rFonts w:ascii="Arial" w:cs="Arial" w:eastAsia="Arial" w:hAnsi="Arial"/>
                <w:sz w:val="17"/>
                <w:szCs w:val="17"/>
                <w:color w:val="auto"/>
              </w:rPr>
              <w:t>31.4</w:t>
            </w:r>
          </w:p>
        </w:tc>
        <w:tc>
          <w:tcPr>
            <w:tcW w:w="5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46.6</w:t>
            </w:r>
          </w:p>
        </w:tc>
        <w:tc>
          <w:tcPr>
            <w:tcW w:w="6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Uncertain tax positions</w:t>
            </w:r>
          </w:p>
        </w:tc>
        <w:tc>
          <w:tcPr>
            <w:tcW w:w="112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color w:val="auto"/>
              </w:rPr>
              <w:t>(13.4)</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(8.7)</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Other</w:t>
            </w:r>
          </w:p>
        </w:tc>
        <w:tc>
          <w:tcPr>
            <w:tcW w:w="1120" w:type="dxa"/>
            <w:vAlign w:val="bottom"/>
            <w:gridSpan w:val="2"/>
          </w:tcPr>
          <w:p>
            <w:pPr>
              <w:jc w:val="right"/>
              <w:ind w:right="453"/>
              <w:spacing w:after="0"/>
              <w:rPr>
                <w:sz w:val="20"/>
                <w:szCs w:val="20"/>
                <w:color w:val="auto"/>
              </w:rPr>
            </w:pPr>
            <w:r>
              <w:rPr>
                <w:rFonts w:ascii="Arial" w:cs="Arial" w:eastAsia="Arial" w:hAnsi="Arial"/>
                <w:sz w:val="17"/>
                <w:szCs w:val="17"/>
                <w:color w:val="auto"/>
              </w:rPr>
              <w:t>(0.2)</w:t>
            </w: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(1.5)</w:t>
            </w: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1120" w:type="dxa"/>
            <w:vAlign w:val="bottom"/>
            <w:gridSpan w:val="2"/>
            <w:shd w:val="clear" w:color="auto" w:fill="CCEEFF"/>
          </w:tcPr>
          <w:p>
            <w:pPr>
              <w:jc w:val="right"/>
              <w:ind w:right="373"/>
              <w:spacing w:after="0"/>
              <w:rPr>
                <w:sz w:val="20"/>
                <w:szCs w:val="20"/>
                <w:color w:val="auto"/>
              </w:rPr>
            </w:pPr>
            <w:r>
              <w:rPr>
                <w:rFonts w:ascii="Arial" w:cs="Arial" w:eastAsia="Arial" w:hAnsi="Arial"/>
                <w:sz w:val="17"/>
                <w:szCs w:val="17"/>
                <w:color w:val="auto"/>
              </w:rPr>
              <w:t>0.4%</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
        <w:spacing w:after="0" w:line="260" w:lineRule="auto"/>
        <w:rPr>
          <w:sz w:val="20"/>
          <w:szCs w:val="20"/>
          <w:color w:val="auto"/>
        </w:rPr>
      </w:pPr>
      <w:r>
        <w:rPr>
          <w:rFonts w:ascii="Arial" w:cs="Arial" w:eastAsia="Arial" w:hAnsi="Arial"/>
          <w:sz w:val="17"/>
          <w:szCs w:val="17"/>
          <w:color w:val="auto"/>
        </w:rPr>
        <w:t>Deferred income taxes arise from temporary differences between the carrying amounts of assets and liabilities for financial reporting purposes and the amounts used for income tax reporting purposes, as well as operating losses and tax credit carryforwards. Significant components of the Company’s deferred tax assets are as follows:</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5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2"/>
        </w:trPr>
        <w:tc>
          <w:tcPr>
            <w:tcW w:w="5840" w:type="dxa"/>
            <w:vAlign w:val="bottom"/>
            <w:vMerge w:val="restart"/>
          </w:tcPr>
          <w:p>
            <w:pPr>
              <w:ind w:left="3040"/>
              <w:spacing w:after="0"/>
              <w:rPr>
                <w:sz w:val="20"/>
                <w:szCs w:val="20"/>
                <w:color w:val="auto"/>
              </w:rPr>
            </w:pPr>
            <w:r>
              <w:rPr>
                <w:rFonts w:ascii="Arial" w:cs="Arial" w:eastAsia="Arial" w:hAnsi="Arial"/>
                <w:sz w:val="13"/>
                <w:szCs w:val="13"/>
                <w:b w:val="1"/>
                <w:bCs w:val="1"/>
                <w:color w:val="auto"/>
              </w:rPr>
              <w:t>Deferred tax assets</w:t>
            </w:r>
          </w:p>
        </w:tc>
        <w:tc>
          <w:tcPr>
            <w:tcW w:w="17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9"/>
              <w:spacing w:after="0" w:line="132" w:lineRule="exact"/>
              <w:rPr>
                <w:sz w:val="20"/>
                <w:szCs w:val="20"/>
                <w:color w:val="auto"/>
              </w:rPr>
            </w:pPr>
            <w:r>
              <w:rPr>
                <w:rFonts w:ascii="Arial" w:cs="Arial" w:eastAsia="Arial" w:hAnsi="Arial"/>
                <w:sz w:val="13"/>
                <w:szCs w:val="13"/>
                <w:b w:val="1"/>
                <w:bCs w:val="1"/>
                <w:color w:val="auto"/>
              </w:rPr>
              <w:t>2021</w:t>
            </w:r>
          </w:p>
        </w:tc>
        <w:tc>
          <w:tcPr>
            <w:tcW w:w="4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7"/>
              <w:spacing w:after="0" w:line="132"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right"/>
              <w:spacing w:after="0" w:line="132" w:lineRule="exact"/>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and tax credit carryforwards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292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3"/>
        </w:trPr>
        <w:tc>
          <w:tcPr>
            <w:tcW w:w="5840" w:type="dxa"/>
            <w:vAlign w:val="bottom"/>
          </w:tcPr>
          <w:p>
            <w:pPr>
              <w:ind w:left="340"/>
              <w:spacing w:after="0"/>
              <w:rPr>
                <w:sz w:val="20"/>
                <w:szCs w:val="20"/>
                <w:color w:val="auto"/>
              </w:rPr>
            </w:pPr>
            <w:r>
              <w:rPr>
                <w:rFonts w:ascii="Arial" w:cs="Arial" w:eastAsia="Arial" w:hAnsi="Arial"/>
                <w:sz w:val="17"/>
                <w:szCs w:val="17"/>
                <w:color w:val="auto"/>
              </w:rPr>
              <w:t>Capitalized research and development</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Legal reserve</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3"/>
        </w:trPr>
        <w:tc>
          <w:tcPr>
            <w:tcW w:w="5840" w:type="dxa"/>
            <w:vAlign w:val="bottom"/>
          </w:tcPr>
          <w:p>
            <w:pPr>
              <w:ind w:left="340"/>
              <w:spacing w:after="0"/>
              <w:rPr>
                <w:sz w:val="20"/>
                <w:szCs w:val="20"/>
                <w:color w:val="auto"/>
              </w:rPr>
            </w:pPr>
            <w:r>
              <w:rPr>
                <w:rFonts w:ascii="Arial" w:cs="Arial" w:eastAsia="Arial" w:hAnsi="Arial"/>
                <w:sz w:val="17"/>
                <w:szCs w:val="17"/>
                <w:color w:val="auto"/>
              </w:rPr>
              <w:t>Other accruals and reserves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3"/>
        </w:trPr>
        <w:tc>
          <w:tcPr>
            <w:tcW w:w="584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7"/>
                <w:szCs w:val="17"/>
                <w:color w:val="auto"/>
              </w:rPr>
              <w:t>Total gross deferred tax assets</w:t>
            </w: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valuation allowance</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7"/>
                <w:szCs w:val="17"/>
                <w:color w:val="auto"/>
              </w:rPr>
              <w:t>Total deferred tax assets, net of valuation allowance</w:t>
            </w: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liabilities</w:t>
            </w:r>
          </w:p>
        </w:tc>
        <w:tc>
          <w:tcPr>
            <w:tcW w:w="17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40"/>
              <w:spacing w:after="0"/>
              <w:rPr>
                <w:sz w:val="20"/>
                <w:szCs w:val="20"/>
                <w:color w:val="auto"/>
              </w:rPr>
            </w:pPr>
            <w:r>
              <w:rPr>
                <w:rFonts w:ascii="Arial" w:cs="Arial" w:eastAsia="Arial" w:hAnsi="Arial"/>
                <w:sz w:val="17"/>
                <w:szCs w:val="17"/>
                <w:color w:val="auto"/>
              </w:rPr>
              <w:t>Property and equipment and intangible assets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right-of-use assets</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680"/>
              <w:spacing w:after="0"/>
              <w:rPr>
                <w:sz w:val="20"/>
                <w:szCs w:val="20"/>
                <w:color w:val="auto"/>
              </w:rPr>
            </w:pPr>
            <w:r>
              <w:rPr>
                <w:rFonts w:ascii="Arial" w:cs="Arial" w:eastAsia="Arial" w:hAnsi="Arial"/>
                <w:sz w:val="17"/>
                <w:szCs w:val="17"/>
                <w:color w:val="auto"/>
              </w:rPr>
              <w:t>Total deferred tax liabilities</w:t>
            </w: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 (liabilities)</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line="296" w:lineRule="auto"/>
        <w:rPr>
          <w:sz w:val="20"/>
          <w:szCs w:val="20"/>
          <w:color w:val="auto"/>
        </w:rPr>
      </w:pPr>
      <w:r>
        <w:rPr>
          <w:rFonts w:ascii="Arial" w:cs="Arial" w:eastAsia="Arial" w:hAnsi="Arial"/>
          <w:sz w:val="15"/>
          <w:szCs w:val="15"/>
          <w:color w:val="auto"/>
        </w:rPr>
        <w:t>The valuation allowance increased by $47 million for the year ended December 31, 2021 primarily due to the changes in the Company’s deferred tax assets related to net operating losses, tax credits, accruals and reserves, and was substantially charged to deferred tax expense. For the year ended December 31, 2021, the Company assessed the impact of the Company’s business acquisitions on the realization of deferred tax assets subject to a valuation allowance. Consequently, a portion of the valuation allowance was released as a result of estimated future taxable income of acquired entities which allowed the Company to recognize certain deferred tax assets of $2 million, which had previously been offset by a valuation allowance.</w:t>
      </w:r>
    </w:p>
    <w:p>
      <w:pPr>
        <w:spacing w:after="0" w:line="152"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color w:val="auto"/>
        </w:rPr>
        <w:t>The Company regularly assesses the ability to realize deferred tax assets based on the weight of all available evidence, including such factors as the history of recent earnings and expected future taxable income on a</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660"/>
          </w:cols>
          <w:pgMar w:left="320" w:top="440" w:right="919" w:bottom="1440" w:gutter="0" w:footer="0" w:header="0"/>
        </w:sectPr>
      </w:pPr>
    </w:p>
    <w:bookmarkStart w:id="372" w:name="page373"/>
    <w:bookmarkEnd w:id="3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jurisdiction-by-jurisdiction basis. Judgment is required in determining whether a valuation allowance should be recorded against deferred tax assets. During the year ended December 31, 2022, after considering these factors, the Company determined that the positive evidence overcame any negative evidence, primarily due to cumulative income in recent years, including the effect of permanent adjustments, continuing and improved profitability, revenue growth, and the expectation of sustained profitability in future periods, and concluded that it was more likely than not that the U.S. federal and state deferred tax assets were realizable. As a result, the Company released the entire valuation allowance of $358 million related to the U.S. federal and state net deferred tax assets during the year ended December 31, 2022. As of December 31, 2022, the Company continues to maintain a full valuation allowance against its net deferred tax assets in Australia.</w:t>
      </w:r>
    </w:p>
    <w:p>
      <w:pPr>
        <w:spacing w:after="0" w:line="172" w:lineRule="exact"/>
        <w:rPr>
          <w:sz w:val="20"/>
          <w:szCs w:val="20"/>
          <w:color w:val="auto"/>
        </w:rPr>
      </w:pPr>
    </w:p>
    <w:p>
      <w:pPr>
        <w:ind w:left="460" w:right="220"/>
        <w:spacing w:after="0" w:line="260" w:lineRule="auto"/>
        <w:rPr>
          <w:sz w:val="20"/>
          <w:szCs w:val="20"/>
          <w:color w:val="auto"/>
        </w:rPr>
      </w:pPr>
      <w:r>
        <w:rPr>
          <w:rFonts w:ascii="Arial" w:cs="Arial" w:eastAsia="Arial" w:hAnsi="Arial"/>
          <w:sz w:val="17"/>
          <w:szCs w:val="17"/>
          <w:color w:val="auto"/>
        </w:rPr>
        <w:t>As of December 31, 2021 and 2022, the Company had federal net operating loss carryforwards of $958 million and $410 million, respectively, which will not expire. In addition, the Company had state net operating loss carryforwards of $829 million and $520 million as of December 31, 2021 and 2022, respectively, which will begin to expire in 2023.</w:t>
      </w:r>
    </w:p>
    <w:p>
      <w:pPr>
        <w:spacing w:after="0" w:line="175" w:lineRule="exact"/>
        <w:rPr>
          <w:sz w:val="20"/>
          <w:szCs w:val="20"/>
          <w:color w:val="auto"/>
        </w:rPr>
      </w:pPr>
    </w:p>
    <w:p>
      <w:pPr>
        <w:ind w:left="460" w:right="120"/>
        <w:spacing w:after="0" w:line="256" w:lineRule="auto"/>
        <w:rPr>
          <w:sz w:val="20"/>
          <w:szCs w:val="20"/>
          <w:color w:val="auto"/>
        </w:rPr>
      </w:pPr>
      <w:r>
        <w:rPr>
          <w:rFonts w:ascii="Arial" w:cs="Arial" w:eastAsia="Arial" w:hAnsi="Arial"/>
          <w:sz w:val="17"/>
          <w:szCs w:val="17"/>
          <w:color w:val="auto"/>
        </w:rPr>
        <w:t>As of December 31, 2021 and 2022, the Company had federal research and development tax credit carryforwards of $37 million and $49 million, respectively. Furthermore, the Company had state research and development tax credit carryforwards of $25 million and $40 million, respectively. The federal research and development tax credits will begin to expire in 2040 if not utilized. The state research and development tax credits have no expiration date.</w:t>
      </w:r>
    </w:p>
    <w:p>
      <w:pPr>
        <w:spacing w:after="0" w:line="179" w:lineRule="exact"/>
        <w:rPr>
          <w:sz w:val="20"/>
          <w:szCs w:val="20"/>
          <w:color w:val="auto"/>
        </w:rPr>
      </w:pPr>
    </w:p>
    <w:p>
      <w:pPr>
        <w:ind w:left="460" w:right="40"/>
        <w:spacing w:after="0" w:line="296" w:lineRule="auto"/>
        <w:rPr>
          <w:sz w:val="20"/>
          <w:szCs w:val="20"/>
          <w:color w:val="auto"/>
        </w:rPr>
      </w:pPr>
      <w:r>
        <w:rPr>
          <w:rFonts w:ascii="Arial" w:cs="Arial" w:eastAsia="Arial" w:hAnsi="Arial"/>
          <w:sz w:val="15"/>
          <w:szCs w:val="15"/>
          <w:color w:val="auto"/>
        </w:rPr>
        <w:t>Under Section 382 of the Internal Revenue Code of 1986, as amended (the “Code”), the Company’s ability to utilize net operating loss carryforwards or other tax attributes, such as research tax credits (under IRC Section 383), in any taxable year may be limited if it experiences an ownership change. The Company has assessed whether it had an ownership change, as defined by Section 382 of the Code from its formation. Based upon this assessment, no reductions were made to the Company’s net operating losses and tax credit carryforwards under these rules. Additional ownership changes in the future could result in additional limitations on the Company’s net operating losses and tax credit carryforwards.</w:t>
      </w:r>
    </w:p>
    <w:p>
      <w:pPr>
        <w:spacing w:after="0" w:line="152" w:lineRule="exact"/>
        <w:rPr>
          <w:sz w:val="20"/>
          <w:szCs w:val="20"/>
          <w:color w:val="auto"/>
        </w:rPr>
      </w:pPr>
    </w:p>
    <w:p>
      <w:pPr>
        <w:ind w:left="460"/>
        <w:spacing w:after="0" w:line="290" w:lineRule="auto"/>
        <w:rPr>
          <w:sz w:val="20"/>
          <w:szCs w:val="20"/>
          <w:color w:val="auto"/>
        </w:rPr>
      </w:pPr>
      <w:r>
        <w:rPr>
          <w:rFonts w:ascii="Arial" w:cs="Arial" w:eastAsia="Arial" w:hAnsi="Arial"/>
          <w:sz w:val="15"/>
          <w:szCs w:val="15"/>
          <w:color w:val="auto"/>
        </w:rPr>
        <w:t>On June 29,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 There was no material impact of A.B. 85 on the consolidated financial statements for the years ended December 31, 2021 and 2022. On February 9, 2022, Senate Bill No. 113 was signed into California law. This bill would reinstate the net operating loss deduction, and would remove the above-described temporary limitation on allowable credits, for taxable years beginning on or after January 1, 2022.</w:t>
      </w:r>
    </w:p>
    <w:p>
      <w:pPr>
        <w:spacing w:after="0" w:line="156" w:lineRule="exact"/>
        <w:rPr>
          <w:sz w:val="20"/>
          <w:szCs w:val="20"/>
          <w:color w:val="auto"/>
        </w:rPr>
      </w:pPr>
    </w:p>
    <w:p>
      <w:pPr>
        <w:ind w:left="460"/>
        <w:spacing w:after="0" w:line="340" w:lineRule="auto"/>
        <w:rPr>
          <w:sz w:val="20"/>
          <w:szCs w:val="20"/>
          <w:color w:val="auto"/>
        </w:rPr>
      </w:pPr>
      <w:r>
        <w:rPr>
          <w:rFonts w:ascii="Arial" w:cs="Arial" w:eastAsia="Arial" w:hAnsi="Arial"/>
          <w:sz w:val="15"/>
          <w:szCs w:val="15"/>
          <w:color w:val="auto"/>
        </w:rPr>
        <w:t>Under the Tax Cuts and Jobs Act of 2017, research and development costs are required to be capitalized and amortized for U.S. tax purposes, effective January 1, 2022. The mandatory capitalization requirement did not materially impact the Company’s net deferred tax assets and 2022 cash tax liabilities.</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760"/>
          </w:cols>
          <w:pgMar w:left="320" w:top="440" w:right="819" w:bottom="1440" w:gutter="0" w:footer="0" w:header="0"/>
        </w:sectPr>
      </w:pPr>
    </w:p>
    <w:bookmarkStart w:id="373" w:name="page374"/>
    <w:bookmarkEnd w:id="3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related to the Company’s gross unrecognized tax benefits: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0"/>
              <w:spacing w:after="0" w:line="132"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8"/>
              <w:spacing w:after="0" w:line="132"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8"/>
              <w:spacing w:after="0" w:line="132"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380"/>
              <w:spacing w:after="0" w:line="132" w:lineRule="exact"/>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Gross increases – current period tax positions</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Gross increases – prior period tax positions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Gross decreases – current period tax positions</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Gross decreases – prior period tax positions</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8"/>
        </w:trPr>
        <w:tc>
          <w:tcPr>
            <w:tcW w:w="5900" w:type="dxa"/>
            <w:vAlign w:val="bottom"/>
            <w:gridSpan w:val="2"/>
          </w:tcPr>
          <w:p>
            <w:pPr>
              <w:spacing w:after="0"/>
              <w:rPr>
                <w:sz w:val="20"/>
                <w:szCs w:val="20"/>
                <w:color w:val="auto"/>
              </w:rPr>
            </w:pPr>
            <w:r>
              <w:rPr>
                <w:rFonts w:ascii="Arial" w:cs="Arial" w:eastAsia="Arial" w:hAnsi="Arial"/>
                <w:sz w:val="17"/>
                <w:szCs w:val="17"/>
                <w:color w:val="auto"/>
              </w:rPr>
              <w:t>Unrecognized tax benefits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10</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40"/>
        <w:spacing w:after="0" w:line="277" w:lineRule="auto"/>
        <w:rPr>
          <w:sz w:val="20"/>
          <w:szCs w:val="20"/>
          <w:color w:val="auto"/>
        </w:rPr>
      </w:pPr>
      <w:r>
        <w:rPr>
          <w:rFonts w:ascii="Arial" w:cs="Arial" w:eastAsia="Arial" w:hAnsi="Arial"/>
          <w:sz w:val="16"/>
          <w:szCs w:val="16"/>
          <w:color w:val="auto"/>
        </w:rPr>
        <w:t>The Company’s policy is to recognize interest and penalties associated with uncertain tax benefits as part of the income tax provision and include accrued interest and penalties within the related income tax liability on the Company’s consolidated balance sheets. To date, the Company has not recognized any interest and penalties in the consolidated statements of operations, nor has it accrued for or made payments for interest and penalties. As of December 31, 2022, $30 million of unrecognized tax benefits, if recognized, would impact the effective tax rate.</w:t>
      </w:r>
    </w:p>
    <w:p>
      <w:pPr>
        <w:spacing w:after="0" w:line="164" w:lineRule="exact"/>
        <w:rPr>
          <w:sz w:val="20"/>
          <w:szCs w:val="20"/>
          <w:color w:val="auto"/>
        </w:rPr>
      </w:pPr>
    </w:p>
    <w:p>
      <w:pPr>
        <w:ind w:left="460"/>
        <w:spacing w:after="0" w:line="311" w:lineRule="auto"/>
        <w:rPr>
          <w:sz w:val="20"/>
          <w:szCs w:val="20"/>
          <w:color w:val="auto"/>
        </w:rPr>
      </w:pPr>
      <w:r>
        <w:rPr>
          <w:rFonts w:ascii="Arial" w:cs="Arial" w:eastAsia="Arial" w:hAnsi="Arial"/>
          <w:sz w:val="15"/>
          <w:szCs w:val="15"/>
          <w:color w:val="auto"/>
        </w:rPr>
        <w:t>The Company has not provided U.S. income or foreign withholding taxes on the undistributed earnings of its foreign subsidiaries as of December 31, 2021 or 2022 because it intends to permanently reinvest such earnings outside of the United States. If these foreign earnings were to be repatriated in the future, the related U.S. tax liability will be not material, due to the participation exemption put in place under the 2017 Tax Cuts and Jobs Act.</w:t>
      </w:r>
    </w:p>
    <w:p>
      <w:pPr>
        <w:spacing w:after="0" w:line="140"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The Company files income tax returns primarily in the U.S. federal and state jurisdictions and in Canada, China, and Australia. The Company is subject to examination in U.S. federal, various state and local jurisdictions, for all prior years. The examination period for Canada remains open as of 2018. There are no jurisdictions currently under examination.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For the Six Months Ended June 30, 2022 and 2023 (Unaudited)</w:t>
      </w:r>
    </w:p>
    <w:p>
      <w:pPr>
        <w:spacing w:after="0" w:line="108" w:lineRule="exact"/>
        <w:rPr>
          <w:sz w:val="20"/>
          <w:szCs w:val="20"/>
          <w:color w:val="auto"/>
        </w:rPr>
      </w:pPr>
    </w:p>
    <w:p>
      <w:pPr>
        <w:ind w:left="460" w:right="20"/>
        <w:spacing w:after="0" w:line="252" w:lineRule="auto"/>
        <w:rPr>
          <w:sz w:val="20"/>
          <w:szCs w:val="20"/>
          <w:color w:val="auto"/>
        </w:rPr>
      </w:pPr>
      <w:r>
        <w:rPr>
          <w:rFonts w:ascii="Arial" w:cs="Arial" w:eastAsia="Arial" w:hAnsi="Arial"/>
          <w:sz w:val="17"/>
          <w:szCs w:val="17"/>
          <w:color w:val="auto"/>
        </w:rPr>
        <w:t>The Company’s provision for (benefit from) income taxes for interim periods is determined using an estimated annual effective tax rate, adjusted for discrete items arising in that quarter. The Company recorded a $1 million and $64 million provision for income taxes for the six months ended June 30, 2022 and 2023 (unaudited), respectively. The effective tax rate was (1.4)% and 21.0% for the six months ended June 30, 2022 and 2023 (unaudited), respectively. For the six months ended June 30, 2022 (unaudited), the effective tax rate differs from the U.S. statutory tax rate primarily due to the U.S. valuation allowance on the Company’s deferred tax assets as it was more likely than not that some or all of the Company’s deferred tax assets would not be realized. The increase in the effective tax rate for the six months ended June 30, 2023 (unaudited) compared to the six months ended June 30, 2022 (unaudited) was primarily due to the release of the valuation allowance related to the U.S. federal and state net deferred tax assets during the fourth quarter of 2022.</w:t>
      </w:r>
    </w:p>
    <w:p>
      <w:pPr>
        <w:spacing w:after="0" w:line="279" w:lineRule="exact"/>
        <w:rPr>
          <w:sz w:val="20"/>
          <w:szCs w:val="20"/>
          <w:color w:val="auto"/>
        </w:rPr>
      </w:pPr>
    </w:p>
    <w:p>
      <w:pPr>
        <w:ind w:left="880" w:hanging="423"/>
        <w:spacing w:after="0"/>
        <w:tabs>
          <w:tab w:leader="none" w:pos="880"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 Attributable to Common Stockholders</w:t>
      </w:r>
    </w:p>
    <w:p>
      <w:pPr>
        <w:spacing w:after="0" w:line="112"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The rights, including the liquidation and dividend rights, of the holders of voting and non-voting common stock are identical, except with respect to voting. As the liquidation and dividend rights are identical, the undistributed earnings are allocated on a proportionate basis and the resulting net income (loss) per share attributable to common stockholders will, therefore, be the same for both voting and non-voting common stock on an individual or combined basis.</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760"/>
          </w:cols>
          <w:pgMar w:left="320" w:top="440" w:right="819" w:bottom="1440" w:gutter="0" w:footer="0" w:header="0"/>
        </w:sectPr>
      </w:pPr>
    </w:p>
    <w:bookmarkStart w:id="374" w:name="page375"/>
    <w:bookmarkEnd w:id="3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computation of basic and diluted net income (loss) per share attributable to common stockholders: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93"/>
              </w:rPr>
              <w:t>Year Ended December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left="302"/>
              <w:spacing w:after="0"/>
              <w:rPr>
                <w:sz w:val="20"/>
                <w:szCs w:val="20"/>
                <w:color w:val="auto"/>
              </w:rPr>
            </w:pPr>
            <w:r>
              <w:rPr>
                <w:rFonts w:ascii="Arial" w:cs="Arial" w:eastAsia="Arial" w:hAnsi="Arial"/>
                <w:sz w:val="13"/>
                <w:szCs w:val="13"/>
                <w:b w:val="1"/>
                <w:bCs w:val="1"/>
                <w:color w:val="auto"/>
                <w:w w:val="95"/>
              </w:rPr>
              <w:t>Six Months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302"/>
              <w:spacing w:after="0"/>
              <w:rPr>
                <w:sz w:val="20"/>
                <w:szCs w:val="20"/>
                <w:color w:val="auto"/>
              </w:rPr>
            </w:pPr>
            <w:r>
              <w:rPr>
                <w:rFonts w:ascii="Arial" w:cs="Arial" w:eastAsia="Arial" w:hAnsi="Arial"/>
                <w:sz w:val="13"/>
                <w:szCs w:val="13"/>
                <w:b w:val="1"/>
                <w:bCs w:val="1"/>
                <w:color w:val="auto"/>
                <w:w w:val="94"/>
              </w:rPr>
              <w:t>Ended June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7"/>
              <w:spacing w:after="0" w:line="132" w:lineRule="exact"/>
              <w:rPr>
                <w:sz w:val="20"/>
                <w:szCs w:val="20"/>
                <w:color w:val="auto"/>
              </w:rPr>
            </w:pPr>
            <w:r>
              <w:rPr>
                <w:rFonts w:ascii="Arial" w:cs="Arial" w:eastAsia="Arial" w:hAnsi="Arial"/>
                <w:sz w:val="13"/>
                <w:szCs w:val="13"/>
                <w:b w:val="1"/>
                <w:bCs w:val="1"/>
                <w:color w:val="auto"/>
                <w:w w:val="96"/>
              </w:rPr>
              <w:t>2021</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7"/>
              <w:spacing w:after="0" w:line="132" w:lineRule="exact"/>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2"/>
              <w:spacing w:after="0" w:line="132" w:lineRule="exact"/>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line="132" w:lineRule="exact"/>
              <w:rPr>
                <w:sz w:val="20"/>
                <w:szCs w:val="20"/>
                <w:color w:val="auto"/>
              </w:rPr>
            </w:pPr>
            <w:r>
              <w:rPr>
                <w:rFonts w:ascii="Arial" w:cs="Arial" w:eastAsia="Arial" w:hAnsi="Arial"/>
                <w:sz w:val="13"/>
                <w:szCs w:val="13"/>
                <w:b w:val="1"/>
                <w:bCs w:val="1"/>
                <w:color w:val="auto"/>
                <w:w w:val="89"/>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20" w:type="dxa"/>
            <w:vAlign w:val="bottom"/>
            <w:gridSpan w:val="9"/>
          </w:tcPr>
          <w:p>
            <w:pPr>
              <w:jc w:val="center"/>
              <w:ind w:right="77"/>
              <w:spacing w:after="0" w:line="112" w:lineRule="exact"/>
              <w:rPr>
                <w:sz w:val="20"/>
                <w:szCs w:val="20"/>
                <w:color w:val="auto"/>
              </w:rPr>
            </w:pPr>
            <w:r>
              <w:rPr>
                <w:rFonts w:ascii="Arial" w:cs="Arial" w:eastAsia="Arial" w:hAnsi="Arial"/>
                <w:sz w:val="12"/>
                <w:szCs w:val="12"/>
                <w:b w:val="1"/>
                <w:bCs w:val="1"/>
                <w:color w:val="auto"/>
                <w:w w:val="99"/>
              </w:rPr>
              <w:t>(in millions, except share amounts,</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gridSpan w:val="4"/>
          </w:tcPr>
          <w:p>
            <w:pPr>
              <w:jc w:val="center"/>
              <w:ind w:right="37"/>
              <w:spacing w:after="0" w:line="112" w:lineRule="exact"/>
              <w:rPr>
                <w:sz w:val="20"/>
                <w:szCs w:val="20"/>
                <w:color w:val="auto"/>
              </w:rPr>
            </w:pPr>
            <w:r>
              <w:rPr>
                <w:rFonts w:ascii="Arial" w:cs="Arial" w:eastAsia="Arial" w:hAnsi="Arial"/>
                <w:sz w:val="12"/>
                <w:szCs w:val="12"/>
                <w:b w:val="1"/>
                <w:bCs w:val="1"/>
                <w:color w:val="auto"/>
              </w:rPr>
              <w:t>(unaudited and in millions,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8"/>
          </w:tcPr>
          <w:p>
            <w:pPr>
              <w:jc w:val="center"/>
              <w:ind w:left="339"/>
              <w:spacing w:after="0" w:line="139" w:lineRule="exact"/>
              <w:rPr>
                <w:sz w:val="20"/>
                <w:szCs w:val="20"/>
                <w:color w:val="auto"/>
              </w:rPr>
            </w:pPr>
            <w:r>
              <w:rPr>
                <w:rFonts w:ascii="Arial" w:cs="Arial" w:eastAsia="Arial" w:hAnsi="Arial"/>
                <w:sz w:val="13"/>
                <w:szCs w:val="13"/>
                <w:b w:val="1"/>
                <w:bCs w:val="1"/>
                <w:color w:val="auto"/>
                <w:w w:val="91"/>
              </w:rPr>
              <w:t>which are reflected in thousands,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5"/>
          </w:tcPr>
          <w:p>
            <w:pPr>
              <w:jc w:val="center"/>
              <w:ind w:right="220"/>
              <w:spacing w:after="0" w:line="139" w:lineRule="exact"/>
              <w:rPr>
                <w:sz w:val="20"/>
                <w:szCs w:val="20"/>
                <w:color w:val="auto"/>
              </w:rPr>
            </w:pPr>
            <w:r>
              <w:rPr>
                <w:rFonts w:ascii="Arial" w:cs="Arial" w:eastAsia="Arial" w:hAnsi="Arial"/>
                <w:sz w:val="13"/>
                <w:szCs w:val="13"/>
                <w:b w:val="1"/>
                <w:bCs w:val="1"/>
                <w:color w:val="auto"/>
                <w:w w:val="90"/>
              </w:rPr>
              <w:t>except share amounts,</w:t>
            </w: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center"/>
              <w:ind w:right="20"/>
              <w:spacing w:after="0" w:line="139" w:lineRule="exact"/>
              <w:rPr>
                <w:sz w:val="20"/>
                <w:szCs w:val="20"/>
                <w:color w:val="auto"/>
              </w:rPr>
            </w:pPr>
            <w:r>
              <w:rPr>
                <w:rFonts w:ascii="Arial" w:cs="Arial" w:eastAsia="Arial" w:hAnsi="Arial"/>
                <w:sz w:val="13"/>
                <w:szCs w:val="13"/>
                <w:b w:val="1"/>
                <w:bCs w:val="1"/>
                <w:color w:val="auto"/>
                <w:w w:val="92"/>
              </w:rPr>
              <w:t>and per share amounts)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5"/>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which are reflected in</w:t>
            </w: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left="302"/>
              <w:spacing w:after="0" w:line="139" w:lineRule="exact"/>
              <w:rPr>
                <w:sz w:val="20"/>
                <w:szCs w:val="20"/>
                <w:color w:val="auto"/>
              </w:rPr>
            </w:pPr>
            <w:r>
              <w:rPr>
                <w:rFonts w:ascii="Arial" w:cs="Arial" w:eastAsia="Arial" w:hAnsi="Arial"/>
                <w:sz w:val="13"/>
                <w:szCs w:val="13"/>
                <w:b w:val="1"/>
                <w:bCs w:val="1"/>
                <w:color w:val="auto"/>
                <w:w w:val="89"/>
              </w:rPr>
              <w:t>thousands, and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per share amounts)</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Arial" w:cs="Arial" w:eastAsia="Arial" w:hAnsi="Arial"/>
                <w:sz w:val="17"/>
                <w:szCs w:val="17"/>
                <w:color w:val="auto"/>
              </w:rPr>
              <w:t>Net income (loss)</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(70)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(73)</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428</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(74)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Less: Undistributed earnings attributable to preferred</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stockholders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7"/>
                <w:szCs w:val="17"/>
                <w:color w:val="auto"/>
                <w:w w:val="97"/>
              </w:rPr>
              <w:t>Net income (loss) attributable to common stockholders, basic</w:t>
            </w: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(70)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(73)</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77</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(74)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Add: Undistributed earnings reallocated to common</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stockholders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7"/>
                <w:szCs w:val="17"/>
                <w:color w:val="auto"/>
                <w:w w:val="95"/>
              </w:rPr>
              <w:t>Net income (loss) attributable to common stockholders, diluted</w:t>
            </w: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(70)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(73)</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97</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(74)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Denominator:</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spacing w:after="0" w:line="190" w:lineRule="exact"/>
              <w:rPr>
                <w:sz w:val="20"/>
                <w:szCs w:val="20"/>
                <w:color w:val="auto"/>
              </w:rPr>
            </w:pPr>
            <w:r>
              <w:rPr>
                <w:rFonts w:ascii="Arial" w:cs="Arial" w:eastAsia="Arial" w:hAnsi="Arial"/>
                <w:sz w:val="17"/>
                <w:szCs w:val="17"/>
                <w:color w:val="auto"/>
                <w:w w:val="95"/>
              </w:rPr>
              <w:t>Weighted-average shares used in computing basic net income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160"/>
              <w:spacing w:after="0"/>
              <w:rPr>
                <w:sz w:val="20"/>
                <w:szCs w:val="20"/>
                <w:color w:val="auto"/>
              </w:rPr>
            </w:pPr>
            <w:r>
              <w:rPr>
                <w:rFonts w:ascii="Arial" w:cs="Arial" w:eastAsia="Arial" w:hAnsi="Arial"/>
                <w:sz w:val="17"/>
                <w:szCs w:val="17"/>
                <w:color w:val="auto"/>
              </w:rPr>
              <w:t>(loss) per share attributable to common stockholders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57,929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9"/>
              </w:rPr>
              <w:t>65,874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71,853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71,668</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72,222</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effect of dilutive securities: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7"/>
                <w:szCs w:val="17"/>
                <w:color w:val="auto"/>
              </w:rPr>
              <w:t>Stock options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25,087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23,576</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Non-voting common stock warrants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3,510</w:t>
            </w: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7"/>
                <w:szCs w:val="17"/>
                <w:color w:val="auto"/>
              </w:rPr>
              <w:t>Unvested restricted non-voting common stock</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 but not settled restricted stock units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7"/>
                <w:szCs w:val="17"/>
                <w:color w:val="auto"/>
                <w:w w:val="93"/>
              </w:rPr>
              <w:t>Weighted-average shares used in computing diluted net income</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60"/>
              <w:spacing w:after="0"/>
              <w:rPr>
                <w:sz w:val="20"/>
                <w:szCs w:val="20"/>
                <w:color w:val="auto"/>
              </w:rPr>
            </w:pPr>
            <w:r>
              <w:rPr>
                <w:rFonts w:ascii="Arial" w:cs="Arial" w:eastAsia="Arial" w:hAnsi="Arial"/>
                <w:sz w:val="17"/>
                <w:szCs w:val="17"/>
                <w:color w:val="auto"/>
              </w:rPr>
              <w:t>(loss) per share attributable to common stockholders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57,929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9"/>
              </w:rPr>
              <w:t>65,874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101,480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71,668</w:t>
            </w: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99,334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shd w:val="clear" w:color="auto" w:fill="CCEEFF"/>
          </w:tcPr>
          <w:p>
            <w:pPr>
              <w:spacing w:after="0" w:line="177" w:lineRule="exact"/>
              <w:rPr>
                <w:sz w:val="20"/>
                <w:szCs w:val="20"/>
                <w:color w:val="auto"/>
              </w:rPr>
            </w:pPr>
            <w:r>
              <w:rPr>
                <w:rFonts w:ascii="Arial" w:cs="Arial" w:eastAsia="Arial" w:hAnsi="Arial"/>
                <w:sz w:val="17"/>
                <w:szCs w:val="17"/>
                <w:b w:val="1"/>
                <w:bCs w:val="1"/>
                <w:color w:val="auto"/>
              </w:rPr>
              <w:t>Net income (loss) per share attributable to common</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stockholders: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(1.21)</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(1.12)</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1.08</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(1.03)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347"/>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F-63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375" w:name="page376"/>
    <w:bookmarkEnd w:id="3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The following potentially dilutive outstanding securities were excluded from the computation of diluted income (loss) per share attributable to common stockholders because their effect was not dilutive: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2440" w:type="dxa"/>
            <w:vAlign w:val="bottom"/>
            <w:gridSpan w:val="7"/>
            <w:vMerge w:val="restart"/>
          </w:tcPr>
          <w:p>
            <w:pPr>
              <w:jc w:val="center"/>
              <w:ind w:right="180"/>
              <w:spacing w:after="0"/>
              <w:rPr>
                <w:sz w:val="20"/>
                <w:szCs w:val="20"/>
                <w:color w:val="auto"/>
              </w:rPr>
            </w:pPr>
            <w:r>
              <w:rPr>
                <w:rFonts w:ascii="Arial" w:cs="Arial" w:eastAsia="Arial" w:hAnsi="Arial"/>
                <w:sz w:val="13"/>
                <w:szCs w:val="13"/>
                <w:b w:val="1"/>
                <w:bCs w:val="1"/>
                <w:color w:val="auto"/>
                <w:w w:val="93"/>
              </w:rPr>
              <w:t>Year Ended December 31,</w:t>
            </w:r>
          </w:p>
        </w:tc>
        <w:tc>
          <w:tcPr>
            <w:tcW w:w="16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0"/>
        </w:trPr>
        <w:tc>
          <w:tcPr>
            <w:tcW w:w="6300" w:type="dxa"/>
            <w:vAlign w:val="bottom"/>
          </w:tcPr>
          <w:p>
            <w:pPr>
              <w:spacing w:after="0"/>
              <w:rPr>
                <w:sz w:val="13"/>
                <w:szCs w:val="13"/>
                <w:color w:val="auto"/>
              </w:rPr>
            </w:pPr>
          </w:p>
        </w:tc>
        <w:tc>
          <w:tcPr>
            <w:tcW w:w="2440" w:type="dxa"/>
            <w:vAlign w:val="bottom"/>
            <w:gridSpan w:val="7"/>
            <w:vMerge w:val="continue"/>
          </w:tcPr>
          <w:p>
            <w:pPr>
              <w:spacing w:after="0"/>
              <w:rPr>
                <w:sz w:val="13"/>
                <w:szCs w:val="13"/>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2"/>
        </w:trPr>
        <w:tc>
          <w:tcPr>
            <w:tcW w:w="63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9"/>
              <w:spacing w:after="0" w:line="132" w:lineRule="exact"/>
              <w:rPr>
                <w:sz w:val="20"/>
                <w:szCs w:val="20"/>
                <w:color w:val="auto"/>
              </w:rPr>
            </w:pPr>
            <w:r>
              <w:rPr>
                <w:rFonts w:ascii="Arial" w:cs="Arial" w:eastAsia="Arial" w:hAnsi="Arial"/>
                <w:sz w:val="13"/>
                <w:szCs w:val="13"/>
                <w:b w:val="1"/>
                <w:bCs w:val="1"/>
                <w:color w:val="auto"/>
              </w:rPr>
              <w:t>2020</w:t>
            </w:r>
          </w:p>
        </w:tc>
        <w:tc>
          <w:tcPr>
            <w:tcW w:w="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center"/>
              <w:ind w:left="40"/>
              <w:spacing w:after="0" w:line="132"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3"/>
              <w:spacing w:after="0" w:line="132" w:lineRule="exact"/>
              <w:rPr>
                <w:sz w:val="20"/>
                <w:szCs w:val="20"/>
                <w:color w:val="auto"/>
              </w:rPr>
            </w:pPr>
            <w:r>
              <w:rPr>
                <w:rFonts w:ascii="Arial" w:cs="Arial" w:eastAsia="Arial" w:hAnsi="Arial"/>
                <w:sz w:val="13"/>
                <w:szCs w:val="13"/>
                <w:b w:val="1"/>
                <w:bCs w:val="1"/>
                <w:color w:val="auto"/>
              </w:rPr>
              <w:t>2022</w:t>
            </w: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8"/>
              <w:spacing w:after="0" w:line="132"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1"/>
              </w:rPr>
              <w:t>(in thousands)</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3"/>
          </w:tcPr>
          <w:p>
            <w:pPr>
              <w:jc w:val="center"/>
              <w:spacing w:after="0" w:line="112"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165,572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167,692</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167,692</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167,692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167,692</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7"/>
                <w:szCs w:val="17"/>
                <w:color w:val="auto"/>
              </w:rPr>
              <w:t>Stock options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31,076</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30,264</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30,159</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Non-voting common stock issuable pursuant to a subscription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929</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465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7"/>
                <w:szCs w:val="17"/>
                <w:color w:val="auto"/>
              </w:rPr>
              <w:t>Unvested exchangeable shares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non-voting common stock</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7"/>
                <w:szCs w:val="17"/>
                <w:color w:val="auto"/>
              </w:rPr>
              <w:t>Non-voting common stock warrants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13,005</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9,289</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7,431</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210,623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207,957</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167,846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205,486</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168,249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color w:val="auto"/>
        </w:rPr>
        <w:t>The following potentially dilutive outstanding securities were excluded from the table above because they are subject to performance-based and / or market-based vesting conditions that were not achieved as of those dates: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2440" w:type="dxa"/>
            <w:vAlign w:val="bottom"/>
            <w:gridSpan w:val="7"/>
            <w:vMerge w:val="restart"/>
          </w:tcPr>
          <w:p>
            <w:pPr>
              <w:jc w:val="center"/>
              <w:ind w:right="180"/>
              <w:spacing w:after="0"/>
              <w:rPr>
                <w:sz w:val="20"/>
                <w:szCs w:val="20"/>
                <w:color w:val="auto"/>
              </w:rPr>
            </w:pPr>
            <w:r>
              <w:rPr>
                <w:rFonts w:ascii="Arial" w:cs="Arial" w:eastAsia="Arial" w:hAnsi="Arial"/>
                <w:sz w:val="13"/>
                <w:szCs w:val="13"/>
                <w:b w:val="1"/>
                <w:bCs w:val="1"/>
                <w:color w:val="auto"/>
                <w:w w:val="93"/>
              </w:rPr>
              <w:t>Year Ended December 31,</w:t>
            </w:r>
          </w:p>
        </w:tc>
        <w:tc>
          <w:tcPr>
            <w:tcW w:w="16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0"/>
        </w:trPr>
        <w:tc>
          <w:tcPr>
            <w:tcW w:w="6300" w:type="dxa"/>
            <w:vAlign w:val="bottom"/>
          </w:tcPr>
          <w:p>
            <w:pPr>
              <w:spacing w:after="0"/>
              <w:rPr>
                <w:sz w:val="13"/>
                <w:szCs w:val="13"/>
                <w:color w:val="auto"/>
              </w:rPr>
            </w:pPr>
          </w:p>
        </w:tc>
        <w:tc>
          <w:tcPr>
            <w:tcW w:w="2440" w:type="dxa"/>
            <w:vAlign w:val="bottom"/>
            <w:gridSpan w:val="7"/>
            <w:vMerge w:val="continue"/>
          </w:tcPr>
          <w:p>
            <w:pPr>
              <w:spacing w:after="0"/>
              <w:rPr>
                <w:sz w:val="13"/>
                <w:szCs w:val="13"/>
                <w:color w:val="auto"/>
              </w:rPr>
            </w:pPr>
          </w:p>
        </w:tc>
        <w:tc>
          <w:tcPr>
            <w:tcW w:w="1020" w:type="dxa"/>
            <w:vAlign w:val="bottom"/>
            <w:gridSpan w:val="3"/>
          </w:tcPr>
          <w:p>
            <w:pPr>
              <w:jc w:val="center"/>
              <w:ind w:left="426"/>
              <w:spacing w:after="0"/>
              <w:rPr>
                <w:sz w:val="20"/>
                <w:szCs w:val="20"/>
                <w:color w:val="auto"/>
              </w:rPr>
            </w:pPr>
            <w:r>
              <w:rPr>
                <w:rFonts w:ascii="Arial" w:cs="Arial" w:eastAsia="Arial" w:hAnsi="Arial"/>
                <w:sz w:val="13"/>
                <w:szCs w:val="13"/>
                <w:b w:val="1"/>
                <w:bCs w:val="1"/>
                <w:color w:val="auto"/>
                <w:w w:val="92"/>
              </w:rPr>
              <w:t>June 30,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30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180"/>
              <w:spacing w:after="0" w:line="132" w:lineRule="exact"/>
              <w:rPr>
                <w:sz w:val="20"/>
                <w:szCs w:val="20"/>
                <w:color w:val="auto"/>
              </w:rPr>
            </w:pPr>
            <w:r>
              <w:rPr>
                <w:rFonts w:ascii="Arial" w:cs="Arial" w:eastAsia="Arial" w:hAnsi="Arial"/>
                <w:sz w:val="13"/>
                <w:szCs w:val="13"/>
                <w:b w:val="1"/>
                <w:bCs w:val="1"/>
                <w:color w:val="auto"/>
              </w:rPr>
              <w:t>2020</w:t>
            </w:r>
          </w:p>
        </w:tc>
        <w:tc>
          <w:tcPr>
            <w:tcW w:w="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center"/>
              <w:ind w:left="44"/>
              <w:spacing w:after="0" w:line="132"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9"/>
              <w:spacing w:after="0" w:line="132"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2" w:lineRule="exact"/>
              <w:rPr>
                <w:sz w:val="20"/>
                <w:szCs w:val="20"/>
                <w:color w:val="auto"/>
              </w:rPr>
            </w:pPr>
            <w:r>
              <w:rPr>
                <w:rFonts w:ascii="Arial" w:cs="Arial" w:eastAsia="Arial" w:hAnsi="Arial"/>
                <w:sz w:val="13"/>
                <w:szCs w:val="13"/>
                <w:b w:val="1"/>
                <w:bCs w:val="1"/>
                <w:color w:val="auto"/>
              </w:rPr>
              <w:t>2022</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9"/>
              <w:spacing w:after="0" w:line="132" w:lineRule="exact"/>
              <w:rPr>
                <w:sz w:val="20"/>
                <w:szCs w:val="20"/>
                <w:color w:val="auto"/>
              </w:rPr>
            </w:pPr>
            <w:r>
              <w:rPr>
                <w:rFonts w:ascii="Arial" w:cs="Arial" w:eastAsia="Arial" w:hAnsi="Arial"/>
                <w:sz w:val="13"/>
                <w:szCs w:val="13"/>
                <w:b w:val="1"/>
                <w:bCs w:val="1"/>
                <w:color w:val="auto"/>
                <w:w w:val="96"/>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1"/>
              </w:rPr>
              <w:t>(in thousands)</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4"/>
          </w:tcPr>
          <w:p>
            <w:pPr>
              <w:jc w:val="center"/>
              <w:spacing w:after="0" w:line="112"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2"/>
              </w:rPr>
              <w:t>24,660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39,450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56,969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47,368</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63,467</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7"/>
                <w:szCs w:val="17"/>
                <w:color w:val="auto"/>
              </w:rPr>
              <w:t>Restricted non-voting common stock</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450</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450</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450</w:t>
            </w:r>
          </w:p>
        </w:tc>
        <w:tc>
          <w:tcPr>
            <w:tcW w:w="1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Non-voting common stock warrants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680"/>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w w:val="84"/>
              </w:rPr>
              <w:t>26,518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41,758</w:t>
            </w:r>
          </w:p>
        </w:tc>
        <w:tc>
          <w:tcPr>
            <w:tcW w:w="660" w:type="dxa"/>
            <w:vAlign w:val="bottom"/>
          </w:tcPr>
          <w:p>
            <w:pPr>
              <w:jc w:val="right"/>
              <w:spacing w:after="0"/>
              <w:rPr>
                <w:sz w:val="20"/>
                <w:szCs w:val="20"/>
                <w:color w:val="auto"/>
              </w:rPr>
            </w:pPr>
            <w:r>
              <w:rPr>
                <w:rFonts w:ascii="Arial" w:cs="Arial" w:eastAsia="Arial" w:hAnsi="Arial"/>
                <w:sz w:val="17"/>
                <w:szCs w:val="17"/>
                <w:color w:val="auto"/>
              </w:rPr>
              <w:t>57,419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49,676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63,917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880" w:hanging="423"/>
        <w:spacing w:after="0"/>
        <w:tabs>
          <w:tab w:leader="none" w:pos="880"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12" w:lineRule="exact"/>
        <w:rPr>
          <w:sz w:val="20"/>
          <w:szCs w:val="20"/>
          <w:color w:val="auto"/>
        </w:rPr>
      </w:pPr>
    </w:p>
    <w:p>
      <w:pPr>
        <w:ind w:left="460" w:right="60"/>
        <w:spacing w:after="0" w:line="290" w:lineRule="auto"/>
        <w:rPr>
          <w:sz w:val="20"/>
          <w:szCs w:val="20"/>
          <w:color w:val="auto"/>
        </w:rPr>
      </w:pPr>
      <w:r>
        <w:rPr>
          <w:rFonts w:ascii="Arial" w:cs="Arial" w:eastAsia="Arial" w:hAnsi="Arial"/>
          <w:sz w:val="15"/>
          <w:szCs w:val="15"/>
          <w:color w:val="auto"/>
        </w:rPr>
        <w:t>An executive officer of a software vendor joined the Company’s board of directors during the year ended December 31, 2021. The Company is party to agreements with the vendor whereby the Company primarily pays the vendor usage-based subscription fees for the use of the software. During the years ended December 31, 2021 and 2022, the Company paid $28 million and $51 million, respectively, in connection with this software subscription, and $28 million and $28 million, respectively, was included within operating expenses in the consolidated statements of operations. During the six months ended June 30, 2022 and 2023 (unaudited), the Company paid $37 million and less than $1 million, respectively, in connection with this software subscription, and $16 million and $11 million, respectively, was included within operating expenses in the consolidated statements of operations. As of December 31, 2021 and 2022 and June 30, 2023 (unaudited), zero, $23 million, and $12 million was included within prepaid expenses and other current assets on the consolidated balance sheets, respectively, and no amounts were due to this vendor as of those dates.</w:t>
      </w:r>
    </w:p>
    <w:p>
      <w:pPr>
        <w:spacing w:after="0" w:line="156"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In January 2021, the Company issued an aggregate of 83,332 shares of non-voting common stock to three members of the board of directors at a price of $60.00 per share with total proceeds of $5 million.</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0800"/>
          </w:cols>
          <w:pgMar w:left="320" w:top="440" w:right="779" w:bottom="1440" w:gutter="0" w:footer="0" w:header="0"/>
        </w:sectPr>
      </w:pPr>
    </w:p>
    <w:bookmarkStart w:id="376" w:name="page377"/>
    <w:bookmarkEnd w:id="3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MAPLEBEAR INC. DBA INSTACART</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5" w:lineRule="exact"/>
        <w:rPr>
          <w:sz w:val="20"/>
          <w:szCs w:val="20"/>
          <w:color w:val="auto"/>
        </w:rPr>
      </w:pPr>
    </w:p>
    <w:p>
      <w:pPr>
        <w:ind w:left="880" w:hanging="423"/>
        <w:spacing w:after="0"/>
        <w:tabs>
          <w:tab w:leader="none" w:pos="88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w:t>
      </w:r>
    </w:p>
    <w:p>
      <w:pPr>
        <w:spacing w:after="0" w:line="112" w:lineRule="exact"/>
        <w:rPr>
          <w:sz w:val="20"/>
          <w:szCs w:val="20"/>
          <w:color w:val="auto"/>
        </w:rPr>
      </w:pPr>
    </w:p>
    <w:p>
      <w:pPr>
        <w:ind w:left="460"/>
        <w:spacing w:after="0" w:line="274" w:lineRule="auto"/>
        <w:rPr>
          <w:sz w:val="20"/>
          <w:szCs w:val="20"/>
          <w:color w:val="auto"/>
        </w:rPr>
      </w:pPr>
      <w:r>
        <w:rPr>
          <w:rFonts w:ascii="Arial" w:cs="Arial" w:eastAsia="Arial" w:hAnsi="Arial"/>
          <w:sz w:val="16"/>
          <w:szCs w:val="16"/>
          <w:color w:val="auto"/>
        </w:rPr>
        <w:t>The Company has a 401(k) plan under which U.S. employees may make voluntary pre-tax and post-tax contributions at their discretion, up to maximum annual contribution limits established by the U.S. Department of Treasury. The Company did not make any contributions to the plan during the years ended December 31, 2020 or 2021. Beginning January 1, 2022, the Company began matching a portion of employee contributions totaling $18 million, $9 million, and $7 million for the year ended December 31, 2022 and the six months ended June 30, 2022 and 2023 (unaudited), respectively. Both employee contributions and the Company’s matching contributions are fully vested upon contribution.</w:t>
      </w:r>
    </w:p>
    <w:p>
      <w:pPr>
        <w:spacing w:after="0" w:line="263" w:lineRule="exact"/>
        <w:rPr>
          <w:sz w:val="20"/>
          <w:szCs w:val="20"/>
          <w:color w:val="auto"/>
        </w:rPr>
      </w:pPr>
    </w:p>
    <w:p>
      <w:pPr>
        <w:ind w:left="880" w:hanging="423"/>
        <w:spacing w:after="0"/>
        <w:tabs>
          <w:tab w:leader="none" w:pos="88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12"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The Company has evaluated subsequent events through March 17, 2023, the date the audited annual consolidated financial statements were available to be issued.</w:t>
      </w:r>
    </w:p>
    <w:p>
      <w:pPr>
        <w:spacing w:after="0" w:line="165" w:lineRule="exact"/>
        <w:rPr>
          <w:sz w:val="20"/>
          <w:szCs w:val="20"/>
          <w:color w:val="auto"/>
        </w:rPr>
      </w:pPr>
    </w:p>
    <w:p>
      <w:pPr>
        <w:jc w:val="both"/>
        <w:ind w:left="460" w:right="60"/>
        <w:spacing w:after="0" w:line="301" w:lineRule="auto"/>
        <w:rPr>
          <w:sz w:val="20"/>
          <w:szCs w:val="20"/>
          <w:color w:val="auto"/>
        </w:rPr>
      </w:pPr>
      <w:r>
        <w:rPr>
          <w:rFonts w:ascii="Arial" w:cs="Arial" w:eastAsia="Arial" w:hAnsi="Arial"/>
          <w:sz w:val="15"/>
          <w:szCs w:val="15"/>
          <w:color w:val="auto"/>
        </w:rPr>
        <w:t>In February and March 2023, the Company granted an aggregate of 1,247,503 RSUs to certain directors and employees that vest only upon satisfaction of both service-based and performance-based vesting conditions. The service-based vesting condition is generally satisfied over a period of four years. The performance-based vesting condition will be satisfied upon a qualifying liquidity event defined as the earlier of (i) a change of control and (ii) the effective date of a registration statement filed under the Securities Act for an initial public offering of the Company’s common stock.</w:t>
      </w:r>
    </w:p>
    <w:p>
      <w:pPr>
        <w:spacing w:after="0" w:line="245"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5"/>
          <w:szCs w:val="15"/>
          <w:b w:val="1"/>
          <w:bCs w:val="1"/>
          <w:color w:val="auto"/>
        </w:rPr>
        <w:t>Subsequent Events (Unaudited)</w:t>
      </w:r>
    </w:p>
    <w:p>
      <w:pPr>
        <w:spacing w:after="0" w:line="112" w:lineRule="exact"/>
        <w:rPr>
          <w:sz w:val="20"/>
          <w:szCs w:val="20"/>
          <w:color w:val="auto"/>
        </w:rPr>
      </w:pPr>
    </w:p>
    <w:p>
      <w:pPr>
        <w:jc w:val="both"/>
        <w:ind w:left="460" w:right="60"/>
        <w:spacing w:after="0" w:line="272" w:lineRule="auto"/>
        <w:rPr>
          <w:sz w:val="20"/>
          <w:szCs w:val="20"/>
          <w:color w:val="auto"/>
        </w:rPr>
      </w:pPr>
      <w:r>
        <w:rPr>
          <w:rFonts w:ascii="Arial" w:cs="Arial" w:eastAsia="Arial" w:hAnsi="Arial"/>
          <w:sz w:val="17"/>
          <w:szCs w:val="17"/>
          <w:color w:val="auto"/>
        </w:rPr>
        <w:t>The Company has evaluated subsequent events through August 4, 2023, the date the unaudited interim consolidated financial statements were available to be issued.</w:t>
      </w:r>
    </w:p>
    <w:p>
      <w:pPr>
        <w:spacing w:after="0" w:line="165" w:lineRule="exact"/>
        <w:rPr>
          <w:sz w:val="20"/>
          <w:szCs w:val="20"/>
          <w:color w:val="auto"/>
        </w:rPr>
      </w:pPr>
    </w:p>
    <w:p>
      <w:pPr>
        <w:ind w:left="460" w:right="280"/>
        <w:spacing w:after="0" w:line="301" w:lineRule="auto"/>
        <w:rPr>
          <w:sz w:val="20"/>
          <w:szCs w:val="20"/>
          <w:color w:val="auto"/>
        </w:rPr>
      </w:pPr>
      <w:r>
        <w:rPr>
          <w:rFonts w:ascii="Arial" w:cs="Arial" w:eastAsia="Arial" w:hAnsi="Arial"/>
          <w:sz w:val="15"/>
          <w:szCs w:val="15"/>
          <w:color w:val="auto"/>
        </w:rPr>
        <w:t>In July 2023 (unaudited), the Company granted an aggregate of 662,875 RSUs to certain employees that vest only upon satisfaction of both service-based and performance-based vesting conditions. The service-based vesting condition is generally satisfied over a period of four years. The performance-based vesting condition will be satisfied upon a qualifying liquidity event defined as the earlier of (i) a change of control and (ii) the effective date of a registration statement filed under the Securities Act for an initial public offering of the Company’s common stock.</w:t>
      </w:r>
    </w:p>
    <w:p>
      <w:pPr>
        <w:spacing w:after="0" w:line="8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740"/>
          </w:cols>
          <w:pgMar w:left="320" w:top="440" w:right="839" w:bottom="1440" w:gutter="0" w:footer="0" w:header="0"/>
        </w:sectPr>
      </w:pPr>
    </w:p>
    <w:bookmarkStart w:id="377" w:name="page378"/>
    <w:bookmarkEnd w:id="3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6593840" cy="85883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593840" cy="8588375"/>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378" w:name="page379"/>
    <w:bookmarkEnd w:id="3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Confidential Treatment Requested by Maplebear Inc.</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93345</wp:posOffset>
            </wp:positionV>
            <wp:extent cx="6593840" cy="85883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593840" cy="8588375"/>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379" w:name="page380"/>
    <w:bookmarkEnd w:id="3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PART II</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2"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exchange listing fee.</w:t>
      </w:r>
    </w:p>
    <w:p>
      <w:pPr>
        <w:spacing w:after="0" w:line="175"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7"/>
              </w:rPr>
              <w:t>Amount</w:t>
            </w:r>
          </w:p>
        </w:tc>
      </w:tr>
      <w:tr>
        <w:trPr>
          <w:trHeight w:val="195"/>
        </w:trPr>
        <w:tc>
          <w:tcPr>
            <w:tcW w:w="64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SEC registration fee</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7"/>
                <w:szCs w:val="17"/>
                <w:color w:val="auto"/>
              </w:rPr>
              <w:t>FINRA filing fee</w:t>
            </w:r>
          </w:p>
        </w:tc>
        <w:tc>
          <w:tcPr>
            <w:tcW w:w="26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Exchange listing fee</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6440" w:type="dxa"/>
            <w:vAlign w:val="bottom"/>
          </w:tcPr>
          <w:p>
            <w:pPr>
              <w:spacing w:after="0"/>
              <w:rPr>
                <w:sz w:val="20"/>
                <w:szCs w:val="20"/>
                <w:color w:val="auto"/>
              </w:rPr>
            </w:pPr>
            <w:r>
              <w:rPr>
                <w:rFonts w:ascii="Arial" w:cs="Arial" w:eastAsia="Arial" w:hAnsi="Arial"/>
                <w:sz w:val="17"/>
                <w:szCs w:val="17"/>
                <w:color w:val="auto"/>
              </w:rPr>
              <w:t>Printing fees and expenses</w:t>
            </w:r>
          </w:p>
        </w:tc>
        <w:tc>
          <w:tcPr>
            <w:tcW w:w="26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644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26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Custodian, transfer agent, and registrar fees</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6440" w:type="dxa"/>
            <w:vAlign w:val="bottom"/>
          </w:tcPr>
          <w:p>
            <w:pPr>
              <w:spacing w:after="0"/>
              <w:rPr>
                <w:sz w:val="20"/>
                <w:szCs w:val="20"/>
                <w:color w:val="auto"/>
              </w:rPr>
            </w:pPr>
            <w:r>
              <w:rPr>
                <w:rFonts w:ascii="Arial" w:cs="Arial" w:eastAsia="Arial" w:hAnsi="Arial"/>
                <w:sz w:val="17"/>
                <w:szCs w:val="17"/>
                <w:color w:val="auto"/>
              </w:rPr>
              <w:t>Miscellaneous fees and expenses</w:t>
            </w:r>
          </w:p>
        </w:tc>
        <w:tc>
          <w:tcPr>
            <w:tcW w:w="26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5"/>
        </w:trPr>
        <w:tc>
          <w:tcPr>
            <w:tcW w:w="6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hanging="403"/>
        <w:spacing w:after="0"/>
        <w:tabs>
          <w:tab w:leader="none" w:pos="860" w:val="left"/>
        </w:tabs>
        <w:numPr>
          <w:ilvl w:val="0"/>
          <w:numId w:val="303"/>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12"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Our amended and restated certificate of incorporation that will be in effect immediately prior to the closing of this offering permits indemnification of our directors, officers, employees, and other agents to the maximum extent permitted by the Delaware General Corporation Law, and our amended and restated bylaws that will be in effect immediately prior to the closing of this offering provide that we will indemnify our directors and executive officers and permit us to indemnify our other officers, employees, and agents, in each case to the maximum extent permitted by the Delaware General Corporation Law.</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181" w:lineRule="exact"/>
        <w:rPr>
          <w:sz w:val="20"/>
          <w:szCs w:val="20"/>
          <w:color w:val="auto"/>
        </w:rPr>
      </w:pPr>
    </w:p>
    <w:p>
      <w:pPr>
        <w:ind w:left="460" w:right="80" w:firstLine="413"/>
        <w:spacing w:after="0" w:line="269" w:lineRule="auto"/>
        <w:rPr>
          <w:sz w:val="20"/>
          <w:szCs w:val="20"/>
          <w:color w:val="auto"/>
        </w:rPr>
      </w:pPr>
      <w:r>
        <w:rPr>
          <w:rFonts w:ascii="Arial" w:cs="Arial" w:eastAsia="Arial" w:hAnsi="Arial"/>
          <w:sz w:val="16"/>
          <w:szCs w:val="16"/>
          <w:color w:val="auto"/>
        </w:rPr>
        <w:t>The indemnification provisions in our amended and restated certificate of incorporation and amended and restated bylaws that will each be in effect immediately prior to the closing of this offering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780"/>
          </w:cols>
          <w:pgMar w:left="320" w:top="440" w:right="799" w:bottom="1440" w:gutter="0" w:footer="0" w:header="0"/>
        </w:sectPr>
      </w:pPr>
    </w:p>
    <w:bookmarkStart w:id="380" w:name="page381"/>
    <w:bookmarkEnd w:id="3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460" w:right="600" w:firstLine="413"/>
        <w:spacing w:after="0" w:line="303" w:lineRule="auto"/>
        <w:rPr>
          <w:sz w:val="20"/>
          <w:szCs w:val="20"/>
          <w:color w:val="auto"/>
        </w:rPr>
      </w:pPr>
      <w:r>
        <w:rPr>
          <w:rFonts w:ascii="Arial" w:cs="Arial" w:eastAsia="Arial" w:hAnsi="Arial"/>
          <w:sz w:val="16"/>
          <w:szCs w:val="16"/>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43"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 or indemnified against certain liabilities incurred in their capacity as members of our board of directors.</w:t>
      </w:r>
    </w:p>
    <w:p>
      <w:pPr>
        <w:spacing w:after="0" w:line="165"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Since January 1, 2020, we have issued and sold the following unregistered securities: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Preferred Stock Issuances</w:t>
      </w:r>
    </w:p>
    <w:p>
      <w:pPr>
        <w:spacing w:after="0" w:line="108" w:lineRule="exact"/>
        <w:rPr>
          <w:sz w:val="20"/>
          <w:szCs w:val="20"/>
          <w:color w:val="auto"/>
        </w:rPr>
      </w:pPr>
    </w:p>
    <w:p>
      <w:pPr>
        <w:ind w:left="460" w:right="460" w:firstLine="413"/>
        <w:spacing w:after="0" w:line="303" w:lineRule="auto"/>
        <w:rPr>
          <w:sz w:val="20"/>
          <w:szCs w:val="20"/>
          <w:color w:val="auto"/>
        </w:rPr>
      </w:pPr>
      <w:r>
        <w:rPr>
          <w:rFonts w:ascii="Arial" w:cs="Arial" w:eastAsia="Arial" w:hAnsi="Arial"/>
          <w:sz w:val="16"/>
          <w:szCs w:val="16"/>
          <w:color w:val="auto"/>
        </w:rPr>
        <w:t>Between June 2020 and July 2020, we issued an aggregate of 6,757,893 shares of our Series G redeemable convertible preferred stock to 32 accredited investors at a purchase price of $48.0919 per share, for an aggregate purchase price of $325 million.</w:t>
      </w:r>
    </w:p>
    <w:p>
      <w:pPr>
        <w:spacing w:after="0" w:line="143"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Between October 2020 and November 2020, we issued an aggregate of 4,999,999 shares of our Series H redeemable convertible preferred stock to 22 accredited investors at a purchase price of $60.00 per share, for an aggregate purchase price of $300 million.</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In February 2021, we issued an aggregate of 2,120,000 shares of our Series I redeemable convertible preferred stock to 54 accredited investors at a purchase price of $125.00 per share, for an aggregate purchase price of $265 million.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Plan-Related Issuances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From January 1, 2020 through the date of this registration statement, we granted to a certain service provider an option to purchase 450,000 shares of our non-voting common stock under our 2018 Plan at an exercise price of $47.69 per share.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From January 1, 2020 through the date of this registration statement, we granted to certain directors, officers, employees, consultants, and other</w:t>
      </w:r>
    </w:p>
    <w:p>
      <w:pPr>
        <w:spacing w:after="0" w:line="42" w:lineRule="exact"/>
        <w:rPr>
          <w:sz w:val="20"/>
          <w:szCs w:val="20"/>
          <w:color w:val="auto"/>
        </w:rPr>
      </w:pPr>
    </w:p>
    <w:p>
      <w:pPr>
        <w:ind w:left="460"/>
        <w:spacing w:after="0"/>
        <w:tabs>
          <w:tab w:leader="none" w:pos="5460" w:val="left"/>
        </w:tabs>
        <w:rPr>
          <w:sz w:val="20"/>
          <w:szCs w:val="20"/>
          <w:color w:val="auto"/>
        </w:rPr>
      </w:pPr>
      <w:r>
        <w:rPr>
          <w:rFonts w:ascii="Arial" w:cs="Arial" w:eastAsia="Arial" w:hAnsi="Arial"/>
          <w:sz w:val="17"/>
          <w:szCs w:val="17"/>
          <w:color w:val="auto"/>
        </w:rPr>
        <w:t>service providers restricted stock units covering an aggregate of</w:t>
      </w:r>
      <w:r>
        <w:rPr>
          <w:sz w:val="20"/>
          <w:szCs w:val="20"/>
          <w:color w:val="auto"/>
        </w:rPr>
        <w:tab/>
      </w:r>
      <w:r>
        <w:rPr>
          <w:rFonts w:ascii="Arial" w:cs="Arial" w:eastAsia="Arial" w:hAnsi="Arial"/>
          <w:sz w:val="15"/>
          <w:szCs w:val="15"/>
          <w:color w:val="auto"/>
        </w:rPr>
        <w:t>shares of our non-voting common stock under our 2018 Plan.</w:t>
      </w:r>
    </w:p>
    <w:p>
      <w:pPr>
        <w:spacing w:after="0" w:line="19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From January 1, 2020 through the date of this registration statement, we granted to a certain service provider restricted stock covering 450,000 shares of our non-voting common stock under our 2018 Plan.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 Issuances</w:t>
      </w:r>
    </w:p>
    <w:p>
      <w:pPr>
        <w:spacing w:after="0" w:line="108"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From January 1, 2020 through the date of this registration statement, we issued an aggregate of 7,431,520 shares of our non-voting common stock upon the exercise of warrants to purchase shares of our non-voting common stock to an accredited investor at an exercise price of $18.52 per share.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Issuances in Connection with Acquisitions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August 2021, we issued 72,095 shares of our non-voting common stock in connection with our acquisition of a company.</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October 2021, we issued 2,301,500 shares of our non-voting common stock in connection with our acquisition of a company.</w:t>
      </w:r>
    </w:p>
    <w:p>
      <w:pPr>
        <w:spacing w:after="0" w:line="14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780"/>
          </w:cols>
          <w:pgMar w:left="320" w:top="440" w:right="799" w:bottom="1440" w:gutter="0" w:footer="0" w:header="0"/>
        </w:sectPr>
      </w:pPr>
    </w:p>
    <w:bookmarkStart w:id="381" w:name="page382"/>
    <w:bookmarkEnd w:id="3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September 2022, we issued 223,313 shares of our non-voting common stock in connection with our acquisition of a company.</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Issuances</w:t>
      </w:r>
    </w:p>
    <w:p>
      <w:pPr>
        <w:spacing w:after="0" w:line="10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From January 1, 2020 through the date of this registration statement, we issued an aggregate of 3,715,760 shares of our non-voting common stock pursuant to a performance-based subscription agreement.</w:t>
      </w:r>
    </w:p>
    <w:p>
      <w:pPr>
        <w:spacing w:after="0" w:line="165" w:lineRule="exact"/>
        <w:rPr>
          <w:sz w:val="20"/>
          <w:szCs w:val="20"/>
          <w:color w:val="auto"/>
        </w:rPr>
      </w:pPr>
    </w:p>
    <w:p>
      <w:pPr>
        <w:ind w:left="460" w:right="340" w:firstLine="413"/>
        <w:spacing w:after="0" w:line="303" w:lineRule="auto"/>
        <w:rPr>
          <w:sz w:val="20"/>
          <w:szCs w:val="20"/>
          <w:color w:val="auto"/>
        </w:rPr>
      </w:pPr>
      <w:r>
        <w:rPr>
          <w:rFonts w:ascii="Arial" w:cs="Arial" w:eastAsia="Arial" w:hAnsi="Arial"/>
          <w:sz w:val="16"/>
          <w:szCs w:val="16"/>
          <w:color w:val="auto"/>
        </w:rPr>
        <w:t>In January 2021, we issued an aggregate of 83,332 shares of our non-voting common stock to three accredited investors affiliated with certain members of our board of directors at a purchase price of $60.00 per share, for an aggregate purchase price of $5 million.</w:t>
      </w:r>
    </w:p>
    <w:p>
      <w:pPr>
        <w:spacing w:after="0" w:line="143"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color w:val="auto"/>
        </w:rPr>
        <w:t>In March 2021, we issued an aggregate of 960,000 shares of our non-voting common stock to two accredited investors at a purchase price of $125.00 per share, for an aggregate purchase price of $120 million.</w:t>
      </w:r>
    </w:p>
    <w:p>
      <w:pPr>
        <w:spacing w:after="0" w:line="165" w:lineRule="exact"/>
        <w:rPr>
          <w:sz w:val="20"/>
          <w:szCs w:val="20"/>
          <w:color w:val="auto"/>
        </w:rPr>
      </w:pPr>
    </w:p>
    <w:p>
      <w:pPr>
        <w:ind w:left="460" w:right="220" w:firstLine="413"/>
        <w:spacing w:after="0" w:line="286" w:lineRule="auto"/>
        <w:rPr>
          <w:sz w:val="20"/>
          <w:szCs w:val="20"/>
          <w:color w:val="auto"/>
        </w:rPr>
      </w:pPr>
      <w:r>
        <w:rPr>
          <w:rFonts w:ascii="Arial" w:cs="Arial" w:eastAsia="Arial" w:hAnsi="Arial"/>
          <w:sz w:val="15"/>
          <w:szCs w:val="15"/>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jc w:val="both"/>
        <w:ind w:left="460" w:right="80" w:hanging="3"/>
        <w:spacing w:after="0" w:line="251" w:lineRule="auto"/>
        <w:tabs>
          <w:tab w:leader="none" w:pos="79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Exhibits.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400" w:type="dxa"/>
            <w:vAlign w:val="bottom"/>
          </w:tcPr>
          <w:p>
            <w:pPr>
              <w:spacing w:after="0"/>
              <w:rPr>
                <w:sz w:val="12"/>
                <w:szCs w:val="12"/>
                <w:color w:val="auto"/>
              </w:rPr>
            </w:pPr>
          </w:p>
        </w:tc>
        <w:tc>
          <w:tcPr>
            <w:tcW w:w="9300" w:type="dxa"/>
            <w:vAlign w:val="bottom"/>
            <w:vMerge w:val="restart"/>
          </w:tcPr>
          <w:p>
            <w:pPr>
              <w:ind w:left="400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60"/>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400" w:type="dxa"/>
            <w:vAlign w:val="bottom"/>
          </w:tcPr>
          <w:p>
            <w:pPr>
              <w:spacing w:after="0"/>
              <w:rPr>
                <w:sz w:val="13"/>
                <w:szCs w:val="13"/>
                <w:color w:val="auto"/>
              </w:rPr>
            </w:pPr>
          </w:p>
        </w:tc>
        <w:tc>
          <w:tcPr>
            <w:tcW w:w="9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640" w:type="dxa"/>
            <w:vAlign w:val="bottom"/>
          </w:tcPr>
          <w:p>
            <w:pPr>
              <w:jc w:val="center"/>
              <w:spacing w:after="0"/>
              <w:rPr>
                <w:sz w:val="20"/>
                <w:szCs w:val="20"/>
                <w:color w:val="auto"/>
              </w:rPr>
            </w:pPr>
            <w:r>
              <w:rPr>
                <w:rFonts w:ascii="Arial" w:cs="Arial" w:eastAsia="Arial" w:hAnsi="Arial"/>
                <w:sz w:val="17"/>
                <w:szCs w:val="17"/>
                <w:color w:val="auto"/>
                <w:w w:val="99"/>
              </w:rPr>
              <w:t>1.1*</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0"/>
              </w:rPr>
              <w:t>3.1†</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Twelfth Amended and Restated Certificate of Incorporation of the Registrant, as currently in effect.</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0"/>
              </w:rPr>
              <w:t>3.2†</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Amended and Restated Bylaws of the Registrant, as currently in effect.</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9"/>
              </w:rPr>
              <w:t>3.3*</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w w:val="99"/>
              </w:rPr>
              <w:t>Form of Amended and Restated Certificate of Incorporation of the Registrant, to be effective upon the closing of the offering.</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9"/>
              </w:rPr>
              <w:t>3.4*</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Form of Amended and Restated Bylaws of the Registrant, to be effective upon the closing of the offering.</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9"/>
              </w:rPr>
              <w:t>4.1*</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Specimen Common Stock Certificate of the Registrant.</w:t>
            </w:r>
          </w:p>
        </w:tc>
        <w:tc>
          <w:tcPr>
            <w:tcW w:w="0" w:type="dxa"/>
            <w:vAlign w:val="bottom"/>
          </w:tcPr>
          <w:p>
            <w:pPr>
              <w:spacing w:after="0"/>
              <w:rPr>
                <w:sz w:val="1"/>
                <w:szCs w:val="1"/>
                <w:color w:val="auto"/>
              </w:rPr>
            </w:pPr>
          </w:p>
        </w:tc>
      </w:tr>
      <w:tr>
        <w:trPr>
          <w:trHeight w:val="292"/>
        </w:trPr>
        <w:tc>
          <w:tcPr>
            <w:tcW w:w="640" w:type="dxa"/>
            <w:vAlign w:val="bottom"/>
          </w:tcPr>
          <w:p>
            <w:pPr>
              <w:jc w:val="center"/>
              <w:spacing w:after="0"/>
              <w:rPr>
                <w:sz w:val="20"/>
                <w:szCs w:val="20"/>
                <w:color w:val="auto"/>
              </w:rPr>
            </w:pPr>
            <w:r>
              <w:rPr>
                <w:rFonts w:ascii="Arial" w:cs="Arial" w:eastAsia="Arial" w:hAnsi="Arial"/>
                <w:sz w:val="17"/>
                <w:szCs w:val="17"/>
                <w:color w:val="auto"/>
                <w:w w:val="90"/>
              </w:rPr>
              <w:t>4.2†</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w w:val="98"/>
              </w:rPr>
              <w:t>Ninth Amended and Restated Investors’ Rights Agreement by and among the Registrant and certain of its stockholders, dated</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February 26, 2021.</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9"/>
              </w:rPr>
              <w:t>5.1*</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Opinion of Cooley LLP.</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1"/>
              </w:rPr>
              <w:t>10.2†+</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Maplebear Inc. 2013 Equity Incentive Plan and related form agreements.</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1"/>
              </w:rPr>
              <w:t>10.3†+</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Maplebear Inc. 2018 Equity Incentive Plan and related form agreements.</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Maplebear Inc. 2023 Equity Incentive Plan and related form agreements.</w:t>
            </w:r>
          </w:p>
        </w:tc>
        <w:tc>
          <w:tcPr>
            <w:tcW w:w="0" w:type="dxa"/>
            <w:vAlign w:val="bottom"/>
          </w:tcPr>
          <w:p>
            <w:pPr>
              <w:spacing w:after="0"/>
              <w:rPr>
                <w:sz w:val="1"/>
                <w:szCs w:val="1"/>
                <w:color w:val="auto"/>
              </w:rPr>
            </w:pPr>
          </w:p>
        </w:tc>
      </w:tr>
      <w:tr>
        <w:trPr>
          <w:trHeight w:val="304"/>
        </w:trPr>
        <w:tc>
          <w:tcPr>
            <w:tcW w:w="640" w:type="dxa"/>
            <w:vAlign w:val="bottom"/>
          </w:tcPr>
          <w:p>
            <w:pPr>
              <w:jc w:val="center"/>
              <w:spacing w:after="0"/>
              <w:rPr>
                <w:sz w:val="20"/>
                <w:szCs w:val="20"/>
                <w:color w:val="auto"/>
              </w:rPr>
            </w:pPr>
            <w:r>
              <w:rPr>
                <w:rFonts w:ascii="Arial" w:cs="Arial" w:eastAsia="Arial" w:hAnsi="Arial"/>
                <w:sz w:val="17"/>
                <w:szCs w:val="17"/>
                <w:color w:val="auto"/>
                <w:w w:val="96"/>
              </w:rPr>
              <w:t>10.5*+</w:t>
            </w:r>
          </w:p>
        </w:tc>
        <w:tc>
          <w:tcPr>
            <w:tcW w:w="9700" w:type="dxa"/>
            <w:vAlign w:val="bottom"/>
            <w:gridSpan w:val="2"/>
          </w:tcPr>
          <w:p>
            <w:pPr>
              <w:ind w:left="400"/>
              <w:spacing w:after="0"/>
              <w:rPr>
                <w:sz w:val="20"/>
                <w:szCs w:val="20"/>
                <w:color w:val="auto"/>
              </w:rPr>
            </w:pPr>
            <w:r>
              <w:rPr>
                <w:rFonts w:ascii="Arial" w:cs="Arial" w:eastAsia="Arial" w:hAnsi="Arial"/>
                <w:sz w:val="17"/>
                <w:szCs w:val="17"/>
                <w:color w:val="auto"/>
              </w:rPr>
              <w:t>Maplebear Inc. 2023 Employee Stock Purchase Plan.</w:t>
            </w:r>
          </w:p>
        </w:tc>
        <w:tc>
          <w:tcPr>
            <w:tcW w:w="0" w:type="dxa"/>
            <w:vAlign w:val="bottom"/>
          </w:tcPr>
          <w:p>
            <w:pPr>
              <w:spacing w:after="0"/>
              <w:rPr>
                <w:sz w:val="1"/>
                <w:szCs w:val="1"/>
                <w:color w:val="auto"/>
              </w:rPr>
            </w:pPr>
          </w:p>
        </w:tc>
      </w:tr>
      <w:tr>
        <w:trPr>
          <w:trHeight w:val="342"/>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00" w:type="dxa"/>
            <w:vAlign w:val="bottom"/>
          </w:tcPr>
          <w:p>
            <w:pPr>
              <w:ind w:left="4000"/>
              <w:spacing w:after="0"/>
              <w:rPr>
                <w:sz w:val="20"/>
                <w:szCs w:val="20"/>
                <w:color w:val="auto"/>
              </w:rPr>
            </w:pPr>
            <w:r>
              <w:rPr>
                <w:rFonts w:ascii="Arial" w:cs="Arial" w:eastAsia="Arial" w:hAnsi="Arial"/>
                <w:sz w:val="17"/>
                <w:szCs w:val="17"/>
                <w:color w:val="auto"/>
              </w:rPr>
              <w:t>II-3</w:t>
            </w: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382" w:name="page383"/>
    <w:bookmarkEnd w:id="3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0" w:type="dxa"/>
            <w:vAlign w:val="bottom"/>
          </w:tcPr>
          <w:p>
            <w:pPr>
              <w:ind w:left="2100"/>
              <w:spacing w:after="0"/>
              <w:rPr>
                <w:sz w:val="20"/>
                <w:szCs w:val="20"/>
                <w:color w:val="auto"/>
              </w:rPr>
            </w:pPr>
            <w:r>
              <w:rPr>
                <w:rFonts w:ascii="Arial" w:cs="Arial" w:eastAsia="Arial" w:hAnsi="Arial"/>
                <w:sz w:val="17"/>
                <w:szCs w:val="17"/>
                <w:b w:val="1"/>
                <w:bCs w:val="1"/>
                <w:color w:val="auto"/>
              </w:rPr>
              <w:t>Confidential Treatment Requested by Maplebear Inc.</w:t>
            </w: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0" w:type="dxa"/>
            <w:vAlign w:val="bottom"/>
          </w:tcPr>
          <w:p>
            <w:pPr>
              <w:ind w:left="2700"/>
              <w:spacing w:after="0"/>
              <w:rPr>
                <w:sz w:val="20"/>
                <w:szCs w:val="20"/>
                <w:color w:val="auto"/>
              </w:rPr>
            </w:pPr>
            <w:r>
              <w:rPr>
                <w:rFonts w:ascii="Arial" w:cs="Arial" w:eastAsia="Arial" w:hAnsi="Arial"/>
                <w:sz w:val="17"/>
                <w:szCs w:val="17"/>
                <w:b w:val="1"/>
                <w:bCs w:val="1"/>
                <w:color w:val="auto"/>
              </w:rPr>
              <w:t>Pursuant to 17 C.F.R. Section 200.83</w:t>
            </w:r>
          </w:p>
        </w:tc>
        <w:tc>
          <w:tcPr>
            <w:tcW w:w="0" w:type="dxa"/>
            <w:vAlign w:val="bottom"/>
          </w:tcPr>
          <w:p>
            <w:pPr>
              <w:spacing w:after="0"/>
              <w:rPr>
                <w:sz w:val="1"/>
                <w:szCs w:val="1"/>
                <w:color w:val="auto"/>
              </w:rPr>
            </w:pPr>
          </w:p>
        </w:tc>
      </w:tr>
      <w:tr>
        <w:trPr>
          <w:trHeight w:val="259"/>
        </w:trPr>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Exhibit</w:t>
            </w:r>
          </w:p>
        </w:tc>
        <w:tc>
          <w:tcPr>
            <w:tcW w:w="9200" w:type="dxa"/>
            <w:vAlign w:val="bottom"/>
            <w:vMerge w:val="restart"/>
          </w:tcPr>
          <w:p>
            <w:pPr>
              <w:ind w:left="396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60"/>
        </w:trPr>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Number</w:t>
            </w: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7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10.6*+</w:t>
            </w:r>
          </w:p>
        </w:tc>
        <w:tc>
          <w:tcPr>
            <w:tcW w:w="400" w:type="dxa"/>
            <w:vAlign w:val="bottom"/>
          </w:tcPr>
          <w:p>
            <w:pPr>
              <w:spacing w:after="0"/>
              <w:rPr>
                <w:sz w:val="24"/>
                <w:szCs w:val="24"/>
                <w:color w:val="auto"/>
              </w:rPr>
            </w:pPr>
          </w:p>
        </w:tc>
        <w:tc>
          <w:tcPr>
            <w:tcW w:w="9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Maplebear Inc. Non-Employee Director Compensation Policy.</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7"/>
                <w:szCs w:val="17"/>
                <w:color w:val="auto"/>
              </w:rPr>
              <w:t>10.7†+</w:t>
            </w:r>
          </w:p>
        </w:tc>
        <w:tc>
          <w:tcPr>
            <w:tcW w:w="9200" w:type="dxa"/>
            <w:vAlign w:val="bottom"/>
          </w:tcPr>
          <w:p>
            <w:pPr>
              <w:spacing w:after="0"/>
              <w:rPr>
                <w:sz w:val="20"/>
                <w:szCs w:val="20"/>
                <w:color w:val="auto"/>
              </w:rPr>
            </w:pPr>
            <w:r>
              <w:rPr>
                <w:rFonts w:ascii="Arial" w:cs="Arial" w:eastAsia="Arial" w:hAnsi="Arial"/>
                <w:sz w:val="17"/>
                <w:szCs w:val="17"/>
                <w:color w:val="auto"/>
              </w:rPr>
              <w:t>Maplebear Inc. Severance and Change in Control Plan and related participation agreement.</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7"/>
                <w:szCs w:val="17"/>
                <w:color w:val="auto"/>
              </w:rPr>
              <w:t>10.8†+</w:t>
            </w:r>
          </w:p>
        </w:tc>
        <w:tc>
          <w:tcPr>
            <w:tcW w:w="9200" w:type="dxa"/>
            <w:vAlign w:val="bottom"/>
          </w:tcPr>
          <w:p>
            <w:pPr>
              <w:spacing w:after="0"/>
              <w:rPr>
                <w:sz w:val="20"/>
                <w:szCs w:val="20"/>
                <w:color w:val="auto"/>
              </w:rPr>
            </w:pPr>
            <w:r>
              <w:rPr>
                <w:rFonts w:ascii="Arial" w:cs="Arial" w:eastAsia="Arial" w:hAnsi="Arial"/>
                <w:sz w:val="17"/>
                <w:szCs w:val="17"/>
                <w:color w:val="auto"/>
              </w:rPr>
              <w:t>Maplebear Inc. Executive Performance Bonus Plan.</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7"/>
                <w:szCs w:val="17"/>
                <w:color w:val="auto"/>
              </w:rPr>
              <w:t>10.9†+</w:t>
            </w:r>
          </w:p>
        </w:tc>
        <w:tc>
          <w:tcPr>
            <w:tcW w:w="9200" w:type="dxa"/>
            <w:vAlign w:val="bottom"/>
          </w:tcPr>
          <w:p>
            <w:pPr>
              <w:spacing w:after="0"/>
              <w:rPr>
                <w:sz w:val="20"/>
                <w:szCs w:val="20"/>
                <w:color w:val="auto"/>
              </w:rPr>
            </w:pPr>
            <w:r>
              <w:rPr>
                <w:rFonts w:ascii="Arial" w:cs="Arial" w:eastAsia="Arial" w:hAnsi="Arial"/>
                <w:sz w:val="17"/>
                <w:szCs w:val="17"/>
                <w:color w:val="auto"/>
              </w:rPr>
              <w:t>Form of Confirmatory Offer Letter Agreement entered into between the Registrant and certain of its executive officers.</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7"/>
                <w:szCs w:val="17"/>
                <w:color w:val="auto"/>
              </w:rPr>
              <w:t>10.10*+</w:t>
            </w:r>
          </w:p>
        </w:tc>
        <w:tc>
          <w:tcPr>
            <w:tcW w:w="4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Amended and Restated Offer Letter Agreement between the Registrant and Fidji Simo, dated December 7, 2022.</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7"/>
                <w:szCs w:val="17"/>
                <w:color w:val="auto"/>
              </w:rPr>
              <w:t>10.11†+</w:t>
            </w:r>
          </w:p>
        </w:tc>
        <w:tc>
          <w:tcPr>
            <w:tcW w:w="9200" w:type="dxa"/>
            <w:vAlign w:val="bottom"/>
          </w:tcPr>
          <w:p>
            <w:pPr>
              <w:spacing w:after="0"/>
              <w:rPr>
                <w:sz w:val="20"/>
                <w:szCs w:val="20"/>
                <w:color w:val="auto"/>
              </w:rPr>
            </w:pPr>
            <w:r>
              <w:rPr>
                <w:rFonts w:ascii="Arial" w:cs="Arial" w:eastAsia="Arial" w:hAnsi="Arial"/>
                <w:sz w:val="17"/>
                <w:szCs w:val="17"/>
                <w:color w:val="auto"/>
              </w:rPr>
              <w:t>Separation Agreement between the Registrant and Mark Schaaf, dated May 22, 2022.</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7"/>
                <w:szCs w:val="17"/>
                <w:color w:val="auto"/>
              </w:rPr>
              <w:t>10.12†</w:t>
            </w:r>
          </w:p>
        </w:tc>
        <w:tc>
          <w:tcPr>
            <w:tcW w:w="9200" w:type="dxa"/>
            <w:vAlign w:val="bottom"/>
          </w:tcPr>
          <w:p>
            <w:pPr>
              <w:spacing w:after="0"/>
              <w:rPr>
                <w:sz w:val="20"/>
                <w:szCs w:val="20"/>
                <w:color w:val="auto"/>
              </w:rPr>
            </w:pPr>
            <w:r>
              <w:rPr>
                <w:rFonts w:ascii="Arial" w:cs="Arial" w:eastAsia="Arial" w:hAnsi="Arial"/>
                <w:sz w:val="17"/>
                <w:szCs w:val="17"/>
                <w:color w:val="auto"/>
                <w:w w:val="92"/>
              </w:rPr>
              <w:t>Office Lease Agreement between the Registrant and 50 Beale Street LLC, dated May 12, 2015, as amended through May 15, 2019.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7"/>
                <w:szCs w:val="17"/>
                <w:color w:val="auto"/>
              </w:rPr>
              <w:t>21.1*</w:t>
            </w:r>
          </w:p>
        </w:tc>
        <w:tc>
          <w:tcPr>
            <w:tcW w:w="4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List of subsidiaries of the Registrant.</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7"/>
                <w:szCs w:val="17"/>
                <w:color w:val="auto"/>
              </w:rPr>
              <w:t>23.1*</w:t>
            </w:r>
          </w:p>
        </w:tc>
        <w:tc>
          <w:tcPr>
            <w:tcW w:w="4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7"/>
                <w:szCs w:val="17"/>
                <w:color w:val="auto"/>
              </w:rPr>
              <w:t>23.2*</w:t>
            </w:r>
          </w:p>
        </w:tc>
        <w:tc>
          <w:tcPr>
            <w:tcW w:w="4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Consent of Cooley LLP (included in Exhibit 5.1).</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7"/>
                <w:szCs w:val="17"/>
                <w:color w:val="auto"/>
              </w:rPr>
              <w:t>24.1*</w:t>
            </w:r>
          </w:p>
        </w:tc>
        <w:tc>
          <w:tcPr>
            <w:tcW w:w="4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7"/>
                <w:szCs w:val="17"/>
                <w:color w:val="auto"/>
              </w:rPr>
              <w:t>107*</w:t>
            </w:r>
          </w:p>
        </w:tc>
        <w:tc>
          <w:tcPr>
            <w:tcW w:w="4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88900</wp:posOffset>
            </wp:positionV>
            <wp:extent cx="72390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2" w:lineRule="exact"/>
        <w:rPr>
          <w:sz w:val="20"/>
          <w:szCs w:val="20"/>
          <w:color w:val="auto"/>
        </w:rPr>
      </w:pPr>
    </w:p>
    <w:p>
      <w:pPr>
        <w:ind w:left="860" w:hanging="403"/>
        <w:spacing w:after="0"/>
        <w:tabs>
          <w:tab w:leader="none" w:pos="860" w:val="left"/>
        </w:tabs>
        <w:numPr>
          <w:ilvl w:val="0"/>
          <w:numId w:val="305"/>
        </w:numPr>
        <w:rPr>
          <w:rFonts w:ascii="Arial" w:cs="Arial" w:eastAsia="Arial" w:hAnsi="Arial"/>
          <w:sz w:val="13"/>
          <w:szCs w:val="13"/>
          <w:color w:val="auto"/>
        </w:rPr>
      </w:pPr>
      <w:r>
        <w:rPr>
          <w:rFonts w:ascii="Arial" w:cs="Arial" w:eastAsia="Arial" w:hAnsi="Arial"/>
          <w:sz w:val="13"/>
          <w:szCs w:val="13"/>
          <w:color w:val="auto"/>
        </w:rPr>
        <w:t>Previously submitted.</w:t>
      </w:r>
    </w:p>
    <w:p>
      <w:pPr>
        <w:ind w:left="860" w:hanging="403"/>
        <w:spacing w:after="0" w:line="226" w:lineRule="auto"/>
        <w:tabs>
          <w:tab w:leader="none" w:pos="86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To be submitted or filed by amendment.</w:t>
      </w:r>
    </w:p>
    <w:p>
      <w:pPr>
        <w:ind w:left="860" w:hanging="403"/>
        <w:spacing w:after="0"/>
        <w:tabs>
          <w:tab w:leader="none" w:pos="860" w:val="left"/>
        </w:tabs>
        <w:numPr>
          <w:ilvl w:val="0"/>
          <w:numId w:val="307"/>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186"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7"/>
          <w:szCs w:val="17"/>
          <w:color w:val="auto"/>
        </w:rPr>
        <w:t>(b) Financial Statement Schedules.</w:t>
      </w:r>
    </w:p>
    <w:p>
      <w:pPr>
        <w:spacing w:after="0" w:line="210" w:lineRule="exact"/>
        <w:rPr>
          <w:sz w:val="20"/>
          <w:szCs w:val="20"/>
          <w:color w:val="auto"/>
        </w:rPr>
      </w:pPr>
    </w:p>
    <w:p>
      <w:pPr>
        <w:ind w:left="460" w:right="740" w:firstLine="413"/>
        <w:spacing w:after="0" w:line="272" w:lineRule="auto"/>
        <w:rPr>
          <w:sz w:val="20"/>
          <w:szCs w:val="20"/>
          <w:color w:val="auto"/>
        </w:rPr>
      </w:pPr>
      <w:r>
        <w:rPr>
          <w:rFonts w:ascii="Arial" w:cs="Arial" w:eastAsia="Arial" w:hAnsi="Arial"/>
          <w:sz w:val="17"/>
          <w:szCs w:val="17"/>
          <w:color w:val="auto"/>
        </w:rPr>
        <w:t>All financial statement schedules are omitted because the information required to be set forth therein is not applicable or is shown in the consolidated financial statements or the notes thereto.</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17. Undertakings.</w:t>
      </w:r>
    </w:p>
    <w:p>
      <w:pPr>
        <w:spacing w:after="0" w:line="112" w:lineRule="exact"/>
        <w:rPr>
          <w:sz w:val="20"/>
          <w:szCs w:val="20"/>
          <w:color w:val="auto"/>
        </w:rPr>
      </w:pPr>
    </w:p>
    <w:p>
      <w:pPr>
        <w:ind w:left="460" w:right="120" w:firstLine="413"/>
        <w:spacing w:after="0" w:line="303"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3"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800"/>
          </w:cols>
          <w:pgMar w:left="320" w:top="440" w:right="779" w:bottom="1440" w:gutter="0" w:footer="0" w:header="0"/>
        </w:sectPr>
      </w:pPr>
    </w:p>
    <w:bookmarkStart w:id="383" w:name="page384"/>
    <w:bookmarkEnd w:id="3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Pursuant to 17 C.F.R. Section 200.83</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undersigned Registrant hereby undertakes that:</w:t>
      </w:r>
    </w:p>
    <w:p>
      <w:pPr>
        <w:spacing w:after="0" w:line="210" w:lineRule="exact"/>
        <w:rPr>
          <w:sz w:val="20"/>
          <w:szCs w:val="20"/>
          <w:color w:val="auto"/>
        </w:rPr>
      </w:pPr>
    </w:p>
    <w:p>
      <w:pPr>
        <w:ind w:left="460" w:right="140" w:firstLine="410"/>
        <w:spacing w:after="0" w:line="284" w:lineRule="auto"/>
        <w:tabs>
          <w:tab w:leader="none" w:pos="1239"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57" w:lineRule="exact"/>
        <w:rPr>
          <w:rFonts w:ascii="Arial" w:cs="Arial" w:eastAsia="Arial" w:hAnsi="Arial"/>
          <w:sz w:val="16"/>
          <w:szCs w:val="16"/>
          <w:color w:val="auto"/>
        </w:rPr>
      </w:pPr>
    </w:p>
    <w:p>
      <w:pPr>
        <w:jc w:val="both"/>
        <w:ind w:left="460" w:firstLine="410"/>
        <w:spacing w:after="0" w:line="260" w:lineRule="auto"/>
        <w:tabs>
          <w:tab w:leader="none" w:pos="1239" w:val="left"/>
        </w:tabs>
        <w:numPr>
          <w:ilvl w:val="0"/>
          <w:numId w:val="308"/>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700"/>
          </w:cols>
          <w:pgMar w:left="320" w:top="440" w:right="879" w:bottom="1440" w:gutter="0" w:footer="0" w:header="0"/>
        </w:sectPr>
      </w:pPr>
    </w:p>
    <w:bookmarkStart w:id="384" w:name="page385"/>
    <w:bookmarkEnd w:id="3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Pursuant to 17 C.F.R. Section 200.83</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6700" w:type="dxa"/>
            <w:vAlign w:val="bottom"/>
          </w:tcPr>
          <w:p>
            <w:pPr>
              <w:spacing w:after="0"/>
              <w:rPr>
                <w:sz w:val="20"/>
                <w:szCs w:val="20"/>
                <w:color w:val="auto"/>
              </w:rPr>
            </w:pPr>
            <w:r>
              <w:rPr>
                <w:rFonts w:ascii="Arial" w:cs="Arial" w:eastAsia="Arial" w:hAnsi="Arial"/>
                <w:sz w:val="17"/>
                <w:szCs w:val="17"/>
                <w:color w:val="auto"/>
                <w:w w:val="93"/>
              </w:rPr>
              <w:t>the undersigned, thereunto duly authorized, in the City of San Francisco, State of California, on</w:t>
            </w:r>
          </w:p>
        </w:tc>
        <w:tc>
          <w:tcPr>
            <w:tcW w:w="720" w:type="dxa"/>
            <w:vAlign w:val="bottom"/>
          </w:tcPr>
          <w:p>
            <w:pPr>
              <w:jc w:val="right"/>
              <w:spacing w:after="0"/>
              <w:rPr>
                <w:sz w:val="20"/>
                <w:szCs w:val="20"/>
                <w:color w:val="auto"/>
              </w:rPr>
            </w:pPr>
            <w:r>
              <w:rPr>
                <w:rFonts w:ascii="Arial" w:cs="Arial" w:eastAsia="Arial" w:hAnsi="Arial"/>
                <w:sz w:val="17"/>
                <w:szCs w:val="17"/>
                <w:color w:val="auto"/>
              </w:rPr>
              <w:t>, 2023.</w:t>
            </w:r>
          </w:p>
        </w:tc>
      </w:tr>
    </w:tbl>
    <w:p>
      <w:pPr>
        <w:spacing w:after="0" w:line="200" w:lineRule="exact"/>
        <w:rPr>
          <w:sz w:val="20"/>
          <w:szCs w:val="20"/>
          <w:color w:val="auto"/>
        </w:rPr>
      </w:pPr>
    </w:p>
    <w:p>
      <w:pPr>
        <w:ind w:left="6660"/>
        <w:spacing w:after="0"/>
        <w:rPr>
          <w:sz w:val="20"/>
          <w:szCs w:val="20"/>
          <w:color w:val="auto"/>
        </w:rPr>
      </w:pPr>
      <w:r>
        <w:rPr>
          <w:rFonts w:ascii="Arial" w:cs="Arial" w:eastAsia="Arial" w:hAnsi="Arial"/>
          <w:sz w:val="17"/>
          <w:szCs w:val="17"/>
          <w:b w:val="1"/>
          <w:bCs w:val="1"/>
          <w:color w:val="auto"/>
        </w:rPr>
        <w:t>MAPLEBEAR INC.</w:t>
      </w: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12700</wp:posOffset>
            </wp:positionV>
            <wp:extent cx="24041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Fidji Simo</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9"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POWER OF ATTORNEY</w:t>
      </w:r>
    </w:p>
    <w:p>
      <w:pPr>
        <w:spacing w:after="0" w:line="214" w:lineRule="exact"/>
        <w:rPr>
          <w:sz w:val="20"/>
          <w:szCs w:val="20"/>
          <w:color w:val="auto"/>
        </w:rPr>
      </w:pPr>
    </w:p>
    <w:p>
      <w:pPr>
        <w:ind w:left="460" w:right="180" w:firstLine="413"/>
        <w:spacing w:after="0" w:line="289"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Fidji Simo, Nick Giovanni, and Morgan Fong,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57"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220" w:type="dxa"/>
            <w:vAlign w:val="bottom"/>
          </w:tcPr>
          <w:p>
            <w:pPr>
              <w:spacing w:after="0"/>
              <w:rPr>
                <w:sz w:val="14"/>
                <w:szCs w:val="14"/>
                <w:color w:val="auto"/>
              </w:rPr>
            </w:pPr>
          </w:p>
        </w:tc>
        <w:tc>
          <w:tcPr>
            <w:tcW w:w="4420" w:type="dxa"/>
            <w:vAlign w:val="bottom"/>
            <w:tcBorders>
              <w:bottom w:val="single" w:sz="8" w:color="auto"/>
            </w:tcBorders>
          </w:tcPr>
          <w:p>
            <w:pPr>
              <w:ind w:left="2080"/>
              <w:spacing w:after="0"/>
              <w:rPr>
                <w:sz w:val="20"/>
                <w:szCs w:val="20"/>
                <w:color w:val="auto"/>
              </w:rPr>
            </w:pPr>
            <w:r>
              <w:rPr>
                <w:rFonts w:ascii="Arial" w:cs="Arial" w:eastAsia="Arial" w:hAnsi="Arial"/>
                <w:sz w:val="13"/>
                <w:szCs w:val="13"/>
                <w:b w:val="1"/>
                <w:bCs w:val="1"/>
                <w:color w:val="auto"/>
              </w:rPr>
              <w:t>Title</w:t>
            </w:r>
          </w:p>
        </w:tc>
        <w:tc>
          <w:tcPr>
            <w:tcW w:w="200" w:type="dxa"/>
            <w:vAlign w:val="bottom"/>
          </w:tcPr>
          <w:p>
            <w:pPr>
              <w:spacing w:after="0"/>
              <w:rPr>
                <w:sz w:val="14"/>
                <w:szCs w:val="14"/>
                <w:color w:val="auto"/>
              </w:rPr>
            </w:pPr>
          </w:p>
        </w:tc>
        <w:tc>
          <w:tcPr>
            <w:tcW w:w="250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Date</w:t>
            </w:r>
          </w:p>
        </w:tc>
      </w:tr>
      <w:tr>
        <w:trPr>
          <w:trHeight w:val="385"/>
        </w:trPr>
        <w:tc>
          <w:tcPr>
            <w:tcW w:w="3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Chief Executive Officer and Director</w:t>
            </w:r>
          </w:p>
        </w:tc>
        <w:tc>
          <w:tcPr>
            <w:tcW w:w="2500" w:type="dxa"/>
            <w:vAlign w:val="bottom"/>
            <w:tcBorders>
              <w:bottom w:val="single" w:sz="8" w:color="auto"/>
            </w:tcBorders>
          </w:tcPr>
          <w:p>
            <w:pPr>
              <w:spacing w:after="0"/>
              <w:rPr>
                <w:sz w:val="24"/>
                <w:szCs w:val="24"/>
                <w:color w:val="auto"/>
              </w:rPr>
            </w:pPr>
          </w:p>
        </w:tc>
      </w:tr>
      <w:tr>
        <w:trPr>
          <w:trHeight w:val="208"/>
        </w:trPr>
        <w:tc>
          <w:tcPr>
            <w:tcW w:w="3000" w:type="dxa"/>
            <w:vAlign w:val="bottom"/>
          </w:tcPr>
          <w:p>
            <w:pPr>
              <w:jc w:val="center"/>
              <w:spacing w:after="0"/>
              <w:rPr>
                <w:sz w:val="20"/>
                <w:szCs w:val="20"/>
                <w:color w:val="auto"/>
              </w:rPr>
            </w:pPr>
            <w:r>
              <w:rPr>
                <w:rFonts w:ascii="Arial" w:cs="Arial" w:eastAsia="Arial" w:hAnsi="Arial"/>
                <w:sz w:val="17"/>
                <w:szCs w:val="17"/>
                <w:color w:val="auto"/>
                <w:w w:val="96"/>
              </w:rPr>
              <w:t>Fidji Simo</w:t>
            </w:r>
          </w:p>
        </w:tc>
        <w:tc>
          <w:tcPr>
            <w:tcW w:w="220" w:type="dxa"/>
            <w:vAlign w:val="bottom"/>
          </w:tcPr>
          <w:p>
            <w:pPr>
              <w:spacing w:after="0"/>
              <w:rPr>
                <w:sz w:val="18"/>
                <w:szCs w:val="18"/>
                <w:color w:val="auto"/>
              </w:rPr>
            </w:pPr>
          </w:p>
        </w:tc>
        <w:tc>
          <w:tcPr>
            <w:tcW w:w="4620" w:type="dxa"/>
            <w:vAlign w:val="bottom"/>
            <w:gridSpan w:val="2"/>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2500" w:type="dxa"/>
            <w:vAlign w:val="bottom"/>
          </w:tcPr>
          <w:p>
            <w:pPr>
              <w:spacing w:after="0"/>
              <w:rPr>
                <w:sz w:val="18"/>
                <w:szCs w:val="18"/>
                <w:color w:val="auto"/>
              </w:rPr>
            </w:pPr>
          </w:p>
        </w:tc>
      </w:tr>
      <w:tr>
        <w:trPr>
          <w:trHeight w:val="405"/>
        </w:trPr>
        <w:tc>
          <w:tcPr>
            <w:tcW w:w="3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c>
          <w:tcPr>
            <w:tcW w:w="2500" w:type="dxa"/>
            <w:vAlign w:val="bottom"/>
            <w:tcBorders>
              <w:bottom w:val="single" w:sz="8" w:color="auto"/>
            </w:tcBorders>
          </w:tcPr>
          <w:p>
            <w:pPr>
              <w:spacing w:after="0"/>
              <w:rPr>
                <w:sz w:val="24"/>
                <w:szCs w:val="24"/>
                <w:color w:val="auto"/>
              </w:rPr>
            </w:pPr>
          </w:p>
        </w:tc>
      </w:tr>
      <w:tr>
        <w:trPr>
          <w:trHeight w:val="208"/>
        </w:trPr>
        <w:tc>
          <w:tcPr>
            <w:tcW w:w="3000" w:type="dxa"/>
            <w:vAlign w:val="bottom"/>
          </w:tcPr>
          <w:p>
            <w:pPr>
              <w:jc w:val="center"/>
              <w:spacing w:after="0"/>
              <w:rPr>
                <w:sz w:val="20"/>
                <w:szCs w:val="20"/>
                <w:color w:val="auto"/>
              </w:rPr>
            </w:pPr>
            <w:r>
              <w:rPr>
                <w:rFonts w:ascii="Arial" w:cs="Arial" w:eastAsia="Arial" w:hAnsi="Arial"/>
                <w:sz w:val="17"/>
                <w:szCs w:val="17"/>
                <w:color w:val="auto"/>
                <w:w w:val="95"/>
              </w:rPr>
              <w:t>Nick Giovanni</w:t>
            </w:r>
          </w:p>
        </w:tc>
        <w:tc>
          <w:tcPr>
            <w:tcW w:w="220" w:type="dxa"/>
            <w:vAlign w:val="bottom"/>
          </w:tcPr>
          <w:p>
            <w:pPr>
              <w:spacing w:after="0"/>
              <w:rPr>
                <w:sz w:val="18"/>
                <w:szCs w:val="18"/>
                <w:color w:val="auto"/>
              </w:rPr>
            </w:pPr>
          </w:p>
        </w:tc>
        <w:tc>
          <w:tcPr>
            <w:tcW w:w="4620" w:type="dxa"/>
            <w:vAlign w:val="bottom"/>
            <w:gridSpan w:val="2"/>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2500" w:type="dxa"/>
            <w:vAlign w:val="bottom"/>
          </w:tcPr>
          <w:p>
            <w:pPr>
              <w:spacing w:after="0"/>
              <w:rPr>
                <w:sz w:val="18"/>
                <w:szCs w:val="18"/>
                <w:color w:val="auto"/>
              </w:rPr>
            </w:pPr>
          </w:p>
        </w:tc>
      </w:tr>
      <w:tr>
        <w:trPr>
          <w:trHeight w:val="405"/>
        </w:trPr>
        <w:tc>
          <w:tcPr>
            <w:tcW w:w="3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Chief Accounting Officer</w:t>
            </w:r>
          </w:p>
        </w:tc>
        <w:tc>
          <w:tcPr>
            <w:tcW w:w="2500" w:type="dxa"/>
            <w:vAlign w:val="bottom"/>
            <w:tcBorders>
              <w:bottom w:val="single" w:sz="8" w:color="auto"/>
            </w:tcBorders>
          </w:tcPr>
          <w:p>
            <w:pPr>
              <w:spacing w:after="0"/>
              <w:rPr>
                <w:sz w:val="24"/>
                <w:szCs w:val="24"/>
                <w:color w:val="auto"/>
              </w:rPr>
            </w:pPr>
          </w:p>
        </w:tc>
      </w:tr>
      <w:tr>
        <w:trPr>
          <w:trHeight w:val="208"/>
        </w:trPr>
        <w:tc>
          <w:tcPr>
            <w:tcW w:w="3000" w:type="dxa"/>
            <w:vAlign w:val="bottom"/>
          </w:tcPr>
          <w:p>
            <w:pPr>
              <w:jc w:val="center"/>
              <w:spacing w:after="0"/>
              <w:rPr>
                <w:sz w:val="20"/>
                <w:szCs w:val="20"/>
                <w:color w:val="auto"/>
              </w:rPr>
            </w:pPr>
            <w:r>
              <w:rPr>
                <w:rFonts w:ascii="Arial" w:cs="Arial" w:eastAsia="Arial" w:hAnsi="Arial"/>
                <w:sz w:val="17"/>
                <w:szCs w:val="17"/>
                <w:color w:val="auto"/>
                <w:w w:val="90"/>
              </w:rPr>
              <w:t>Alan Ramsay</w:t>
            </w:r>
          </w:p>
        </w:tc>
        <w:tc>
          <w:tcPr>
            <w:tcW w:w="220" w:type="dxa"/>
            <w:vAlign w:val="bottom"/>
          </w:tcPr>
          <w:p>
            <w:pPr>
              <w:spacing w:after="0"/>
              <w:rPr>
                <w:sz w:val="18"/>
                <w:szCs w:val="18"/>
                <w:color w:val="auto"/>
              </w:rPr>
            </w:pPr>
          </w:p>
        </w:tc>
        <w:tc>
          <w:tcPr>
            <w:tcW w:w="4620" w:type="dxa"/>
            <w:vAlign w:val="bottom"/>
            <w:gridSpan w:val="2"/>
          </w:tcPr>
          <w:p>
            <w:pPr>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Accounting Officer</w:t>
            </w:r>
            <w:r>
              <w:rPr>
                <w:rFonts w:ascii="Arial" w:cs="Arial" w:eastAsia="Arial" w:hAnsi="Arial"/>
                <w:sz w:val="17"/>
                <w:szCs w:val="17"/>
                <w:color w:val="auto"/>
              </w:rPr>
              <w:t>)</w:t>
            </w:r>
          </w:p>
        </w:tc>
        <w:tc>
          <w:tcPr>
            <w:tcW w:w="2500" w:type="dxa"/>
            <w:vAlign w:val="bottom"/>
          </w:tcPr>
          <w:p>
            <w:pPr>
              <w:spacing w:after="0"/>
              <w:rPr>
                <w:sz w:val="18"/>
                <w:szCs w:val="18"/>
                <w:color w:val="auto"/>
              </w:rPr>
            </w:pPr>
          </w:p>
        </w:tc>
      </w:tr>
      <w:tr>
        <w:trPr>
          <w:trHeight w:val="406"/>
        </w:trPr>
        <w:tc>
          <w:tcPr>
            <w:tcW w:w="3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Chairperson</w:t>
            </w:r>
          </w:p>
        </w:tc>
        <w:tc>
          <w:tcPr>
            <w:tcW w:w="2500" w:type="dxa"/>
            <w:vAlign w:val="bottom"/>
            <w:tcBorders>
              <w:bottom w:val="single" w:sz="8" w:color="auto"/>
            </w:tcBorders>
          </w:tcPr>
          <w:p>
            <w:pPr>
              <w:spacing w:after="0"/>
              <w:rPr>
                <w:sz w:val="24"/>
                <w:szCs w:val="24"/>
                <w:color w:val="auto"/>
              </w:rPr>
            </w:pPr>
          </w:p>
        </w:tc>
      </w:tr>
      <w:tr>
        <w:trPr>
          <w:trHeight w:val="207"/>
        </w:trPr>
        <w:tc>
          <w:tcPr>
            <w:tcW w:w="3000" w:type="dxa"/>
            <w:vAlign w:val="bottom"/>
          </w:tcPr>
          <w:p>
            <w:pPr>
              <w:jc w:val="center"/>
              <w:spacing w:after="0"/>
              <w:rPr>
                <w:sz w:val="20"/>
                <w:szCs w:val="20"/>
                <w:color w:val="auto"/>
              </w:rPr>
            </w:pPr>
            <w:r>
              <w:rPr>
                <w:rFonts w:ascii="Arial" w:cs="Arial" w:eastAsia="Arial" w:hAnsi="Arial"/>
                <w:sz w:val="17"/>
                <w:szCs w:val="17"/>
                <w:color w:val="auto"/>
                <w:w w:val="91"/>
              </w:rPr>
              <w:t>Apoorva Mehta</w:t>
            </w: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406"/>
        </w:trPr>
        <w:tc>
          <w:tcPr>
            <w:tcW w:w="3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500" w:type="dxa"/>
            <w:vAlign w:val="bottom"/>
            <w:tcBorders>
              <w:bottom w:val="single" w:sz="8" w:color="auto"/>
            </w:tcBorders>
          </w:tcPr>
          <w:p>
            <w:pPr>
              <w:spacing w:after="0"/>
              <w:rPr>
                <w:sz w:val="24"/>
                <w:szCs w:val="24"/>
                <w:color w:val="auto"/>
              </w:rPr>
            </w:pPr>
          </w:p>
        </w:tc>
      </w:tr>
      <w:tr>
        <w:trPr>
          <w:trHeight w:val="207"/>
        </w:trPr>
        <w:tc>
          <w:tcPr>
            <w:tcW w:w="3000" w:type="dxa"/>
            <w:vAlign w:val="bottom"/>
          </w:tcPr>
          <w:p>
            <w:pPr>
              <w:jc w:val="center"/>
              <w:spacing w:after="0"/>
              <w:rPr>
                <w:sz w:val="20"/>
                <w:szCs w:val="20"/>
                <w:color w:val="auto"/>
              </w:rPr>
            </w:pPr>
            <w:r>
              <w:rPr>
                <w:rFonts w:ascii="Arial" w:cs="Arial" w:eastAsia="Arial" w:hAnsi="Arial"/>
                <w:sz w:val="17"/>
                <w:szCs w:val="17"/>
                <w:color w:val="auto"/>
                <w:w w:val="89"/>
              </w:rPr>
              <w:t>Jeffrey Jordan</w:t>
            </w: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406"/>
        </w:trPr>
        <w:tc>
          <w:tcPr>
            <w:tcW w:w="3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500" w:type="dxa"/>
            <w:vAlign w:val="bottom"/>
            <w:tcBorders>
              <w:bottom w:val="single" w:sz="8" w:color="auto"/>
            </w:tcBorders>
          </w:tcPr>
          <w:p>
            <w:pPr>
              <w:spacing w:after="0"/>
              <w:rPr>
                <w:sz w:val="24"/>
                <w:szCs w:val="24"/>
                <w:color w:val="auto"/>
              </w:rPr>
            </w:pPr>
          </w:p>
        </w:tc>
      </w:tr>
      <w:tr>
        <w:trPr>
          <w:trHeight w:val="207"/>
        </w:trPr>
        <w:tc>
          <w:tcPr>
            <w:tcW w:w="3000" w:type="dxa"/>
            <w:vAlign w:val="bottom"/>
          </w:tcPr>
          <w:p>
            <w:pPr>
              <w:jc w:val="center"/>
              <w:spacing w:after="0"/>
              <w:rPr>
                <w:sz w:val="20"/>
                <w:szCs w:val="20"/>
                <w:color w:val="auto"/>
              </w:rPr>
            </w:pPr>
            <w:r>
              <w:rPr>
                <w:rFonts w:ascii="Arial" w:cs="Arial" w:eastAsia="Arial" w:hAnsi="Arial"/>
                <w:sz w:val="17"/>
                <w:szCs w:val="17"/>
                <w:color w:val="auto"/>
                <w:w w:val="94"/>
              </w:rPr>
              <w:t>Meredith Kopit Levien</w:t>
            </w: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42"/>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2"/>
          </w:tcPr>
          <w:p>
            <w:pPr>
              <w:ind w:left="1820"/>
              <w:spacing w:after="0"/>
              <w:rPr>
                <w:sz w:val="20"/>
                <w:szCs w:val="20"/>
                <w:color w:val="auto"/>
              </w:rPr>
            </w:pPr>
            <w:r>
              <w:rPr>
                <w:rFonts w:ascii="Arial" w:cs="Arial" w:eastAsia="Arial" w:hAnsi="Arial"/>
                <w:sz w:val="17"/>
                <w:szCs w:val="17"/>
                <w:color w:val="auto"/>
              </w:rPr>
              <w:t>II-6</w:t>
            </w:r>
          </w:p>
        </w:tc>
        <w:tc>
          <w:tcPr>
            <w:tcW w:w="250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385" w:name="page386"/>
    <w:bookmarkEnd w:id="3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8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Confidential Treatment Requested by Maplebear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Pursuant to 17 C.F.R. Section 200.83</w:t>
      </w:r>
    </w:p>
    <w:p>
      <w:pPr>
        <w:spacing w:after="0" w:line="127" w:lineRule="exact"/>
        <w:rPr>
          <w:sz w:val="20"/>
          <w:szCs w:val="20"/>
          <w:color w:val="auto"/>
        </w:rPr>
      </w:pPr>
    </w:p>
    <w:p>
      <w:pPr>
        <w:jc w:val="both"/>
        <w:ind w:left="1680"/>
        <w:spacing w:after="0"/>
        <w:tabs>
          <w:tab w:leader="none" w:pos="5740" w:val="left"/>
          <w:tab w:leader="none" w:pos="940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14605</wp:posOffset>
            </wp:positionV>
            <wp:extent cx="65620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19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12700</wp:posOffset>
            </wp:positionV>
            <wp:extent cx="19056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905635" cy="825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12700</wp:posOffset>
            </wp:positionV>
            <wp:extent cx="15760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7"/>
          <w:szCs w:val="17"/>
          <w:color w:val="auto"/>
        </w:rPr>
        <w:t>Barry McCarthy</w:t>
      </w:r>
    </w:p>
    <w:p>
      <w:pPr>
        <w:spacing w:after="0" w:line="22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12700</wp:posOffset>
            </wp:positionV>
            <wp:extent cx="19056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905635" cy="825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12700</wp:posOffset>
            </wp:positionV>
            <wp:extent cx="157607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color w:val="auto"/>
        </w:rPr>
        <w:t>Michael Moritz</w:t>
      </w:r>
    </w:p>
    <w:p>
      <w:pPr>
        <w:spacing w:after="0" w:line="22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12700</wp:posOffset>
            </wp:positionV>
            <wp:extent cx="19056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905635" cy="825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12700</wp:posOffset>
            </wp:positionV>
            <wp:extent cx="157607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Lily Sarafan</w:t>
      </w:r>
    </w:p>
    <w:p>
      <w:pPr>
        <w:spacing w:after="0" w:line="22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12700</wp:posOffset>
            </wp:positionV>
            <wp:extent cx="19056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905635" cy="825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12700</wp:posOffset>
            </wp:positionV>
            <wp:extent cx="15760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7"/>
          <w:szCs w:val="17"/>
          <w:color w:val="auto"/>
        </w:rPr>
        <w:t>Frank Slootman</w:t>
      </w:r>
    </w:p>
    <w:p>
      <w:pPr>
        <w:spacing w:after="0" w:line="22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12700</wp:posOffset>
            </wp:positionV>
            <wp:extent cx="1905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905635" cy="825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12700</wp:posOffset>
            </wp:positionV>
            <wp:extent cx="157607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76070"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7"/>
          <w:szCs w:val="17"/>
          <w:color w:val="auto"/>
        </w:rPr>
        <w:t>Daniel Sundheim</w:t>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II-7</w:t>
      </w:r>
    </w:p>
    <w:sectPr>
      <w:pgSz w:w="11900" w:h="16838" w:orient="portrait"/>
      <w:cols w:equalWidth="0" w:num="1">
        <w:col w:w="10139"/>
      </w:cols>
      <w:pgMar w:left="320" w:top="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AA85FB"/>
    <w:multiLevelType w:val="hybridMultilevel"/>
    <w:lvl w:ilvl="0">
      <w:lvlJc w:val="left"/>
      <w:lvlText w:val="1"/>
      <w:numFmt w:val="bullet"/>
      <w:start w:val="1"/>
    </w:lvl>
  </w:abstractNum>
  <w:abstractNum w:abstractNumId="1">
    <w:nsid w:val="3F06ECB2"/>
    <w:multiLevelType w:val="hybridMultilevel"/>
    <w:lvl w:ilvl="0">
      <w:lvlJc w:val="left"/>
      <w:lvlText w:val="2"/>
      <w:numFmt w:val="bullet"/>
      <w:start w:val="1"/>
    </w:lvl>
  </w:abstractNum>
  <w:abstractNum w:abstractNumId="2">
    <w:nsid w:val="3B594807"/>
    <w:multiLevelType w:val="hybridMultilevel"/>
    <w:lvl w:ilvl="0">
      <w:lvlJc w:val="left"/>
      <w:lvlText w:val="•"/>
      <w:numFmt w:val="bullet"/>
      <w:start w:val="1"/>
    </w:lvl>
  </w:abstractNum>
  <w:abstractNum w:abstractNumId="3">
    <w:nsid w:val="6CAA2304"/>
    <w:multiLevelType w:val="hybridMultilevel"/>
    <w:lvl w:ilvl="0">
      <w:lvlJc w:val="left"/>
      <w:lvlText w:val="3"/>
      <w:numFmt w:val="bullet"/>
      <w:start w:val="1"/>
    </w:lvl>
  </w:abstractNum>
  <w:abstractNum w:abstractNumId="4">
    <w:nsid w:val="3F7C2FF4"/>
    <w:multiLevelType w:val="hybridMultilevel"/>
    <w:lvl w:ilvl="0">
      <w:lvlJc w:val="left"/>
      <w:lvlText w:val="4"/>
      <w:numFmt w:val="bullet"/>
      <w:start w:val="1"/>
    </w:lvl>
  </w:abstractNum>
  <w:abstractNum w:abstractNumId="5">
    <w:nsid w:val="25413BEC"/>
    <w:multiLevelType w:val="hybridMultilevel"/>
    <w:lvl w:ilvl="0">
      <w:lvlJc w:val="left"/>
      <w:lvlText w:val="5"/>
      <w:numFmt w:val="bullet"/>
      <w:start w:val="1"/>
    </w:lvl>
  </w:abstractNum>
  <w:abstractNum w:abstractNumId="6">
    <w:nsid w:val="17180B0B"/>
    <w:multiLevelType w:val="hybridMultilevel"/>
    <w:lvl w:ilvl="0">
      <w:lvlJc w:val="left"/>
      <w:lvlText w:val="6"/>
      <w:numFmt w:val="bullet"/>
      <w:start w:val="1"/>
    </w:lvl>
  </w:abstractNum>
  <w:abstractNum w:abstractNumId="7">
    <w:nsid w:val="579328B9"/>
    <w:multiLevelType w:val="hybridMultilevel"/>
    <w:lvl w:ilvl="0">
      <w:lvlJc w:val="left"/>
      <w:lvlText w:val="7"/>
      <w:numFmt w:val="bullet"/>
      <w:start w:val="1"/>
    </w:lvl>
  </w:abstractNum>
  <w:abstractNum w:abstractNumId="8">
    <w:nsid w:val="5D205E20"/>
    <w:multiLevelType w:val="hybridMultilevel"/>
    <w:lvl w:ilvl="0">
      <w:lvlJc w:val="left"/>
      <w:lvlText w:val="9"/>
      <w:numFmt w:val="bullet"/>
      <w:start w:val="1"/>
    </w:lvl>
  </w:abstractNum>
  <w:abstractNum w:abstractNumId="9">
    <w:nsid w:val="11CCA8BA"/>
    <w:multiLevelType w:val="hybridMultilevel"/>
    <w:lvl w:ilvl="0">
      <w:lvlJc w:val="left"/>
      <w:lvlText w:val="%1"/>
      <w:numFmt w:val="decimal"/>
      <w:start w:val="10"/>
    </w:lvl>
  </w:abstractNum>
  <w:abstractNum w:abstractNumId="10">
    <w:nsid w:val="4D32AB86"/>
    <w:multiLevelType w:val="hybridMultilevel"/>
    <w:lvl w:ilvl="0">
      <w:lvlJc w:val="left"/>
      <w:lvlText w:val="%1"/>
      <w:numFmt w:val="decimal"/>
      <w:start w:val="15"/>
    </w:lvl>
  </w:abstractNum>
  <w:abstractNum w:abstractNumId="11">
    <w:nsid w:val="3F07ACC3"/>
    <w:multiLevelType w:val="hybridMultilevel"/>
    <w:lvl w:ilvl="0">
      <w:lvlJc w:val="left"/>
      <w:lvlText w:val="•"/>
      <w:numFmt w:val="bullet"/>
      <w:start w:val="1"/>
    </w:lvl>
  </w:abstractNum>
  <w:abstractNum w:abstractNumId="12">
    <w:nsid w:val="6B47F63E"/>
    <w:multiLevelType w:val="hybridMultilevel"/>
    <w:lvl w:ilvl="0">
      <w:lvlJc w:val="left"/>
      <w:lvlText w:val="•"/>
      <w:numFmt w:val="bullet"/>
      <w:start w:val="1"/>
    </w:lvl>
  </w:abstractNum>
  <w:abstractNum w:abstractNumId="13">
    <w:nsid w:val="5CB44A05"/>
    <w:multiLevelType w:val="hybridMultilevel"/>
    <w:lvl w:ilvl="0">
      <w:lvlJc w:val="left"/>
      <w:lvlText w:val="•"/>
      <w:numFmt w:val="bullet"/>
      <w:start w:val="1"/>
    </w:lvl>
  </w:abstractNum>
  <w:abstractNum w:abstractNumId="14">
    <w:nsid w:val="16CF80F1"/>
    <w:multiLevelType w:val="hybridMultilevel"/>
    <w:lvl w:ilvl="0">
      <w:lvlJc w:val="left"/>
      <w:lvlText w:val="%1"/>
      <w:numFmt w:val="decimal"/>
      <w:start w:val="22"/>
    </w:lvl>
  </w:abstractNum>
  <w:abstractNum w:abstractNumId="15">
    <w:nsid w:val="1C695DEC"/>
    <w:multiLevelType w:val="hybridMultilevel"/>
    <w:lvl w:ilvl="0">
      <w:lvlJc w:val="left"/>
      <w:lvlText w:val="•"/>
      <w:numFmt w:val="bullet"/>
      <w:start w:val="1"/>
    </w:lvl>
  </w:abstractNum>
  <w:abstractNum w:abstractNumId="16">
    <w:nsid w:val="3FCFAED9"/>
    <w:multiLevelType w:val="hybridMultilevel"/>
    <w:lvl w:ilvl="0">
      <w:lvlJc w:val="left"/>
      <w:lvlText w:val="•"/>
      <w:numFmt w:val="bullet"/>
      <w:start w:val="1"/>
    </w:lvl>
  </w:abstractNum>
  <w:abstractNum w:abstractNumId="17">
    <w:nsid w:val="F856867"/>
    <w:multiLevelType w:val="hybridMultilevel"/>
    <w:lvl w:ilvl="0">
      <w:lvlJc w:val="left"/>
      <w:lvlText w:val="%1"/>
      <w:numFmt w:val="decimal"/>
      <w:start w:val="29"/>
    </w:lvl>
  </w:abstractNum>
  <w:abstractNum w:abstractNumId="18">
    <w:nsid w:val="11B1CC33"/>
    <w:multiLevelType w:val="hybridMultilevel"/>
    <w:lvl w:ilvl="0">
      <w:lvlJc w:val="left"/>
      <w:lvlText w:val="•"/>
      <w:numFmt w:val="bullet"/>
      <w:start w:val="1"/>
    </w:lvl>
  </w:abstractNum>
  <w:abstractNum w:abstractNumId="19">
    <w:nsid w:val="2E22FBB7"/>
    <w:multiLevelType w:val="hybridMultilevel"/>
    <w:lvl w:ilvl="0">
      <w:lvlJc w:val="left"/>
      <w:lvlText w:val="•"/>
      <w:numFmt w:val="bullet"/>
      <w:start w:val="1"/>
    </w:lvl>
  </w:abstractNum>
  <w:abstractNum w:abstractNumId="20">
    <w:nsid w:val="29934699"/>
    <w:multiLevelType w:val="hybridMultilevel"/>
    <w:lvl w:ilvl="0">
      <w:lvlJc w:val="left"/>
      <w:lvlText w:val="%1"/>
      <w:numFmt w:val="decimal"/>
      <w:start w:val="31"/>
    </w:lvl>
  </w:abstractNum>
  <w:abstractNum w:abstractNumId="21">
    <w:nsid w:val="77485850"/>
    <w:multiLevelType w:val="hybridMultilevel"/>
    <w:lvl w:ilvl="0">
      <w:lvlJc w:val="left"/>
      <w:lvlText w:val="•"/>
      <w:numFmt w:val="bullet"/>
      <w:start w:val="1"/>
    </w:lvl>
  </w:abstractNum>
  <w:abstractNum w:abstractNumId="22">
    <w:nsid w:val="744939A3"/>
    <w:multiLevelType w:val="hybridMultilevel"/>
    <w:lvl w:ilvl="0">
      <w:lvlJc w:val="left"/>
      <w:lvlText w:val="•"/>
      <w:numFmt w:val="bullet"/>
      <w:start w:val="1"/>
    </w:lvl>
    <w:lvl w:ilvl="1">
      <w:lvlJc w:val="left"/>
      <w:lvlText w:val="•"/>
      <w:numFmt w:val="bullet"/>
      <w:start w:val="1"/>
    </w:lvl>
  </w:abstractNum>
  <w:abstractNum w:abstractNumId="23">
    <w:nsid w:val="4FA0D2E3"/>
    <w:multiLevelType w:val="hybridMultilevel"/>
    <w:lvl w:ilvl="0">
      <w:lvlJc w:val="left"/>
      <w:lvlText w:val="%1"/>
      <w:numFmt w:val="decimal"/>
      <w:start w:val="37"/>
    </w:lvl>
  </w:abstractNum>
  <w:abstractNum w:abstractNumId="24">
    <w:nsid w:val="6B1D2C14"/>
    <w:multiLevelType w:val="hybridMultilevel"/>
    <w:lvl w:ilvl="0">
      <w:lvlJc w:val="left"/>
      <w:lvlText w:val="•"/>
      <w:numFmt w:val="bullet"/>
      <w:start w:val="1"/>
    </w:lvl>
  </w:abstractNum>
  <w:abstractNum w:abstractNumId="25">
    <w:nsid w:val="68B867D3"/>
    <w:multiLevelType w:val="hybridMultilevel"/>
    <w:lvl w:ilvl="0">
      <w:lvlJc w:val="left"/>
      <w:lvlText w:val="%1"/>
      <w:numFmt w:val="decimal"/>
      <w:start w:val="43"/>
    </w:lvl>
  </w:abstractNum>
  <w:abstractNum w:abstractNumId="26">
    <w:nsid w:val="3F7F5DD9"/>
    <w:multiLevelType w:val="hybridMultilevel"/>
    <w:lvl w:ilvl="0">
      <w:lvlJc w:val="left"/>
      <w:lvlText w:val="•"/>
      <w:numFmt w:val="bullet"/>
      <w:start w:val="1"/>
    </w:lvl>
  </w:abstractNum>
  <w:abstractNum w:abstractNumId="27">
    <w:nsid w:val="2AE05A34"/>
    <w:multiLevelType w:val="hybridMultilevel"/>
    <w:lvl w:ilvl="0">
      <w:lvlJc w:val="left"/>
      <w:lvlText w:val="%1"/>
      <w:numFmt w:val="decimal"/>
      <w:start w:val="44"/>
    </w:lvl>
  </w:abstractNum>
  <w:abstractNum w:abstractNumId="28">
    <w:nsid w:val="32794FF7"/>
    <w:multiLevelType w:val="hybridMultilevel"/>
    <w:lvl w:ilvl="0">
      <w:lvlJc w:val="left"/>
      <w:lvlText w:val="•"/>
      <w:numFmt w:val="bullet"/>
      <w:start w:val="1"/>
    </w:lvl>
  </w:abstractNum>
  <w:abstractNum w:abstractNumId="29">
    <w:nsid w:val="5454945E"/>
    <w:multiLevelType w:val="hybridMultilevel"/>
    <w:lvl w:ilvl="0">
      <w:lvlJc w:val="left"/>
      <w:lvlText w:val="%1"/>
      <w:numFmt w:val="decimal"/>
      <w:start w:val="46"/>
    </w:lvl>
  </w:abstractNum>
  <w:abstractNum w:abstractNumId="30">
    <w:nsid w:val="4DEFDFA0"/>
    <w:multiLevelType w:val="hybridMultilevel"/>
    <w:lvl w:ilvl="0">
      <w:lvlJc w:val="left"/>
      <w:lvlText w:val="•"/>
      <w:numFmt w:val="bullet"/>
      <w:start w:val="1"/>
    </w:lvl>
  </w:abstractNum>
  <w:abstractNum w:abstractNumId="31">
    <w:nsid w:val="2123D5F2"/>
    <w:multiLevelType w:val="hybridMultilevel"/>
    <w:lvl w:ilvl="0">
      <w:lvlJc w:val="left"/>
      <w:lvlText w:val="•"/>
      <w:numFmt w:val="bullet"/>
      <w:start w:val="1"/>
    </w:lvl>
    <w:lvl w:ilvl="1">
      <w:lvlJc w:val="left"/>
      <w:lvlText w:val="•"/>
      <w:numFmt w:val="bullet"/>
      <w:start w:val="1"/>
    </w:lvl>
  </w:abstractNum>
  <w:abstractNum w:abstractNumId="32">
    <w:nsid w:val="135B8110"/>
    <w:multiLevelType w:val="hybridMultilevel"/>
    <w:lvl w:ilvl="0">
      <w:lvlJc w:val="left"/>
      <w:lvlText w:val="•"/>
      <w:numFmt w:val="bullet"/>
      <w:start w:val="1"/>
    </w:lvl>
    <w:lvl w:ilvl="1">
      <w:lvlJc w:val="left"/>
      <w:lvlText w:val="•"/>
      <w:numFmt w:val="bullet"/>
      <w:start w:val="1"/>
    </w:lvl>
  </w:abstractNum>
  <w:abstractNum w:abstractNumId="33">
    <w:nsid w:val="94927A8"/>
    <w:multiLevelType w:val="hybridMultilevel"/>
    <w:lvl w:ilvl="0">
      <w:lvlJc w:val="left"/>
      <w:lvlText w:val="•"/>
      <w:numFmt w:val="bullet"/>
      <w:start w:val="1"/>
    </w:lvl>
  </w:abstractNum>
  <w:abstractNum w:abstractNumId="34">
    <w:nsid w:val="DCDF8F6"/>
    <w:multiLevelType w:val="hybridMultilevel"/>
    <w:lvl w:ilvl="0">
      <w:lvlJc w:val="left"/>
      <w:lvlText w:val="%1"/>
      <w:numFmt w:val="decimal"/>
      <w:start w:val="49"/>
    </w:lvl>
  </w:abstractNum>
  <w:abstractNum w:abstractNumId="35">
    <w:nsid w:val="52D7B105"/>
    <w:multiLevelType w:val="hybridMultilevel"/>
    <w:lvl w:ilvl="0">
      <w:lvlJc w:val="left"/>
      <w:lvlText w:val="•"/>
      <w:numFmt w:val="bullet"/>
      <w:start w:val="1"/>
    </w:lvl>
  </w:abstractNum>
  <w:abstractNum w:abstractNumId="36">
    <w:nsid w:val="2E8A6394"/>
    <w:multiLevelType w:val="hybridMultilevel"/>
    <w:lvl w:ilvl="0">
      <w:lvlJc w:val="left"/>
      <w:lvlText w:val="%1"/>
      <w:numFmt w:val="decimal"/>
      <w:start w:val="54"/>
    </w:lvl>
  </w:abstractNum>
  <w:abstractNum w:abstractNumId="37">
    <w:nsid w:val="24E60401"/>
    <w:multiLevelType w:val="hybridMultilevel"/>
    <w:lvl w:ilvl="0">
      <w:lvlJc w:val="left"/>
      <w:lvlText w:val="•"/>
      <w:numFmt w:val="bullet"/>
      <w:start w:val="1"/>
    </w:lvl>
  </w:abstractNum>
  <w:abstractNum w:abstractNumId="38">
    <w:nsid w:val="2A6AD9BE"/>
    <w:multiLevelType w:val="hybridMultilevel"/>
    <w:lvl w:ilvl="0">
      <w:lvlJc w:val="left"/>
      <w:lvlText w:val="•"/>
      <w:numFmt w:val="bullet"/>
      <w:start w:val="1"/>
    </w:lvl>
  </w:abstractNum>
  <w:abstractNum w:abstractNumId="39">
    <w:nsid w:val="BAAC1B4"/>
    <w:multiLevelType w:val="hybridMultilevel"/>
    <w:lvl w:ilvl="0">
      <w:lvlJc w:val="left"/>
      <w:lvlText w:val="•"/>
      <w:numFmt w:val="bullet"/>
      <w:start w:val="1"/>
    </w:lvl>
  </w:abstractNum>
  <w:abstractNum w:abstractNumId="40">
    <w:nsid w:val="36B2ACBC"/>
    <w:multiLevelType w:val="hybridMultilevel"/>
    <w:lvl w:ilvl="0">
      <w:lvlJc w:val="left"/>
      <w:lvlText w:val="•"/>
      <w:numFmt w:val="bullet"/>
      <w:start w:val="1"/>
    </w:lvl>
  </w:abstractNum>
  <w:abstractNum w:abstractNumId="41">
    <w:nsid w:val="779D8544"/>
    <w:multiLevelType w:val="hybridMultilevel"/>
    <w:lvl w:ilvl="0">
      <w:lvlJc w:val="left"/>
      <w:lvlText w:val="•"/>
      <w:numFmt w:val="bullet"/>
      <w:start w:val="1"/>
    </w:lvl>
    <w:lvl w:ilvl="1">
      <w:lvlJc w:val="left"/>
      <w:lvlText w:val="•"/>
      <w:numFmt w:val="bullet"/>
      <w:start w:val="1"/>
    </w:lvl>
  </w:abstractNum>
  <w:abstractNum w:abstractNumId="42">
    <w:nsid w:val="4AB26E78"/>
    <w:multiLevelType w:val="hybridMultilevel"/>
    <w:lvl w:ilvl="0">
      <w:lvlJc w:val="left"/>
      <w:lvlText w:val="•"/>
      <w:numFmt w:val="bullet"/>
      <w:start w:val="1"/>
    </w:lvl>
    <w:lvl w:ilvl="1">
      <w:lvlJc w:val="left"/>
      <w:lvlText w:val="•"/>
      <w:numFmt w:val="bullet"/>
      <w:start w:val="1"/>
    </w:lvl>
  </w:abstractNum>
  <w:abstractNum w:abstractNumId="43">
    <w:nsid w:val="21FAA2FA"/>
    <w:multiLevelType w:val="hybridMultilevel"/>
    <w:lvl w:ilvl="0">
      <w:lvlJc w:val="left"/>
      <w:lvlText w:val="•"/>
      <w:numFmt w:val="bullet"/>
      <w:start w:val="1"/>
    </w:lvl>
  </w:abstractNum>
  <w:abstractNum w:abstractNumId="44">
    <w:nsid w:val="5451CF49"/>
    <w:multiLevelType w:val="hybridMultilevel"/>
    <w:lvl w:ilvl="0">
      <w:lvlJc w:val="left"/>
      <w:lvlText w:val="•"/>
      <w:numFmt w:val="bullet"/>
      <w:start w:val="1"/>
    </w:lvl>
    <w:lvl w:ilvl="1">
      <w:lvlJc w:val="left"/>
      <w:lvlText w:val=","/>
      <w:numFmt w:val="bullet"/>
      <w:start w:val="1"/>
    </w:lvl>
  </w:abstractNum>
  <w:abstractNum w:abstractNumId="45">
    <w:nsid w:val="6181EF69"/>
    <w:multiLevelType w:val="hybridMultilevel"/>
    <w:lvl w:ilvl="0">
      <w:lvlJc w:val="left"/>
      <w:lvlText w:val="•"/>
      <w:numFmt w:val="bullet"/>
      <w:start w:val="1"/>
    </w:lvl>
  </w:abstractNum>
  <w:abstractNum w:abstractNumId="46">
    <w:nsid w:val="3E6400E6"/>
    <w:multiLevelType w:val="hybridMultilevel"/>
    <w:lvl w:ilvl="0">
      <w:lvlJc w:val="left"/>
      <w:lvlText w:val="•"/>
      <w:numFmt w:val="bullet"/>
      <w:start w:val="1"/>
    </w:lvl>
  </w:abstractNum>
  <w:abstractNum w:abstractNumId="47">
    <w:nsid w:val="14217E23"/>
    <w:multiLevelType w:val="hybridMultilevel"/>
    <w:lvl w:ilvl="0">
      <w:lvlJc w:val="left"/>
      <w:lvlText w:val="•"/>
      <w:numFmt w:val="bullet"/>
      <w:start w:val="1"/>
    </w:lvl>
  </w:abstractNum>
  <w:abstractNum w:abstractNumId="48">
    <w:nsid w:val="710757D0"/>
    <w:multiLevelType w:val="hybridMultilevel"/>
    <w:lvl w:ilvl="0">
      <w:lvlJc w:val="left"/>
      <w:lvlText w:val="•"/>
      <w:numFmt w:val="bullet"/>
      <w:start w:val="1"/>
    </w:lvl>
  </w:abstractNum>
  <w:abstractNum w:abstractNumId="49">
    <w:nsid w:val="5015CD1A"/>
    <w:multiLevelType w:val="hybridMultilevel"/>
    <w:lvl w:ilvl="0">
      <w:lvlJc w:val="left"/>
      <w:lvlText w:val="•"/>
      <w:numFmt w:val="bullet"/>
      <w:start w:val="1"/>
    </w:lvl>
  </w:abstractNum>
  <w:abstractNum w:abstractNumId="50">
    <w:nsid w:val="424479DA"/>
    <w:multiLevelType w:val="hybridMultilevel"/>
    <w:lvl w:ilvl="0">
      <w:lvlJc w:val="left"/>
      <w:lvlText w:val="(%1)"/>
      <w:numFmt w:val="decimal"/>
      <w:start w:val="1"/>
    </w:lvl>
  </w:abstractNum>
  <w:abstractNum w:abstractNumId="51">
    <w:nsid w:val="1A9A9E69"/>
    <w:multiLevelType w:val="hybridMultilevel"/>
    <w:lvl w:ilvl="0">
      <w:lvlJc w:val="left"/>
      <w:lvlText w:val="(%1)"/>
      <w:numFmt w:val="decimal"/>
      <w:start w:val="2"/>
    </w:lvl>
  </w:abstractNum>
  <w:abstractNum w:abstractNumId="52">
    <w:nsid w:val="475E256A"/>
    <w:multiLevelType w:val="hybridMultilevel"/>
    <w:lvl w:ilvl="0">
      <w:lvlJc w:val="left"/>
      <w:lvlText w:val="(%1)"/>
      <w:numFmt w:val="decimal"/>
      <w:start w:val="3"/>
    </w:lvl>
  </w:abstractNum>
  <w:abstractNum w:abstractNumId="53">
    <w:nsid w:val="368DB37E"/>
    <w:multiLevelType w:val="hybridMultilevel"/>
    <w:lvl w:ilvl="0">
      <w:lvlJc w:val="left"/>
      <w:lvlText w:val="(%1)"/>
      <w:numFmt w:val="decimal"/>
      <w:start w:val="1"/>
    </w:lvl>
  </w:abstractNum>
  <w:abstractNum w:abstractNumId="54">
    <w:nsid w:val="6A3B714C"/>
    <w:multiLevelType w:val="hybridMultilevel"/>
    <w:lvl w:ilvl="0">
      <w:lvlJc w:val="left"/>
      <w:lvlText w:val="(%1)"/>
      <w:numFmt w:val="decimal"/>
      <w:start w:val="2"/>
    </w:lvl>
  </w:abstractNum>
  <w:abstractNum w:abstractNumId="55">
    <w:nsid w:val="327B517E"/>
    <w:multiLevelType w:val="hybridMultilevel"/>
    <w:lvl w:ilvl="0">
      <w:lvlJc w:val="left"/>
      <w:lvlText w:val="$"/>
      <w:numFmt w:val="bullet"/>
      <w:start w:val="1"/>
    </w:lvl>
  </w:abstractNum>
  <w:abstractNum w:abstractNumId="56">
    <w:nsid w:val="1F461B51"/>
    <w:multiLevelType w:val="hybridMultilevel"/>
    <w:lvl w:ilvl="0">
      <w:lvlJc w:val="left"/>
      <w:lvlText w:val="(%1)"/>
      <w:numFmt w:val="decimal"/>
      <w:start w:val="4"/>
    </w:lvl>
  </w:abstractNum>
  <w:abstractNum w:abstractNumId="57">
    <w:nsid w:val="29BACF25"/>
    <w:multiLevelType w:val="hybridMultilevel"/>
    <w:lvl w:ilvl="0">
      <w:lvlJc w:val="left"/>
      <w:lvlText w:val="(%1)"/>
      <w:numFmt w:val="decimal"/>
      <w:start w:val="1"/>
    </w:lvl>
  </w:abstractNum>
  <w:abstractNum w:abstractNumId="58">
    <w:nsid w:val="5D5BABB3"/>
    <w:multiLevelType w:val="hybridMultilevel"/>
    <w:lvl w:ilvl="0">
      <w:lvlJc w:val="left"/>
      <w:lvlText w:val="•"/>
      <w:numFmt w:val="bullet"/>
      <w:start w:val="1"/>
    </w:lvl>
  </w:abstractNum>
  <w:abstractNum w:abstractNumId="59">
    <w:nsid w:val="51BF6B48"/>
    <w:multiLevelType w:val="hybridMultilevel"/>
    <w:lvl w:ilvl="0">
      <w:lvlJc w:val="left"/>
      <w:lvlText w:val="•"/>
      <w:numFmt w:val="bullet"/>
      <w:start w:val="1"/>
    </w:lvl>
  </w:abstractNum>
  <w:abstractNum w:abstractNumId="60">
    <w:nsid w:val="7E0F6384"/>
    <w:multiLevelType w:val="hybridMultilevel"/>
    <w:lvl w:ilvl="0">
      <w:lvlJc w:val="left"/>
      <w:lvlText w:val="•"/>
      <w:numFmt w:val="bullet"/>
      <w:start w:val="1"/>
    </w:lvl>
  </w:abstractNum>
  <w:abstractNum w:abstractNumId="61">
    <w:nsid w:val="2B4B8B53"/>
    <w:multiLevelType w:val="hybridMultilevel"/>
    <w:lvl w:ilvl="0">
      <w:lvlJc w:val="left"/>
      <w:lvlText w:val="•"/>
      <w:numFmt w:val="bullet"/>
      <w:start w:val="1"/>
    </w:lvl>
  </w:abstractNum>
  <w:abstractNum w:abstractNumId="62">
    <w:nsid w:val="72E3413A"/>
    <w:multiLevelType w:val="hybridMultilevel"/>
    <w:lvl w:ilvl="0">
      <w:lvlJc w:val="left"/>
      <w:lvlText w:val="•"/>
      <w:numFmt w:val="bullet"/>
      <w:start w:val="1"/>
    </w:lvl>
  </w:abstractNum>
  <w:abstractNum w:abstractNumId="63">
    <w:nsid w:val="116AE494"/>
    <w:multiLevelType w:val="hybridMultilevel"/>
    <w:lvl w:ilvl="0">
      <w:lvlJc w:val="left"/>
      <w:lvlText w:val="•"/>
      <w:numFmt w:val="bullet"/>
      <w:start w:val="1"/>
    </w:lvl>
  </w:abstractNum>
  <w:abstractNum w:abstractNumId="64">
    <w:nsid w:val="3494B2FB"/>
    <w:multiLevelType w:val="hybridMultilevel"/>
    <w:lvl w:ilvl="0">
      <w:lvlJc w:val="left"/>
      <w:lvlText w:val="(%1)"/>
      <w:numFmt w:val="lowerRoman"/>
      <w:start w:val="5"/>
    </w:lvl>
  </w:abstractNum>
  <w:abstractNum w:abstractNumId="65">
    <w:nsid w:val="B13A31"/>
    <w:multiLevelType w:val="hybridMultilevel"/>
    <w:lvl w:ilvl="0">
      <w:lvlJc w:val="left"/>
      <w:lvlText w:val="•"/>
      <w:numFmt w:val="bullet"/>
      <w:start w:val="1"/>
    </w:lvl>
  </w:abstractNum>
  <w:abstractNum w:abstractNumId="66">
    <w:nsid w:val="64429599"/>
    <w:multiLevelType w:val="hybridMultilevel"/>
    <w:lvl w:ilvl="0">
      <w:lvlJc w:val="left"/>
      <w:lvlText w:val="•"/>
      <w:numFmt w:val="bullet"/>
      <w:start w:val="1"/>
    </w:lvl>
  </w:abstractNum>
  <w:abstractNum w:abstractNumId="67">
    <w:nsid w:val="631F1690"/>
    <w:multiLevelType w:val="hybridMultilevel"/>
    <w:lvl w:ilvl="0">
      <w:lvlJc w:val="left"/>
      <w:lvlText w:val="•"/>
      <w:numFmt w:val="bullet"/>
      <w:start w:val="1"/>
    </w:lvl>
  </w:abstractNum>
  <w:abstractNum w:abstractNumId="68">
    <w:nsid w:val="25973E32"/>
    <w:multiLevelType w:val="hybridMultilevel"/>
    <w:lvl w:ilvl="0">
      <w:lvlJc w:val="left"/>
      <w:lvlText w:val="•"/>
      <w:numFmt w:val="bullet"/>
      <w:start w:val="1"/>
    </w:lvl>
  </w:abstractNum>
  <w:abstractNum w:abstractNumId="69">
    <w:nsid w:val="EAD6F57"/>
    <w:multiLevelType w:val="hybridMultilevel"/>
    <w:lvl w:ilvl="0">
      <w:lvlJc w:val="left"/>
      <w:lvlText w:val="•"/>
      <w:numFmt w:val="bullet"/>
      <w:start w:val="1"/>
    </w:lvl>
  </w:abstractNum>
  <w:abstractNum w:abstractNumId="70">
    <w:nsid w:val="6EC9D844"/>
    <w:multiLevelType w:val="hybridMultilevel"/>
    <w:lvl w:ilvl="0">
      <w:lvlJc w:val="left"/>
      <w:lvlText w:val="•"/>
      <w:numFmt w:val="bullet"/>
      <w:start w:val="1"/>
    </w:lvl>
  </w:abstractNum>
  <w:abstractNum w:abstractNumId="71">
    <w:nsid w:val="5C49EAEE"/>
    <w:multiLevelType w:val="hybridMultilevel"/>
    <w:lvl w:ilvl="0">
      <w:lvlJc w:val="left"/>
      <w:lvlText w:val="•"/>
      <w:numFmt w:val="bullet"/>
      <w:start w:val="1"/>
    </w:lvl>
  </w:abstractNum>
  <w:abstractNum w:abstractNumId="72">
    <w:nsid w:val="64AF49B"/>
    <w:multiLevelType w:val="hybridMultilevel"/>
    <w:lvl w:ilvl="0">
      <w:lvlJc w:val="left"/>
      <w:lvlText w:val="•"/>
      <w:numFmt w:val="bullet"/>
      <w:start w:val="1"/>
    </w:lvl>
  </w:abstractNum>
  <w:abstractNum w:abstractNumId="73">
    <w:nsid w:val="397C46BC"/>
    <w:multiLevelType w:val="hybridMultilevel"/>
    <w:lvl w:ilvl="0">
      <w:lvlJc w:val="left"/>
      <w:lvlText w:val="•"/>
      <w:numFmt w:val="bullet"/>
      <w:start w:val="1"/>
    </w:lvl>
  </w:abstractNum>
  <w:abstractNum w:abstractNumId="74">
    <w:nsid w:val="7E448DE9"/>
    <w:multiLevelType w:val="hybridMultilevel"/>
    <w:lvl w:ilvl="0">
      <w:lvlJc w:val="left"/>
      <w:lvlText w:val="•"/>
      <w:numFmt w:val="bullet"/>
      <w:start w:val="1"/>
    </w:lvl>
  </w:abstractNum>
  <w:abstractNum w:abstractNumId="75">
    <w:nsid w:val="5A9CC3E5"/>
    <w:multiLevelType w:val="hybridMultilevel"/>
    <w:lvl w:ilvl="0">
      <w:lvlJc w:val="left"/>
      <w:lvlText w:val="•"/>
      <w:numFmt w:val="bullet"/>
      <w:start w:val="1"/>
    </w:lvl>
  </w:abstractNum>
  <w:abstractNum w:abstractNumId="76">
    <w:nsid w:val="1AFE3625"/>
    <w:multiLevelType w:val="hybridMultilevel"/>
    <w:lvl w:ilvl="0">
      <w:lvlJc w:val="left"/>
      <w:lvlText w:val="•"/>
      <w:numFmt w:val="bullet"/>
      <w:start w:val="1"/>
    </w:lvl>
  </w:abstractNum>
  <w:abstractNum w:abstractNumId="77">
    <w:nsid w:val="3CA88ECF"/>
    <w:multiLevelType w:val="hybridMultilevel"/>
    <w:lvl w:ilvl="0">
      <w:lvlJc w:val="left"/>
      <w:lvlText w:val="(%1)"/>
      <w:numFmt w:val="lowerRoman"/>
      <w:start w:val="6"/>
    </w:lvl>
  </w:abstractNum>
  <w:abstractNum w:abstractNumId="78">
    <w:nsid w:val="6EBE4208"/>
    <w:multiLevelType w:val="hybridMultilevel"/>
    <w:lvl w:ilvl="0">
      <w:lvlJc w:val="left"/>
      <w:lvlText w:val="•"/>
      <w:numFmt w:val="bullet"/>
      <w:start w:val="1"/>
    </w:lvl>
  </w:abstractNum>
  <w:abstractNum w:abstractNumId="79">
    <w:nsid w:val="C058DF5"/>
    <w:multiLevelType w:val="hybridMultilevel"/>
    <w:lvl w:ilvl="0">
      <w:lvlJc w:val="left"/>
      <w:lvlText w:val="•"/>
      <w:numFmt w:val="bullet"/>
      <w:start w:val="1"/>
    </w:lvl>
  </w:abstractNum>
  <w:abstractNum w:abstractNumId="80">
    <w:nsid w:val="CBE5BE9"/>
    <w:multiLevelType w:val="hybridMultilevel"/>
    <w:lvl w:ilvl="0">
      <w:lvlJc w:val="left"/>
      <w:lvlText w:val="•"/>
      <w:numFmt w:val="bullet"/>
      <w:start w:val="1"/>
    </w:lvl>
  </w:abstractNum>
  <w:abstractNum w:abstractNumId="81">
    <w:nsid w:val="3102BBE2"/>
    <w:multiLevelType w:val="hybridMultilevel"/>
    <w:lvl w:ilvl="0">
      <w:lvlJc w:val="left"/>
      <w:lvlText w:val="•"/>
      <w:numFmt w:val="bullet"/>
      <w:start w:val="1"/>
    </w:lvl>
  </w:abstractNum>
  <w:abstractNum w:abstractNumId="82">
    <w:nsid w:val="26A02C5E"/>
    <w:multiLevelType w:val="hybridMultilevel"/>
    <w:lvl w:ilvl="0">
      <w:lvlJc w:val="left"/>
      <w:lvlText w:val="•"/>
      <w:numFmt w:val="bullet"/>
      <w:start w:val="1"/>
    </w:lvl>
  </w:abstractNum>
  <w:abstractNum w:abstractNumId="83">
    <w:nsid w:val="541C8153"/>
    <w:multiLevelType w:val="hybridMultilevel"/>
    <w:lvl w:ilvl="0">
      <w:lvlJc w:val="left"/>
      <w:lvlText w:val="(%1)"/>
      <w:numFmt w:val="lowerRoman"/>
      <w:start w:val="2"/>
    </w:lvl>
  </w:abstractNum>
  <w:abstractNum w:abstractNumId="84">
    <w:nsid w:val="67906F60"/>
    <w:multiLevelType w:val="hybridMultilevel"/>
    <w:lvl w:ilvl="0">
      <w:lvlJc w:val="left"/>
      <w:lvlText w:val="•"/>
      <w:numFmt w:val="bullet"/>
      <w:start w:val="1"/>
    </w:lvl>
  </w:abstractNum>
  <w:abstractNum w:abstractNumId="85">
    <w:nsid w:val="10DB9DAA"/>
    <w:multiLevelType w:val="hybridMultilevel"/>
    <w:lvl w:ilvl="0">
      <w:lvlJc w:val="left"/>
      <w:lvlText w:val="•"/>
      <w:numFmt w:val="bullet"/>
      <w:start w:val="1"/>
    </w:lvl>
  </w:abstractNum>
  <w:abstractNum w:abstractNumId="86">
    <w:nsid w:val="697D2D2"/>
    <w:multiLevelType w:val="hybridMultilevel"/>
    <w:lvl w:ilvl="0">
      <w:lvlJc w:val="left"/>
      <w:lvlText w:val="•"/>
      <w:numFmt w:val="bullet"/>
      <w:start w:val="1"/>
    </w:lvl>
  </w:abstractNum>
  <w:abstractNum w:abstractNumId="87">
    <w:nsid w:val="6D68AB2"/>
    <w:multiLevelType w:val="hybridMultilevel"/>
    <w:lvl w:ilvl="0">
      <w:lvlJc w:val="left"/>
      <w:lvlText w:val="•"/>
      <w:numFmt w:val="bullet"/>
      <w:start w:val="1"/>
    </w:lvl>
  </w:abstractNum>
  <w:abstractNum w:abstractNumId="88">
    <w:nsid w:val="3A966CD0"/>
    <w:multiLevelType w:val="hybridMultilevel"/>
    <w:lvl w:ilvl="0">
      <w:lvlJc w:val="left"/>
      <w:lvlText w:val="%1"/>
      <w:numFmt w:val="decimal"/>
      <w:start w:val="57"/>
    </w:lvl>
  </w:abstractNum>
  <w:abstractNum w:abstractNumId="89">
    <w:nsid w:val="63F37E85"/>
    <w:multiLevelType w:val="hybridMultilevel"/>
    <w:lvl w:ilvl="0">
      <w:lvlJc w:val="left"/>
      <w:lvlText w:val="•"/>
      <w:numFmt w:val="bullet"/>
      <w:start w:val="1"/>
    </w:lvl>
  </w:abstractNum>
  <w:abstractNum w:abstractNumId="90">
    <w:nsid w:val="5895F5FA"/>
    <w:multiLevelType w:val="hybridMultilevel"/>
    <w:lvl w:ilvl="0">
      <w:lvlJc w:val="left"/>
      <w:lvlText w:val="%1"/>
      <w:numFmt w:val="decimal"/>
      <w:start w:val="63"/>
    </w:lvl>
  </w:abstractNum>
  <w:abstractNum w:abstractNumId="91">
    <w:nsid w:val="38A5D054"/>
    <w:multiLevelType w:val="hybridMultilevel"/>
    <w:lvl w:ilvl="0">
      <w:lvlJc w:val="left"/>
      <w:lvlText w:val="•"/>
      <w:numFmt w:val="bullet"/>
      <w:start w:val="1"/>
    </w:lvl>
  </w:abstractNum>
  <w:abstractNum w:abstractNumId="92">
    <w:nsid w:val="F3F09D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93">
    <w:nsid w:val="4B79373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4">
    <w:nsid w:val="4A10B4E8"/>
    <w:multiLevelType w:val="hybridMultilevel"/>
    <w:lvl w:ilvl="0">
      <w:lvlJc w:val="left"/>
      <w:lvlText w:val="%1"/>
      <w:numFmt w:val="decimal"/>
      <w:start w:val="71"/>
    </w:lvl>
  </w:abstractNum>
  <w:abstractNum w:abstractNumId="95">
    <w:nsid w:val="43D3BCD4"/>
    <w:multiLevelType w:val="hybridMultilevel"/>
    <w:lvl w:ilvl="0">
      <w:lvlJc w:val="left"/>
      <w:lvlText w:val="%1"/>
      <w:numFmt w:val="decimal"/>
      <w:start w:val="72"/>
    </w:lvl>
  </w:abstractNum>
  <w:abstractNum w:abstractNumId="96">
    <w:nsid w:val="4C2A7166"/>
    <w:multiLevelType w:val="hybridMultilevel"/>
    <w:lvl w:ilvl="0">
      <w:lvlJc w:val="left"/>
      <w:lvlText w:val="1"/>
      <w:numFmt w:val="bullet"/>
      <w:start w:val="1"/>
    </w:lvl>
  </w:abstractNum>
  <w:abstractNum w:abstractNumId="97">
    <w:nsid w:val="2E534A82"/>
    <w:multiLevelType w:val="hybridMultilevel"/>
    <w:lvl w:ilvl="0">
      <w:lvlJc w:val="left"/>
      <w:lvlText w:val="%1"/>
      <w:numFmt w:val="decimal"/>
      <w:start w:val="74"/>
    </w:lvl>
  </w:abstractNum>
  <w:abstractNum w:abstractNumId="98">
    <w:nsid w:val="26F2D364"/>
    <w:multiLevelType w:val="hybridMultilevel"/>
    <w:lvl w:ilvl="0">
      <w:lvlJc w:val="left"/>
      <w:lvlText w:val="1"/>
      <w:numFmt w:val="bullet"/>
      <w:start w:val="1"/>
    </w:lvl>
  </w:abstractNum>
  <w:abstractNum w:abstractNumId="99">
    <w:nsid w:val="71C1AF98"/>
    <w:multiLevelType w:val="hybridMultilevel"/>
    <w:lvl w:ilvl="0">
      <w:lvlJc w:val="left"/>
      <w:lvlText w:val="•"/>
      <w:numFmt w:val="bullet"/>
      <w:start w:val="1"/>
    </w:lvl>
  </w:abstractNum>
  <w:abstractNum w:abstractNumId="100">
    <w:nsid w:val="3D00B9D9"/>
    <w:multiLevelType w:val="hybridMultilevel"/>
    <w:lvl w:ilvl="0">
      <w:lvlJc w:val="left"/>
      <w:lvlText w:val="•"/>
      <w:numFmt w:val="bullet"/>
      <w:start w:val="1"/>
    </w:lvl>
  </w:abstractNum>
  <w:abstractNum w:abstractNumId="101">
    <w:nsid w:val="15BCABA8"/>
    <w:multiLevelType w:val="hybridMultilevel"/>
    <w:lvl w:ilvl="0">
      <w:lvlJc w:val="left"/>
      <w:lvlText w:val="•"/>
      <w:numFmt w:val="bullet"/>
      <w:start w:val="1"/>
    </w:lvl>
  </w:abstractNum>
  <w:abstractNum w:abstractNumId="102">
    <w:nsid w:val="4E0B9A87"/>
    <w:multiLevelType w:val="hybridMultilevel"/>
    <w:lvl w:ilvl="0">
      <w:lvlJc w:val="left"/>
      <w:lvlText w:val="%1"/>
      <w:numFmt w:val="decimal"/>
      <w:start w:val="76"/>
    </w:lvl>
  </w:abstractNum>
  <w:abstractNum w:abstractNumId="103">
    <w:nsid w:val="434BAE75"/>
    <w:multiLevelType w:val="hybridMultilevel"/>
    <w:lvl w:ilvl="0">
      <w:lvlJc w:val="left"/>
      <w:lvlText w:val="*"/>
      <w:numFmt w:val="bullet"/>
      <w:start w:val="1"/>
    </w:lvl>
  </w:abstractNum>
  <w:abstractNum w:abstractNumId="104">
    <w:nsid w:val="4F38F265"/>
    <w:multiLevelType w:val="hybridMultilevel"/>
    <w:lvl w:ilvl="0">
      <w:lvlJc w:val="left"/>
      <w:lvlText w:val="(%1)"/>
      <w:numFmt w:val="decimal"/>
      <w:start w:val="1"/>
    </w:lvl>
  </w:abstractNum>
  <w:abstractNum w:abstractNumId="105">
    <w:nsid w:val="4C502870"/>
    <w:multiLevelType w:val="hybridMultilevel"/>
    <w:lvl w:ilvl="0">
      <w:lvlJc w:val="left"/>
      <w:lvlText w:val="(%1)"/>
      <w:numFmt w:val="decimal"/>
      <w:start w:val="1"/>
    </w:lvl>
  </w:abstractNum>
  <w:abstractNum w:abstractNumId="106">
    <w:nsid w:val="1DE8725A"/>
    <w:multiLevelType w:val="hybridMultilevel"/>
    <w:lvl w:ilvl="0">
      <w:lvlJc w:val="left"/>
      <w:lvlText w:val="•"/>
      <w:numFmt w:val="bullet"/>
      <w:start w:val="1"/>
    </w:lvl>
  </w:abstractNum>
  <w:abstractNum w:abstractNumId="107">
    <w:nsid w:val="6A37288A"/>
    <w:multiLevelType w:val="hybridMultilevel"/>
    <w:lvl w:ilvl="0">
      <w:lvlJc w:val="left"/>
      <w:lvlText w:val="(%1)"/>
      <w:numFmt w:val="decimal"/>
      <w:start w:val="1"/>
    </w:lvl>
  </w:abstractNum>
  <w:abstractNum w:abstractNumId="108">
    <w:nsid w:val="8F8B73F"/>
    <w:multiLevelType w:val="hybridMultilevel"/>
    <w:lvl w:ilvl="0">
      <w:lvlJc w:val="left"/>
      <w:lvlText w:val="(%1)"/>
      <w:numFmt w:val="decimal"/>
      <w:start w:val="1"/>
    </w:lvl>
  </w:abstractNum>
  <w:abstractNum w:abstractNumId="109">
    <w:nsid w:val="CA6B462"/>
    <w:multiLevelType w:val="hybridMultilevel"/>
    <w:lvl w:ilvl="0">
      <w:lvlJc w:val="left"/>
      <w:lvlText w:val="(%1)"/>
      <w:numFmt w:val="decimal"/>
      <w:start w:val="1"/>
    </w:lvl>
  </w:abstractNum>
  <w:abstractNum w:abstractNumId="110">
    <w:nsid w:val="763CB680"/>
    <w:multiLevelType w:val="hybridMultilevel"/>
    <w:lvl w:ilvl="0">
      <w:lvlJc w:val="left"/>
      <w:lvlText w:val="•"/>
      <w:numFmt w:val="bullet"/>
      <w:start w:val="1"/>
    </w:lvl>
  </w:abstractNum>
  <w:abstractNum w:abstractNumId="111">
    <w:nsid w:val="15B71329"/>
    <w:multiLevelType w:val="hybridMultilevel"/>
    <w:lvl w:ilvl="0">
      <w:lvlJc w:val="left"/>
      <w:lvlText w:val="(%1)"/>
      <w:numFmt w:val="lowerRoman"/>
      <w:start w:val="2"/>
    </w:lvl>
  </w:abstractNum>
  <w:abstractNum w:abstractNumId="112">
    <w:nsid w:val="3DA97044"/>
    <w:multiLevelType w:val="hybridMultilevel"/>
    <w:lvl w:ilvl="0">
      <w:lvlJc w:val="left"/>
      <w:lvlText w:val="•"/>
      <w:numFmt w:val="bullet"/>
      <w:start w:val="1"/>
    </w:lvl>
  </w:abstractNum>
  <w:abstractNum w:abstractNumId="113">
    <w:nsid w:val="1CDCE2DE"/>
    <w:multiLevelType w:val="hybridMultilevel"/>
    <w:lvl w:ilvl="0">
      <w:lvlJc w:val="left"/>
      <w:lvlText w:val="%1"/>
      <w:numFmt w:val="decimal"/>
      <w:start w:val="79"/>
    </w:lvl>
  </w:abstractNum>
  <w:abstractNum w:abstractNumId="114">
    <w:nsid w:val="69D3947C"/>
    <w:multiLevelType w:val="hybridMultilevel"/>
    <w:lvl w:ilvl="0">
      <w:lvlJc w:val="left"/>
      <w:lvlText w:val="•"/>
      <w:numFmt w:val="bullet"/>
      <w:start w:val="1"/>
    </w:lvl>
  </w:abstractNum>
  <w:abstractNum w:abstractNumId="115">
    <w:nsid w:val="2539DFA5"/>
    <w:multiLevelType w:val="hybridMultilevel"/>
    <w:lvl w:ilvl="0">
      <w:lvlJc w:val="left"/>
      <w:lvlText w:val="•"/>
      <w:numFmt w:val="bullet"/>
      <w:start w:val="1"/>
    </w:lvl>
  </w:abstractNum>
  <w:abstractNum w:abstractNumId="116">
    <w:nsid w:val="2DB88089"/>
    <w:multiLevelType w:val="hybridMultilevel"/>
    <w:lvl w:ilvl="0">
      <w:lvlJc w:val="left"/>
      <w:lvlText w:val="•"/>
      <w:numFmt w:val="bullet"/>
      <w:start w:val="1"/>
    </w:lvl>
  </w:abstractNum>
  <w:abstractNum w:abstractNumId="117">
    <w:nsid w:val="706B674E"/>
    <w:multiLevelType w:val="hybridMultilevel"/>
    <w:lvl w:ilvl="0">
      <w:lvlJc w:val="left"/>
      <w:lvlText w:val="•"/>
      <w:numFmt w:val="bullet"/>
      <w:start w:val="1"/>
    </w:lvl>
  </w:abstractNum>
  <w:abstractNum w:abstractNumId="118">
    <w:nsid w:val="2C106A57"/>
    <w:multiLevelType w:val="hybridMultilevel"/>
    <w:lvl w:ilvl="0">
      <w:lvlJc w:val="left"/>
      <w:lvlText w:val="%1"/>
      <w:numFmt w:val="decimal"/>
      <w:start w:val="81"/>
    </w:lvl>
  </w:abstractNum>
  <w:abstractNum w:abstractNumId="119">
    <w:nsid w:val="684EED59"/>
    <w:multiLevelType w:val="hybridMultilevel"/>
    <w:lvl w:ilvl="0">
      <w:lvlJc w:val="left"/>
      <w:lvlText w:val="•"/>
      <w:numFmt w:val="bullet"/>
      <w:start w:val="1"/>
    </w:lvl>
  </w:abstractNum>
  <w:abstractNum w:abstractNumId="120">
    <w:nsid w:val="545EE5D3"/>
    <w:multiLevelType w:val="hybridMultilevel"/>
    <w:lvl w:ilvl="0">
      <w:lvlJc w:val="left"/>
      <w:lvlText w:val="%1"/>
      <w:numFmt w:val="decimal"/>
      <w:start w:val="84"/>
    </w:lvl>
  </w:abstractNum>
  <w:abstractNum w:abstractNumId="121">
    <w:nsid w:val="4A6605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22">
    <w:nsid w:val="20F4BDAD"/>
    <w:multiLevelType w:val="hybridMultilevel"/>
    <w:lvl w:ilvl="0">
      <w:lvlJc w:val="left"/>
      <w:lvlText w:val="•"/>
      <w:numFmt w:val="bullet"/>
      <w:start w:val="1"/>
    </w:lvl>
    <w:lvl w:ilvl="1">
      <w:lvlJc w:val="left"/>
      <w:lvlText w:val="•"/>
      <w:numFmt w:val="bullet"/>
      <w:start w:val="1"/>
    </w:lvl>
  </w:abstractNum>
  <w:abstractNum w:abstractNumId="123">
    <w:nsid w:val="639DEFAC"/>
    <w:multiLevelType w:val="hybridMultilevel"/>
    <w:lvl w:ilvl="0">
      <w:lvlJc w:val="left"/>
      <w:lvlText w:val="(%1)"/>
      <w:numFmt w:val="decimal"/>
      <w:start w:val="1"/>
    </w:lvl>
  </w:abstractNum>
  <w:abstractNum w:abstractNumId="124">
    <w:nsid w:val="501F9786"/>
    <w:multiLevelType w:val="hybridMultilevel"/>
    <w:lvl w:ilvl="0">
      <w:lvlJc w:val="left"/>
      <w:lvlText w:val="•"/>
      <w:numFmt w:val="bullet"/>
      <w:start w:val="1"/>
    </w:lvl>
    <w:lvl w:ilvl="1">
      <w:lvlJc w:val="left"/>
      <w:lvlText w:val="(%2)"/>
      <w:numFmt w:val="lowerRoman"/>
      <w:start w:val="2"/>
    </w:lvl>
  </w:abstractNum>
  <w:abstractNum w:abstractNumId="125">
    <w:nsid w:val="6B057295"/>
    <w:multiLevelType w:val="hybridMultilevel"/>
    <w:lvl w:ilvl="0">
      <w:lvlJc w:val="left"/>
      <w:lvlText w:val="•"/>
      <w:numFmt w:val="bullet"/>
      <w:start w:val="1"/>
    </w:lvl>
  </w:abstractNum>
  <w:abstractNum w:abstractNumId="126">
    <w:nsid w:val="2771AC80"/>
    <w:multiLevelType w:val="hybridMultilevel"/>
    <w:lvl w:ilvl="0">
      <w:lvlJc w:val="left"/>
      <w:lvlText w:val="(%1)"/>
      <w:numFmt w:val="decimal"/>
      <w:start w:val="1"/>
    </w:lvl>
  </w:abstractNum>
  <w:abstractNum w:abstractNumId="127">
    <w:nsid w:val="1C4A08EC"/>
    <w:multiLevelType w:val="hybridMultilevel"/>
    <w:lvl w:ilvl="0">
      <w:lvlJc w:val="left"/>
      <w:lvlText w:val="(%1)"/>
      <w:numFmt w:val="decimal"/>
      <w:start w:val="2"/>
    </w:lvl>
  </w:abstractNum>
  <w:abstractNum w:abstractNumId="128">
    <w:nsid w:val="1958BD17"/>
    <w:multiLevelType w:val="hybridMultilevel"/>
    <w:lvl w:ilvl="0">
      <w:lvlJc w:val="left"/>
      <w:lvlText w:val="(%1)"/>
      <w:numFmt w:val="decimal"/>
      <w:start w:val="1"/>
    </w:lvl>
  </w:abstractNum>
  <w:abstractNum w:abstractNumId="129">
    <w:nsid w:val="4E647FE4"/>
    <w:multiLevelType w:val="hybridMultilevel"/>
    <w:lvl w:ilvl="0">
      <w:lvlJc w:val="left"/>
      <w:lvlText w:val="(%1)"/>
      <w:numFmt w:val="decimal"/>
      <w:start w:val="1"/>
    </w:lvl>
  </w:abstractNum>
  <w:abstractNum w:abstractNumId="130">
    <w:nsid w:val="E0BB885"/>
    <w:multiLevelType w:val="hybridMultilevel"/>
    <w:lvl w:ilvl="0">
      <w:lvlJc w:val="left"/>
      <w:lvlText w:val="(%1)"/>
      <w:numFmt w:val="decimal"/>
      <w:start w:val="2"/>
    </w:lvl>
  </w:abstractNum>
  <w:abstractNum w:abstractNumId="131">
    <w:nsid w:val="565976F1"/>
    <w:multiLevelType w:val="hybridMultilevel"/>
    <w:lvl w:ilvl="0">
      <w:lvlJc w:val="left"/>
      <w:lvlText w:val="(%1)"/>
      <w:numFmt w:val="decimal"/>
      <w:start w:val="3"/>
    </w:lvl>
  </w:abstractNum>
  <w:abstractNum w:abstractNumId="132">
    <w:nsid w:val="64212B8C"/>
    <w:multiLevelType w:val="hybridMultilevel"/>
    <w:lvl w:ilvl="0">
      <w:lvlJc w:val="left"/>
      <w:lvlText w:val="(%1)"/>
      <w:numFmt w:val="decimal"/>
      <w:start w:val="1"/>
    </w:lvl>
  </w:abstractNum>
  <w:abstractNum w:abstractNumId="133">
    <w:nsid w:val="5C17530C"/>
    <w:multiLevelType w:val="hybridMultilevel"/>
    <w:lvl w:ilvl="0">
      <w:lvlJc w:val="left"/>
      <w:lvlText w:val="(%1)"/>
      <w:numFmt w:val="decimal"/>
      <w:start w:val="1"/>
    </w:lvl>
  </w:abstractNum>
  <w:abstractNum w:abstractNumId="134">
    <w:nsid w:val="19A52566"/>
    <w:multiLevelType w:val="hybridMultilevel"/>
    <w:lvl w:ilvl="0">
      <w:lvlJc w:val="left"/>
      <w:lvlText w:val="(%1)"/>
      <w:numFmt w:val="decimal"/>
      <w:start w:val="1"/>
    </w:lvl>
  </w:abstractNum>
  <w:abstractNum w:abstractNumId="135">
    <w:nsid w:val="335A1DF1"/>
    <w:multiLevelType w:val="hybridMultilevel"/>
    <w:lvl w:ilvl="0">
      <w:lvlJc w:val="left"/>
      <w:lvlText w:val="(%1)"/>
      <w:numFmt w:val="decimal"/>
      <w:start w:val="1"/>
    </w:lvl>
  </w:abstractNum>
  <w:abstractNum w:abstractNumId="136">
    <w:nsid w:val="28677B7C"/>
    <w:multiLevelType w:val="hybridMultilevel"/>
    <w:lvl w:ilvl="0">
      <w:lvlJc w:val="left"/>
      <w:lvlText w:val="(%1)"/>
      <w:numFmt w:val="decimal"/>
      <w:start w:val="1"/>
    </w:lvl>
  </w:abstractNum>
  <w:abstractNum w:abstractNumId="137">
    <w:nsid w:val="378D97C0"/>
    <w:multiLevelType w:val="hybridMultilevel"/>
    <w:lvl w:ilvl="0">
      <w:lvlJc w:val="left"/>
      <w:lvlText w:val="•"/>
      <w:numFmt w:val="bullet"/>
      <w:start w:val="1"/>
    </w:lvl>
  </w:abstractNum>
  <w:abstractNum w:abstractNumId="138">
    <w:nsid w:val="1D91467C"/>
    <w:multiLevelType w:val="hybridMultilevel"/>
    <w:lvl w:ilvl="0">
      <w:lvlJc w:val="left"/>
      <w:lvlText w:val="•"/>
      <w:numFmt w:val="bullet"/>
      <w:start w:val="1"/>
    </w:lvl>
  </w:abstractNum>
  <w:abstractNum w:abstractNumId="139">
    <w:nsid w:val="316032BB"/>
    <w:multiLevelType w:val="hybridMultilevel"/>
    <w:lvl w:ilvl="0">
      <w:lvlJc w:val="left"/>
      <w:lvlText w:val="•"/>
      <w:numFmt w:val="bullet"/>
      <w:start w:val="1"/>
    </w:lvl>
  </w:abstractNum>
  <w:abstractNum w:abstractNumId="140">
    <w:nsid w:val="44344C22"/>
    <w:multiLevelType w:val="hybridMultilevel"/>
    <w:lvl w:ilvl="0">
      <w:lvlJc w:val="left"/>
      <w:lvlText w:val="•"/>
      <w:numFmt w:val="bullet"/>
      <w:start w:val="1"/>
    </w:lvl>
  </w:abstractNum>
  <w:abstractNum w:abstractNumId="141">
    <w:nsid w:val="13CDFCFC"/>
    <w:multiLevelType w:val="hybridMultilevel"/>
    <w:lvl w:ilvl="0">
      <w:lvlJc w:val="left"/>
      <w:lvlText w:val="%1"/>
      <w:numFmt w:val="decimal"/>
      <w:start w:val="89"/>
    </w:lvl>
  </w:abstractNum>
  <w:abstractNum w:abstractNumId="142">
    <w:nsid w:val="471745E4"/>
    <w:multiLevelType w:val="hybridMultilevel"/>
    <w:lvl w:ilvl="0">
      <w:lvlJc w:val="left"/>
      <w:lvlText w:val="•"/>
      <w:numFmt w:val="bullet"/>
      <w:start w:val="1"/>
    </w:lvl>
  </w:abstractNum>
  <w:abstractNum w:abstractNumId="143">
    <w:nsid w:val="1DDBC66"/>
    <w:multiLevelType w:val="hybridMultilevel"/>
    <w:lvl w:ilvl="0">
      <w:lvlJc w:val="left"/>
      <w:lvlText w:val="%1"/>
      <w:numFmt w:val="decimal"/>
      <w:start w:val="96"/>
    </w:lvl>
  </w:abstractNum>
  <w:abstractNum w:abstractNumId="144">
    <w:nsid w:val="30AADFDA"/>
    <w:multiLevelType w:val="hybridMultilevel"/>
    <w:lvl w:ilvl="0">
      <w:lvlJc w:val="left"/>
      <w:lvlText w:val="•"/>
      <w:numFmt w:val="bullet"/>
      <w:start w:val="1"/>
    </w:lvl>
  </w:abstractNum>
  <w:abstractNum w:abstractNumId="145">
    <w:nsid w:val="30EADA61"/>
    <w:multiLevelType w:val="hybridMultilevel"/>
    <w:lvl w:ilvl="0">
      <w:lvlJc w:val="left"/>
      <w:lvlText w:val="•"/>
      <w:numFmt w:val="bullet"/>
      <w:start w:val="1"/>
    </w:lvl>
  </w:abstractNum>
  <w:abstractNum w:abstractNumId="146">
    <w:nsid w:val="27179C0B"/>
    <w:multiLevelType w:val="hybridMultilevel"/>
    <w:lvl w:ilvl="0">
      <w:lvlJc w:val="left"/>
      <w:lvlText w:val="%1"/>
      <w:numFmt w:val="decimal"/>
      <w:start w:val="103"/>
    </w:lvl>
  </w:abstractNum>
  <w:abstractNum w:abstractNumId="147">
    <w:nsid w:val="5E636063"/>
    <w:multiLevelType w:val="hybridMultilevel"/>
    <w:lvl w:ilvl="0">
      <w:lvlJc w:val="left"/>
      <w:lvlText w:val="•"/>
      <w:numFmt w:val="bullet"/>
      <w:start w:val="1"/>
    </w:lvl>
  </w:abstractNum>
  <w:abstractNum w:abstractNumId="148">
    <w:nsid w:val="215641AF"/>
    <w:multiLevelType w:val="hybridMultilevel"/>
    <w:lvl w:ilvl="0">
      <w:lvlJc w:val="left"/>
      <w:lvlText w:val="•"/>
      <w:numFmt w:val="bullet"/>
      <w:start w:val="1"/>
    </w:lvl>
  </w:abstractNum>
  <w:abstractNum w:abstractNumId="149">
    <w:nsid w:val="53280662"/>
    <w:multiLevelType w:val="hybridMultilevel"/>
    <w:lvl w:ilvl="0">
      <w:lvlJc w:val="left"/>
      <w:lvlText w:val="•"/>
      <w:numFmt w:val="bullet"/>
      <w:start w:val="1"/>
    </w:lvl>
    <w:lvl w:ilvl="1">
      <w:lvlJc w:val="left"/>
      <w:lvlText w:val="•"/>
      <w:numFmt w:val="bullet"/>
      <w:start w:val="1"/>
    </w:lvl>
  </w:abstractNum>
  <w:abstractNum w:abstractNumId="150">
    <w:nsid w:val="46B24DBC"/>
    <w:multiLevelType w:val="hybridMultilevel"/>
    <w:lvl w:ilvl="0">
      <w:lvlJc w:val="left"/>
      <w:lvlText w:val="%1"/>
      <w:numFmt w:val="decimal"/>
      <w:start w:val="112"/>
    </w:lvl>
  </w:abstractNum>
  <w:abstractNum w:abstractNumId="151">
    <w:nsid w:val="75B52783"/>
    <w:multiLevelType w:val="hybridMultilevel"/>
    <w:lvl w:ilvl="0">
      <w:lvlJc w:val="left"/>
      <w:lvlText w:val="•"/>
      <w:numFmt w:val="bullet"/>
      <w:start w:val="1"/>
    </w:lvl>
    <w:lvl w:ilvl="1">
      <w:lvlJc w:val="left"/>
      <w:lvlText w:val="•"/>
      <w:numFmt w:val="bullet"/>
      <w:start w:val="1"/>
    </w:lvl>
  </w:abstractNum>
  <w:abstractNum w:abstractNumId="152">
    <w:nsid w:val="57CE66B4"/>
    <w:multiLevelType w:val="hybridMultilevel"/>
    <w:lvl w:ilvl="0">
      <w:lvlJc w:val="left"/>
      <w:lvlText w:val="•"/>
      <w:numFmt w:val="bullet"/>
      <w:start w:val="1"/>
    </w:lvl>
  </w:abstractNum>
  <w:abstractNum w:abstractNumId="153">
    <w:nsid w:val="67A70B69"/>
    <w:multiLevelType w:val="hybridMultilevel"/>
    <w:lvl w:ilvl="0">
      <w:lvlJc w:val="left"/>
      <w:lvlText w:val="%1"/>
      <w:numFmt w:val="decimal"/>
      <w:start w:val="119"/>
    </w:lvl>
  </w:abstractNum>
  <w:abstractNum w:abstractNumId="154">
    <w:nsid w:val="5953172F"/>
    <w:multiLevelType w:val="hybridMultilevel"/>
    <w:lvl w:ilvl="0">
      <w:lvlJc w:val="left"/>
      <w:lvlText w:val="•"/>
      <w:numFmt w:val="bullet"/>
      <w:start w:val="1"/>
    </w:lvl>
  </w:abstractNum>
  <w:abstractNum w:abstractNumId="155">
    <w:nsid w:val="27EDFE3A"/>
    <w:multiLevelType w:val="hybridMultilevel"/>
    <w:lvl w:ilvl="0">
      <w:lvlJc w:val="left"/>
      <w:lvlText w:val="%1"/>
      <w:numFmt w:val="decimal"/>
      <w:start w:val="125"/>
    </w:lvl>
  </w:abstractNum>
  <w:abstractNum w:abstractNumId="156">
    <w:nsid w:val="52AC7DFF"/>
    <w:multiLevelType w:val="hybridMultilevel"/>
    <w:lvl w:ilvl="0">
      <w:lvlJc w:val="left"/>
      <w:lvlText w:val="(%1)"/>
      <w:numFmt w:val="decimal"/>
      <w:start w:val="1"/>
    </w:lvl>
  </w:abstractNum>
  <w:abstractNum w:abstractNumId="157">
    <w:nsid w:val="C4C3AF"/>
    <w:multiLevelType w:val="hybridMultilevel"/>
    <w:lvl w:ilvl="0">
      <w:lvlJc w:val="left"/>
      <w:lvlText w:val="%1"/>
      <w:numFmt w:val="decimal"/>
      <w:start w:val="129"/>
    </w:lvl>
  </w:abstractNum>
  <w:abstractNum w:abstractNumId="158">
    <w:nsid w:val="44380727"/>
    <w:multiLevelType w:val="hybridMultilevel"/>
    <w:lvl w:ilvl="0">
      <w:lvlJc w:val="left"/>
      <w:lvlText w:val="(%1)"/>
      <w:numFmt w:val="decimal"/>
      <w:start w:val="1"/>
    </w:lvl>
  </w:abstractNum>
  <w:abstractNum w:abstractNumId="159">
    <w:nsid w:val="6C053B16"/>
    <w:multiLevelType w:val="hybridMultilevel"/>
    <w:lvl w:ilvl="0">
      <w:lvlJc w:val="left"/>
      <w:lvlText w:val="•"/>
      <w:numFmt w:val="bullet"/>
      <w:start w:val="1"/>
    </w:lvl>
  </w:abstractNum>
  <w:abstractNum w:abstractNumId="160">
    <w:nsid w:val="4F294393"/>
    <w:multiLevelType w:val="hybridMultilevel"/>
    <w:lvl w:ilvl="0">
      <w:lvlJc w:val="left"/>
      <w:lvlText w:val="%1"/>
      <w:numFmt w:val="decimal"/>
      <w:start w:val="131"/>
    </w:lvl>
  </w:abstractNum>
  <w:abstractNum w:abstractNumId="161">
    <w:nsid w:val="5243BFAC"/>
    <w:multiLevelType w:val="hybridMultilevel"/>
    <w:lvl w:ilvl="0">
      <w:lvlJc w:val="left"/>
      <w:lvlText w:val="•"/>
      <w:numFmt w:val="bullet"/>
      <w:start w:val="1"/>
    </w:lvl>
  </w:abstractNum>
  <w:abstractNum w:abstractNumId="162">
    <w:nsid w:val="425EB207"/>
    <w:multiLevelType w:val="hybridMultilevel"/>
    <w:lvl w:ilvl="0">
      <w:lvlJc w:val="left"/>
      <w:lvlText w:val="•"/>
      <w:numFmt w:val="bullet"/>
      <w:start w:val="1"/>
    </w:lvl>
  </w:abstractNum>
  <w:abstractNum w:abstractNumId="163">
    <w:nsid w:val="334A6F1F"/>
    <w:multiLevelType w:val="hybridMultilevel"/>
    <w:lvl w:ilvl="0">
      <w:lvlJc w:val="left"/>
      <w:lvlText w:val="%1"/>
      <w:numFmt w:val="decimal"/>
      <w:start w:val="132"/>
    </w:lvl>
  </w:abstractNum>
  <w:abstractNum w:abstractNumId="164">
    <w:nsid w:val="2E5B12B8"/>
    <w:multiLevelType w:val="hybridMultilevel"/>
    <w:lvl w:ilvl="0">
      <w:lvlJc w:val="left"/>
      <w:lvlText w:val="•"/>
      <w:numFmt w:val="bullet"/>
      <w:start w:val="1"/>
    </w:lvl>
  </w:abstractNum>
  <w:abstractNum w:abstractNumId="165">
    <w:nsid w:val="5C03D76D"/>
    <w:multiLevelType w:val="hybridMultilevel"/>
    <w:lvl w:ilvl="0">
      <w:lvlJc w:val="left"/>
      <w:lvlText w:val="%1"/>
      <w:numFmt w:val="decimal"/>
      <w:start w:val="134"/>
    </w:lvl>
  </w:abstractNum>
  <w:abstractNum w:abstractNumId="166">
    <w:nsid w:val="66A48D11"/>
    <w:multiLevelType w:val="hybridMultilevel"/>
    <w:lvl w:ilvl="0">
      <w:lvlJc w:val="left"/>
      <w:lvlText w:val="•"/>
      <w:numFmt w:val="bullet"/>
      <w:start w:val="1"/>
    </w:lvl>
  </w:abstractNum>
  <w:abstractNum w:abstractNumId="167">
    <w:nsid w:val="56C28E34"/>
    <w:multiLevelType w:val="hybridMultilevel"/>
    <w:lvl w:ilvl="0">
      <w:lvlJc w:val="left"/>
      <w:lvlText w:val="•"/>
      <w:numFmt w:val="bullet"/>
      <w:start w:val="1"/>
    </w:lvl>
    <w:lvl w:ilvl="1">
      <w:lvlJc w:val="left"/>
      <w:lvlText w:val="•"/>
      <w:numFmt w:val="bullet"/>
      <w:start w:val="1"/>
    </w:lvl>
  </w:abstractNum>
  <w:abstractNum w:abstractNumId="168">
    <w:nsid w:val="13916F2D"/>
    <w:multiLevelType w:val="hybridMultilevel"/>
    <w:lvl w:ilvl="0">
      <w:lvlJc w:val="left"/>
      <w:lvlText w:val="%1"/>
      <w:numFmt w:val="decimal"/>
      <w:start w:val="137"/>
    </w:lvl>
  </w:abstractNum>
  <w:abstractNum w:abstractNumId="169">
    <w:nsid w:val="435D38D"/>
    <w:multiLevelType w:val="hybridMultilevel"/>
    <w:lvl w:ilvl="0">
      <w:lvlJc w:val="left"/>
      <w:lvlText w:val="•"/>
      <w:numFmt w:val="bullet"/>
      <w:start w:val="1"/>
    </w:lvl>
  </w:abstractNum>
  <w:abstractNum w:abstractNumId="170">
    <w:nsid w:val="822C0EF"/>
    <w:multiLevelType w:val="hybridMultilevel"/>
    <w:lvl w:ilvl="0">
      <w:lvlJc w:val="left"/>
      <w:lvlText w:val="•"/>
      <w:numFmt w:val="bullet"/>
      <w:start w:val="1"/>
    </w:lvl>
  </w:abstractNum>
  <w:abstractNum w:abstractNumId="171">
    <w:nsid w:val="57C5BB4F"/>
    <w:multiLevelType w:val="hybridMultilevel"/>
    <w:lvl w:ilvl="0">
      <w:lvlJc w:val="left"/>
      <w:lvlText w:val="•"/>
      <w:numFmt w:val="bullet"/>
      <w:start w:val="1"/>
    </w:lvl>
  </w:abstractNum>
  <w:abstractNum w:abstractNumId="172">
    <w:nsid w:val="1803D089"/>
    <w:multiLevelType w:val="hybridMultilevel"/>
    <w:lvl w:ilvl="0">
      <w:lvlJc w:val="left"/>
      <w:lvlText w:val="%1"/>
      <w:numFmt w:val="decimal"/>
      <w:start w:val="138"/>
    </w:lvl>
  </w:abstractNum>
  <w:abstractNum w:abstractNumId="173">
    <w:nsid w:val="4F3A06D4"/>
    <w:multiLevelType w:val="hybridMultilevel"/>
    <w:lvl w:ilvl="0">
      <w:lvlJc w:val="left"/>
      <w:lvlText w:val="(%1)"/>
      <w:numFmt w:val="decimal"/>
      <w:start w:val="1"/>
    </w:lvl>
  </w:abstractNum>
  <w:abstractNum w:abstractNumId="174">
    <w:nsid w:val="59A377B6"/>
    <w:multiLevelType w:val="hybridMultilevel"/>
    <w:lvl w:ilvl="0">
      <w:lvlJc w:val="left"/>
      <w:lvlText w:val="•"/>
      <w:numFmt w:val="bullet"/>
      <w:start w:val="1"/>
    </w:lvl>
  </w:abstractNum>
  <w:abstractNum w:abstractNumId="175">
    <w:nsid w:val="48AEB063"/>
    <w:multiLevelType w:val="hybridMultilevel"/>
    <w:lvl w:ilvl="0">
      <w:lvlJc w:val="left"/>
      <w:lvlText w:val="%1"/>
      <w:numFmt w:val="decimal"/>
      <w:start w:val="140"/>
    </w:lvl>
  </w:abstractNum>
  <w:abstractNum w:abstractNumId="176">
    <w:nsid w:val="24E135"/>
    <w:multiLevelType w:val="hybridMultilevel"/>
    <w:lvl w:ilvl="0">
      <w:lvlJc w:val="left"/>
      <w:lvlText w:val="•"/>
      <w:numFmt w:val="bullet"/>
      <w:start w:val="1"/>
    </w:lvl>
    <w:lvl w:ilvl="1">
      <w:lvlJc w:val="left"/>
      <w:lvlText w:val="•"/>
      <w:numFmt w:val="bullet"/>
      <w:start w:val="1"/>
    </w:lvl>
  </w:abstractNum>
  <w:abstractNum w:abstractNumId="177">
    <w:nsid w:val="BB13C1"/>
    <w:multiLevelType w:val="hybridMultilevel"/>
    <w:lvl w:ilvl="0">
      <w:lvlJc w:val="left"/>
      <w:lvlText w:val="%1"/>
      <w:numFmt w:val="decimal"/>
      <w:start w:val="147"/>
    </w:lvl>
  </w:abstractNum>
  <w:abstractNum w:abstractNumId="178">
    <w:nsid w:val="271210C7"/>
    <w:multiLevelType w:val="hybridMultilevel"/>
    <w:lvl w:ilvl="0">
      <w:lvlJc w:val="left"/>
      <w:lvlText w:val="•"/>
      <w:numFmt w:val="bullet"/>
      <w:start w:val="1"/>
    </w:lvl>
    <w:lvl w:ilvl="1">
      <w:lvlJc w:val="left"/>
      <w:lvlText w:val="•"/>
      <w:numFmt w:val="bullet"/>
      <w:start w:val="1"/>
    </w:lvl>
  </w:abstractNum>
  <w:abstractNum w:abstractNumId="179">
    <w:nsid w:val="217B22E4"/>
    <w:multiLevelType w:val="hybridMultilevel"/>
    <w:lvl w:ilvl="0">
      <w:lvlJc w:val="left"/>
      <w:lvlText w:val="%1"/>
      <w:numFmt w:val="decimal"/>
      <w:start w:val="149"/>
    </w:lvl>
  </w:abstractNum>
  <w:abstractNum w:abstractNumId="180">
    <w:nsid w:val="53E31A24"/>
    <w:multiLevelType w:val="hybridMultilevel"/>
    <w:lvl w:ilvl="0">
      <w:lvlJc w:val="left"/>
      <w:lvlText w:val="•"/>
      <w:numFmt w:val="bullet"/>
      <w:start w:val="1"/>
    </w:lvl>
  </w:abstractNum>
  <w:abstractNum w:abstractNumId="181">
    <w:nsid w:val="6DC45E83"/>
    <w:multiLevelType w:val="hybridMultilevel"/>
    <w:lvl w:ilvl="0">
      <w:lvlJc w:val="left"/>
      <w:lvlText w:val="%1"/>
      <w:numFmt w:val="decimal"/>
      <w:start w:val="155"/>
    </w:lvl>
  </w:abstractNum>
  <w:abstractNum w:abstractNumId="182">
    <w:nsid w:val="17304A67"/>
    <w:multiLevelType w:val="hybridMultilevel"/>
    <w:lvl w:ilvl="0">
      <w:lvlJc w:val="left"/>
      <w:lvlText w:val="•"/>
      <w:numFmt w:val="bullet"/>
      <w:start w:val="1"/>
    </w:lvl>
  </w:abstractNum>
  <w:abstractNum w:abstractNumId="183">
    <w:nsid w:val="2BB180D8"/>
    <w:multiLevelType w:val="hybridMultilevel"/>
    <w:lvl w:ilvl="0">
      <w:lvlJc w:val="left"/>
      <w:lvlText w:val="•"/>
      <w:numFmt w:val="bullet"/>
      <w:start w:val="1"/>
    </w:lvl>
  </w:abstractNum>
  <w:abstractNum w:abstractNumId="184">
    <w:nsid w:val="556B69ED"/>
    <w:multiLevelType w:val="hybridMultilevel"/>
    <w:lvl w:ilvl="0">
      <w:lvlJc w:val="left"/>
      <w:lvlText w:val="%1"/>
      <w:numFmt w:val="decimal"/>
      <w:start w:val="158"/>
    </w:lvl>
  </w:abstractNum>
  <w:abstractNum w:abstractNumId="185">
    <w:nsid w:val="70836196"/>
    <w:multiLevelType w:val="hybridMultilevel"/>
    <w:lvl w:ilvl="0">
      <w:lvlJc w:val="left"/>
      <w:lvlText w:val="•"/>
      <w:numFmt w:val="bullet"/>
      <w:start w:val="1"/>
    </w:lvl>
  </w:abstractNum>
  <w:abstractNum w:abstractNumId="186">
    <w:nsid w:val="539F7F12"/>
    <w:multiLevelType w:val="hybridMultilevel"/>
    <w:lvl w:ilvl="0">
      <w:lvlJc w:val="left"/>
      <w:lvlText w:val="%1"/>
      <w:numFmt w:val="decimal"/>
      <w:start w:val="161"/>
    </w:lvl>
  </w:abstractNum>
  <w:abstractNum w:abstractNumId="187">
    <w:nsid w:val="2817E7EC"/>
    <w:multiLevelType w:val="hybridMultilevel"/>
    <w:lvl w:ilvl="0">
      <w:lvlJc w:val="left"/>
      <w:lvlText w:val="%1"/>
      <w:numFmt w:val="decimal"/>
      <w:start w:val="165"/>
    </w:lvl>
  </w:abstractNum>
  <w:abstractNum w:abstractNumId="188">
    <w:nsid w:val="71482545"/>
    <w:multiLevelType w:val="hybridMultilevel"/>
    <w:lvl w:ilvl="0">
      <w:lvlJc w:val="left"/>
      <w:lvlText w:val="•"/>
      <w:numFmt w:val="bullet"/>
      <w:start w:val="1"/>
    </w:lvl>
    <w:lvl w:ilvl="1">
      <w:lvlJc w:val="left"/>
      <w:lvlText w:val="•"/>
      <w:numFmt w:val="bullet"/>
      <w:start w:val="1"/>
    </w:lvl>
  </w:abstractNum>
  <w:abstractNum w:abstractNumId="189">
    <w:nsid w:val="17D78639"/>
    <w:multiLevelType w:val="hybridMultilevel"/>
    <w:lvl w:ilvl="0">
      <w:lvlJc w:val="left"/>
      <w:lvlText w:val="%1"/>
      <w:numFmt w:val="decimal"/>
      <w:start w:val="169"/>
    </w:lvl>
  </w:abstractNum>
  <w:abstractNum w:abstractNumId="190">
    <w:nsid w:val="141D2302"/>
    <w:multiLevelType w:val="hybridMultilevel"/>
    <w:lvl w:ilvl="0">
      <w:lvlJc w:val="left"/>
      <w:lvlText w:val="•"/>
      <w:numFmt w:val="bullet"/>
      <w:start w:val="1"/>
    </w:lvl>
    <w:lvl w:ilvl="1">
      <w:lvlJc w:val="left"/>
      <w:lvlText w:val="•"/>
      <w:numFmt w:val="bullet"/>
      <w:start w:val="1"/>
    </w:lvl>
  </w:abstractNum>
  <w:abstractNum w:abstractNumId="191">
    <w:nsid w:val="407168D8"/>
    <w:multiLevelType w:val="hybridMultilevel"/>
    <w:lvl w:ilvl="0">
      <w:lvlJc w:val="left"/>
      <w:lvlText w:val="•"/>
      <w:numFmt w:val="bullet"/>
      <w:start w:val="1"/>
    </w:lvl>
  </w:abstractNum>
  <w:abstractNum w:abstractNumId="192">
    <w:nsid w:val="6A1B45E5"/>
    <w:multiLevelType w:val="hybridMultilevel"/>
    <w:lvl w:ilvl="0">
      <w:lvlJc w:val="left"/>
      <w:lvlText w:val="•"/>
      <w:numFmt w:val="bullet"/>
      <w:start w:val="1"/>
    </w:lvl>
  </w:abstractNum>
  <w:abstractNum w:abstractNumId="193">
    <w:nsid w:val="567BD50A"/>
    <w:multiLevelType w:val="hybridMultilevel"/>
    <w:lvl w:ilvl="0">
      <w:lvlJc w:val="left"/>
      <w:lvlText w:val="%1"/>
      <w:numFmt w:val="decimal"/>
      <w:start w:val="174"/>
    </w:lvl>
  </w:abstractNum>
  <w:abstractNum w:abstractNumId="194">
    <w:nsid w:val="73BBD7F8"/>
    <w:multiLevelType w:val="hybridMultilevel"/>
    <w:lvl w:ilvl="0">
      <w:lvlJc w:val="left"/>
      <w:lvlText w:val="•"/>
      <w:numFmt w:val="bullet"/>
      <w:start w:val="1"/>
    </w:lvl>
  </w:abstractNum>
  <w:abstractNum w:abstractNumId="195">
    <w:nsid w:val="1876589D"/>
    <w:multiLevelType w:val="hybridMultilevel"/>
    <w:lvl w:ilvl="0">
      <w:lvlJc w:val="left"/>
      <w:lvlText w:val="%1"/>
      <w:numFmt w:val="decimal"/>
      <w:start w:val="180"/>
    </w:lvl>
  </w:abstractNum>
  <w:abstractNum w:abstractNumId="196">
    <w:nsid w:val="327FAC77"/>
    <w:multiLevelType w:val="hybridMultilevel"/>
    <w:lvl w:ilvl="0">
      <w:lvlJc w:val="left"/>
      <w:lvlText w:val="•"/>
      <w:numFmt w:val="bullet"/>
      <w:start w:val="1"/>
    </w:lvl>
  </w:abstractNum>
  <w:abstractNum w:abstractNumId="197">
    <w:nsid w:val="5A606509"/>
    <w:multiLevelType w:val="hybridMultilevel"/>
    <w:lvl w:ilvl="0">
      <w:lvlJc w:val="left"/>
      <w:lvlText w:val="•"/>
      <w:numFmt w:val="bullet"/>
      <w:start w:val="1"/>
    </w:lvl>
  </w:abstractNum>
  <w:abstractNum w:abstractNumId="198">
    <w:nsid w:val="6F38E6D1"/>
    <w:multiLevelType w:val="hybridMultilevel"/>
    <w:lvl w:ilvl="0">
      <w:lvlJc w:val="left"/>
      <w:lvlText w:val="•"/>
      <w:numFmt w:val="bullet"/>
      <w:start w:val="1"/>
    </w:lvl>
  </w:abstractNum>
  <w:abstractNum w:abstractNumId="199">
    <w:nsid w:val="46111BA5"/>
    <w:multiLevelType w:val="hybridMultilevel"/>
    <w:lvl w:ilvl="0">
      <w:lvlJc w:val="left"/>
      <w:lvlText w:val="•"/>
      <w:numFmt w:val="bullet"/>
      <w:start w:val="1"/>
    </w:lvl>
  </w:abstractNum>
  <w:abstractNum w:abstractNumId="200">
    <w:nsid w:val="5E963896"/>
    <w:multiLevelType w:val="hybridMultilevel"/>
    <w:lvl w:ilvl="0">
      <w:lvlJc w:val="left"/>
      <w:lvlText w:val="•"/>
      <w:numFmt w:val="bullet"/>
      <w:start w:val="1"/>
    </w:lvl>
  </w:abstractNum>
  <w:abstractNum w:abstractNumId="201">
    <w:nsid w:val="775BA7C1"/>
    <w:multiLevelType w:val="hybridMultilevel"/>
    <w:lvl w:ilvl="0">
      <w:lvlJc w:val="left"/>
      <w:lvlText w:val="•"/>
      <w:numFmt w:val="bullet"/>
      <w:start w:val="1"/>
    </w:lvl>
    <w:lvl w:ilvl="1">
      <w:lvlJc w:val="left"/>
      <w:lvlText w:val="•"/>
      <w:numFmt w:val="bullet"/>
      <w:start w:val="1"/>
    </w:lvl>
  </w:abstractNum>
  <w:abstractNum w:abstractNumId="202">
    <w:nsid w:val="1DD6D6F4"/>
    <w:multiLevelType w:val="hybridMultilevel"/>
    <w:lvl w:ilvl="0">
      <w:lvlJc w:val="left"/>
      <w:lvlText w:val="•"/>
      <w:numFmt w:val="bullet"/>
      <w:start w:val="1"/>
    </w:lvl>
    <w:lvl w:ilvl="1">
      <w:lvlJc w:val="left"/>
      <w:lvlText w:val="•"/>
      <w:numFmt w:val="bullet"/>
      <w:start w:val="1"/>
    </w:lvl>
  </w:abstractNum>
  <w:abstractNum w:abstractNumId="203">
    <w:nsid w:val="769A091F"/>
    <w:multiLevelType w:val="hybridMultilevel"/>
    <w:lvl w:ilvl="0">
      <w:lvlJc w:val="left"/>
      <w:lvlText w:val="•"/>
      <w:numFmt w:val="bullet"/>
      <w:start w:val="1"/>
    </w:lvl>
    <w:lvl w:ilvl="1">
      <w:lvlJc w:val="left"/>
      <w:lvlText w:val="•"/>
      <w:numFmt w:val="bullet"/>
      <w:start w:val="1"/>
    </w:lvl>
  </w:abstractNum>
  <w:abstractNum w:abstractNumId="204">
    <w:nsid w:val="4695AE95"/>
    <w:multiLevelType w:val="hybridMultilevel"/>
    <w:lvl w:ilvl="0">
      <w:lvlJc w:val="left"/>
      <w:lvlText w:val="%1"/>
      <w:numFmt w:val="decimal"/>
      <w:start w:val="181"/>
    </w:lvl>
  </w:abstractNum>
  <w:abstractNum w:abstractNumId="205">
    <w:nsid w:val="777A4EAA"/>
    <w:multiLevelType w:val="hybridMultilevel"/>
    <w:lvl w:ilvl="0">
      <w:lvlJc w:val="left"/>
      <w:lvlText w:val="•"/>
      <w:numFmt w:val="bullet"/>
      <w:start w:val="1"/>
    </w:lvl>
    <w:lvl w:ilvl="1">
      <w:lvlJc w:val="left"/>
      <w:lvlText w:val="•"/>
      <w:numFmt w:val="bullet"/>
      <w:start w:val="1"/>
    </w:lvl>
  </w:abstractNum>
  <w:abstractNum w:abstractNumId="206">
    <w:nsid w:val="3F48B982"/>
    <w:multiLevelType w:val="hybridMultilevel"/>
    <w:lvl w:ilvl="0">
      <w:lvlJc w:val="left"/>
      <w:lvlText w:val="•"/>
      <w:numFmt w:val="bullet"/>
      <w:start w:val="1"/>
    </w:lvl>
    <w:lvl w:ilvl="1">
      <w:lvlJc w:val="left"/>
      <w:lvlText w:val="•"/>
      <w:numFmt w:val="bullet"/>
      <w:start w:val="1"/>
    </w:lvl>
  </w:abstractNum>
  <w:abstractNum w:abstractNumId="207">
    <w:nsid w:val="46BA8FCA"/>
    <w:multiLevelType w:val="hybridMultilevel"/>
    <w:lvl w:ilvl="0">
      <w:lvlJc w:val="left"/>
      <w:lvlText w:val="%1"/>
      <w:numFmt w:val="decimal"/>
      <w:start w:val="184"/>
    </w:lvl>
  </w:abstractNum>
  <w:abstractNum w:abstractNumId="208">
    <w:nsid w:val="7835626C"/>
    <w:multiLevelType w:val="hybridMultilevel"/>
    <w:lvl w:ilvl="0">
      <w:lvlJc w:val="left"/>
      <w:lvlText w:val="•"/>
      <w:numFmt w:val="bullet"/>
      <w:start w:val="1"/>
    </w:lvl>
  </w:abstractNum>
  <w:abstractNum w:abstractNumId="209">
    <w:nsid w:val="665ACA49"/>
    <w:multiLevelType w:val="hybridMultilevel"/>
    <w:lvl w:ilvl="0">
      <w:lvlJc w:val="left"/>
      <w:lvlText w:val="•"/>
      <w:numFmt w:val="bullet"/>
      <w:start w:val="1"/>
    </w:lvl>
  </w:abstractNum>
  <w:abstractNum w:abstractNumId="210">
    <w:nsid w:val="6835B2AE"/>
    <w:multiLevelType w:val="hybridMultilevel"/>
    <w:lvl w:ilvl="0">
      <w:lvlJc w:val="left"/>
      <w:lvlText w:val="%1"/>
      <w:numFmt w:val="decimal"/>
      <w:start w:val="185"/>
    </w:lvl>
  </w:abstractNum>
  <w:abstractNum w:abstractNumId="211">
    <w:nsid w:val="4C187C90"/>
    <w:multiLevelType w:val="hybridMultilevel"/>
    <w:lvl w:ilvl="0">
      <w:lvlJc w:val="left"/>
      <w:lvlText w:val="•"/>
      <w:numFmt w:val="bullet"/>
      <w:start w:val="1"/>
    </w:lvl>
  </w:abstractNum>
  <w:abstractNum w:abstractNumId="212">
    <w:nsid w:val="541F28CD"/>
    <w:multiLevelType w:val="hybridMultilevel"/>
    <w:lvl w:ilvl="0">
      <w:lvlJc w:val="left"/>
      <w:lvlText w:val="•"/>
      <w:numFmt w:val="bullet"/>
      <w:start w:val="1"/>
    </w:lvl>
  </w:abstractNum>
  <w:abstractNum w:abstractNumId="213">
    <w:nsid w:val="7F65FD16"/>
    <w:multiLevelType w:val="hybridMultilevel"/>
    <w:lvl w:ilvl="0">
      <w:lvlJc w:val="left"/>
      <w:lvlText w:val="•"/>
      <w:numFmt w:val="bullet"/>
      <w:start w:val="1"/>
    </w:lvl>
  </w:abstractNum>
  <w:abstractNum w:abstractNumId="214">
    <w:nsid w:val="77C9FD68"/>
    <w:multiLevelType w:val="hybridMultilevel"/>
    <w:lvl w:ilvl="0">
      <w:lvlJc w:val="left"/>
      <w:lvlText w:val="•"/>
      <w:numFmt w:val="bullet"/>
      <w:start w:val="1"/>
    </w:lvl>
    <w:lvl w:ilvl="1">
      <w:lvlJc w:val="left"/>
      <w:lvlText w:val="•"/>
      <w:numFmt w:val="bullet"/>
      <w:start w:val="1"/>
    </w:lvl>
  </w:abstractNum>
  <w:abstractNum w:abstractNumId="215">
    <w:nsid w:val="298A92BA"/>
    <w:multiLevelType w:val="hybridMultilevel"/>
    <w:lvl w:ilvl="0">
      <w:lvlJc w:val="left"/>
      <w:lvlText w:val="%1"/>
      <w:numFmt w:val="decimal"/>
      <w:start w:val="186"/>
    </w:lvl>
  </w:abstractNum>
  <w:abstractNum w:abstractNumId="216">
    <w:nsid w:val="6FE95EAC"/>
    <w:multiLevelType w:val="hybridMultilevel"/>
    <w:lvl w:ilvl="0">
      <w:lvlJc w:val="left"/>
      <w:lvlText w:val="•"/>
      <w:numFmt w:val="bullet"/>
      <w:start w:val="1"/>
    </w:lvl>
  </w:abstractNum>
  <w:abstractNum w:abstractNumId="217">
    <w:nsid w:val="4B697C7A"/>
    <w:multiLevelType w:val="hybridMultilevel"/>
    <w:lvl w:ilvl="0">
      <w:lvlJc w:val="left"/>
      <w:lvlText w:val="•"/>
      <w:numFmt w:val="bullet"/>
      <w:start w:val="1"/>
    </w:lvl>
  </w:abstractNum>
  <w:abstractNum w:abstractNumId="218">
    <w:nsid w:val="51A27AA6"/>
    <w:multiLevelType w:val="hybridMultilevel"/>
    <w:lvl w:ilvl="0">
      <w:lvlJc w:val="left"/>
      <w:lvlText w:val="•"/>
      <w:numFmt w:val="bullet"/>
      <w:start w:val="1"/>
    </w:lvl>
  </w:abstractNum>
  <w:abstractNum w:abstractNumId="219">
    <w:nsid w:val="613183F2"/>
    <w:multiLevelType w:val="hybridMultilevel"/>
    <w:lvl w:ilvl="0">
      <w:lvlJc w:val="left"/>
      <w:lvlText w:val="•"/>
      <w:numFmt w:val="bullet"/>
      <w:start w:val="1"/>
    </w:lvl>
  </w:abstractNum>
  <w:abstractNum w:abstractNumId="220">
    <w:nsid w:val="634102B4"/>
    <w:multiLevelType w:val="hybridMultilevel"/>
    <w:lvl w:ilvl="0">
      <w:lvlJc w:val="left"/>
      <w:lvlText w:val="•"/>
      <w:numFmt w:val="bullet"/>
      <w:start w:val="1"/>
    </w:lvl>
  </w:abstractNum>
  <w:abstractNum w:abstractNumId="221">
    <w:nsid w:val="65BF9DA8"/>
    <w:multiLevelType w:val="hybridMultilevel"/>
    <w:lvl w:ilvl="0">
      <w:lvlJc w:val="left"/>
      <w:lvlText w:val="•"/>
      <w:numFmt w:val="bullet"/>
      <w:start w:val="1"/>
    </w:lvl>
  </w:abstractNum>
  <w:abstractNum w:abstractNumId="222">
    <w:nsid w:val="21A2ECCA"/>
    <w:multiLevelType w:val="hybridMultilevel"/>
    <w:lvl w:ilvl="0">
      <w:lvlJc w:val="left"/>
      <w:lvlText w:val="%1"/>
      <w:numFmt w:val="decimal"/>
      <w:start w:val="190"/>
    </w:lvl>
  </w:abstractNum>
  <w:abstractNum w:abstractNumId="223">
    <w:nsid w:val="4D5C4899"/>
    <w:multiLevelType w:val="hybridMultilevel"/>
    <w:lvl w:ilvl="0">
      <w:lvlJc w:val="left"/>
      <w:lvlText w:val="•"/>
      <w:numFmt w:val="bullet"/>
      <w:start w:val="1"/>
    </w:lvl>
  </w:abstractNum>
  <w:abstractNum w:abstractNumId="224">
    <w:nsid w:val="3C3B72B2"/>
    <w:multiLevelType w:val="hybridMultilevel"/>
    <w:lvl w:ilvl="0">
      <w:lvlJc w:val="left"/>
      <w:lvlText w:val="•"/>
      <w:numFmt w:val="bullet"/>
      <w:start w:val="1"/>
    </w:lvl>
  </w:abstractNum>
  <w:abstractNum w:abstractNumId="225">
    <w:nsid w:val="155EC4C2"/>
    <w:multiLevelType w:val="hybridMultilevel"/>
    <w:lvl w:ilvl="0">
      <w:lvlJc w:val="left"/>
      <w:lvlText w:val="%1"/>
      <w:numFmt w:val="decimal"/>
      <w:start w:val="192"/>
    </w:lvl>
  </w:abstractNum>
  <w:abstractNum w:abstractNumId="226">
    <w:nsid w:val="65D2A137"/>
    <w:multiLevelType w:val="hybridMultilevel"/>
    <w:lvl w:ilvl="0">
      <w:lvlJc w:val="left"/>
      <w:lvlText w:val="•"/>
      <w:numFmt w:val="bullet"/>
      <w:start w:val="1"/>
    </w:lvl>
  </w:abstractNum>
  <w:abstractNum w:abstractNumId="227">
    <w:nsid w:val="6EBB1F2A"/>
    <w:multiLevelType w:val="hybridMultilevel"/>
    <w:lvl w:ilvl="0">
      <w:lvlJc w:val="left"/>
      <w:lvlText w:val="•"/>
      <w:numFmt w:val="bullet"/>
      <w:start w:val="1"/>
    </w:lvl>
  </w:abstractNum>
  <w:abstractNum w:abstractNumId="228">
    <w:nsid w:val="6FBF29CB"/>
    <w:multiLevelType w:val="hybridMultilevel"/>
    <w:lvl w:ilvl="0">
      <w:lvlJc w:val="left"/>
      <w:lvlText w:val="•"/>
      <w:numFmt w:val="bullet"/>
      <w:start w:val="1"/>
    </w:lvl>
  </w:abstractNum>
  <w:abstractNum w:abstractNumId="229">
    <w:nsid w:val="550B8808"/>
    <w:multiLevelType w:val="hybridMultilevel"/>
    <w:lvl w:ilvl="0">
      <w:lvlJc w:val="left"/>
      <w:lvlText w:val="%1"/>
      <w:numFmt w:val="decimal"/>
      <w:start w:val="193"/>
    </w:lvl>
  </w:abstractNum>
  <w:abstractNum w:abstractNumId="230">
    <w:nsid w:val="34CC3ACF"/>
    <w:multiLevelType w:val="hybridMultilevel"/>
    <w:lvl w:ilvl="0">
      <w:lvlJc w:val="left"/>
      <w:lvlText w:val="•"/>
      <w:numFmt w:val="bullet"/>
      <w:start w:val="1"/>
    </w:lvl>
  </w:abstractNum>
  <w:abstractNum w:abstractNumId="231">
    <w:nsid w:val="4E556261"/>
    <w:multiLevelType w:val="hybridMultilevel"/>
    <w:lvl w:ilvl="0">
      <w:lvlJc w:val="left"/>
      <w:lvlText w:val="%1"/>
      <w:numFmt w:val="decimal"/>
      <w:start w:val="195"/>
    </w:lvl>
  </w:abstractNum>
  <w:abstractNum w:abstractNumId="232">
    <w:nsid w:val="4C672FC9"/>
    <w:multiLevelType w:val="hybridMultilevel"/>
    <w:lvl w:ilvl="0">
      <w:lvlJc w:val="left"/>
      <w:lvlText w:val="•"/>
      <w:numFmt w:val="bullet"/>
      <w:start w:val="1"/>
    </w:lvl>
  </w:abstractNum>
  <w:abstractNum w:abstractNumId="233">
    <w:nsid w:val="52A311C3"/>
    <w:multiLevelType w:val="hybridMultilevel"/>
    <w:lvl w:ilvl="0">
      <w:lvlJc w:val="left"/>
      <w:lvlText w:val="(%1)"/>
      <w:numFmt w:val="lowerRoman"/>
      <w:start w:val="5"/>
    </w:lvl>
  </w:abstractNum>
  <w:abstractNum w:abstractNumId="234">
    <w:nsid w:val="44EF6B80"/>
    <w:multiLevelType w:val="hybridMultilevel"/>
    <w:lvl w:ilvl="0">
      <w:lvlJc w:val="left"/>
      <w:lvlText w:val="(%1)"/>
      <w:numFmt w:val="decimal"/>
      <w:start w:val="1"/>
    </w:lvl>
  </w:abstractNum>
  <w:abstractNum w:abstractNumId="235">
    <w:nsid w:val="12FCDE5E"/>
    <w:multiLevelType w:val="hybridMultilevel"/>
    <w:lvl w:ilvl="0">
      <w:lvlJc w:val="left"/>
      <w:lvlText w:val="*"/>
      <w:numFmt w:val="bullet"/>
      <w:start w:val="1"/>
    </w:lvl>
  </w:abstractNum>
  <w:abstractNum w:abstractNumId="236">
    <w:nsid w:val="4A1D606E"/>
    <w:multiLevelType w:val="hybridMultilevel"/>
    <w:lvl w:ilvl="0">
      <w:lvlJc w:val="left"/>
      <w:lvlText w:val="•"/>
      <w:numFmt w:val="bullet"/>
      <w:start w:val="1"/>
    </w:lvl>
  </w:abstractNum>
  <w:abstractNum w:abstractNumId="237">
    <w:nsid w:val="4382503"/>
    <w:multiLevelType w:val="hybridMultilevel"/>
    <w:lvl w:ilvl="0">
      <w:lvlJc w:val="left"/>
      <w:lvlText w:val="•"/>
      <w:numFmt w:val="bullet"/>
      <w:start w:val="1"/>
    </w:lvl>
  </w:abstractNum>
  <w:abstractNum w:abstractNumId="238">
    <w:nsid w:val="59B76E28"/>
    <w:multiLevelType w:val="hybridMultilevel"/>
    <w:lvl w:ilvl="0">
      <w:lvlJc w:val="left"/>
      <w:lvlText w:val="•"/>
      <w:numFmt w:val="bullet"/>
      <w:start w:val="1"/>
    </w:lvl>
  </w:abstractNum>
  <w:abstractNum w:abstractNumId="239">
    <w:nsid w:val="4252C2DA"/>
    <w:multiLevelType w:val="hybridMultilevel"/>
    <w:lvl w:ilvl="0">
      <w:lvlJc w:val="left"/>
      <w:lvlText w:val="•"/>
      <w:numFmt w:val="bullet"/>
      <w:start w:val="1"/>
    </w:lvl>
  </w:abstractNum>
  <w:abstractNum w:abstractNumId="240">
    <w:nsid w:val="6A92EF4C"/>
    <w:multiLevelType w:val="hybridMultilevel"/>
    <w:lvl w:ilvl="0">
      <w:lvlJc w:val="left"/>
      <w:lvlText w:val="•"/>
      <w:numFmt w:val="bullet"/>
      <w:start w:val="1"/>
    </w:lvl>
  </w:abstractNum>
  <w:abstractNum w:abstractNumId="241">
    <w:nsid w:val="41ED20D7"/>
    <w:multiLevelType w:val="hybridMultilevel"/>
    <w:lvl w:ilvl="0">
      <w:lvlJc w:val="left"/>
      <w:lvlText w:val="(%1)"/>
      <w:numFmt w:val="decimal"/>
      <w:start w:val="1"/>
    </w:lvl>
  </w:abstractNum>
  <w:abstractNum w:abstractNumId="242">
    <w:nsid w:val="E6B3F6A"/>
    <w:multiLevelType w:val="hybridMultilevel"/>
    <w:lvl w:ilvl="0">
      <w:lvlJc w:val="left"/>
      <w:lvlText w:val="(%1)"/>
      <w:numFmt w:val="decimal"/>
      <w:start w:val="1"/>
    </w:lvl>
  </w:abstractNum>
  <w:abstractNum w:abstractNumId="243">
    <w:nsid w:val="3EB21819"/>
    <w:multiLevelType w:val="hybridMultilevel"/>
    <w:lvl w:ilvl="0">
      <w:lvlJc w:val="left"/>
      <w:lvlText w:val="•"/>
      <w:numFmt w:val="bullet"/>
      <w:start w:val="1"/>
    </w:lvl>
  </w:abstractNum>
  <w:abstractNum w:abstractNumId="244">
    <w:nsid w:val="41531DED"/>
    <w:multiLevelType w:val="hybridMultilevel"/>
    <w:lvl w:ilvl="0">
      <w:lvlJc w:val="left"/>
      <w:lvlText w:val="(%1)"/>
      <w:numFmt w:val="decimal"/>
      <w:start w:val="1"/>
    </w:lvl>
  </w:abstractNum>
  <w:abstractNum w:abstractNumId="245">
    <w:nsid w:val="6353CD2"/>
    <w:multiLevelType w:val="hybridMultilevel"/>
    <w:lvl w:ilvl="0">
      <w:lvlJc w:val="left"/>
      <w:lvlText w:val="•"/>
      <w:numFmt w:val="bullet"/>
      <w:start w:val="1"/>
    </w:lvl>
  </w:abstractNum>
  <w:abstractNum w:abstractNumId="246">
    <w:nsid w:val="683CAAD3"/>
    <w:multiLevelType w:val="hybridMultilevel"/>
    <w:lvl w:ilvl="0">
      <w:lvlJc w:val="left"/>
      <w:lvlText w:val="✔"/>
      <w:numFmt w:val="bullet"/>
      <w:start w:val="1"/>
    </w:lvl>
  </w:abstractNum>
  <w:abstractNum w:abstractNumId="247">
    <w:nsid w:val="313C7C99"/>
    <w:multiLevelType w:val="hybridMultilevel"/>
    <w:lvl w:ilvl="0">
      <w:lvlJc w:val="left"/>
      <w:lvlText w:val="✗"/>
      <w:numFmt w:val="bullet"/>
      <w:start w:val="1"/>
    </w:lvl>
  </w:abstractNum>
  <w:abstractNum w:abstractNumId="248">
    <w:nsid w:val="519EB94C"/>
    <w:multiLevelType w:val="hybridMultilevel"/>
    <w:lvl w:ilvl="0">
      <w:lvlJc w:val="left"/>
      <w:lvlText w:val="•"/>
      <w:numFmt w:val="bullet"/>
      <w:start w:val="1"/>
    </w:lvl>
  </w:abstractNum>
  <w:abstractNum w:abstractNumId="249">
    <w:nsid w:val="39DF2579"/>
    <w:multiLevelType w:val="hybridMultilevel"/>
    <w:lvl w:ilvl="0">
      <w:lvlJc w:val="left"/>
      <w:lvlText w:val="(%1)"/>
      <w:numFmt w:val="decimal"/>
      <w:start w:val="1"/>
    </w:lvl>
  </w:abstractNum>
  <w:abstractNum w:abstractNumId="250">
    <w:nsid w:val="126E008B"/>
    <w:multiLevelType w:val="hybridMultilevel"/>
    <w:lvl w:ilvl="0">
      <w:lvlJc w:val="left"/>
      <w:lvlText w:val="(%1)"/>
      <w:numFmt w:val="decimal"/>
      <w:start w:val="1"/>
    </w:lvl>
  </w:abstractNum>
  <w:abstractNum w:abstractNumId="251">
    <w:nsid w:val="34DFBC00"/>
    <w:multiLevelType w:val="hybridMultilevel"/>
    <w:lvl w:ilvl="0">
      <w:lvlJc w:val="left"/>
      <w:lvlText w:val="(%1)"/>
      <w:numFmt w:val="decimal"/>
      <w:start w:val="1"/>
    </w:lvl>
  </w:abstractNum>
  <w:abstractNum w:abstractNumId="252">
    <w:nsid w:val="1F9EC322"/>
    <w:multiLevelType w:val="hybridMultilevel"/>
    <w:lvl w:ilvl="0">
      <w:lvlJc w:val="left"/>
      <w:lvlText w:val="(%1)"/>
      <w:numFmt w:val="decimal"/>
      <w:start w:val="1"/>
    </w:lvl>
  </w:abstractNum>
  <w:abstractNum w:abstractNumId="253">
    <w:nsid w:val="3410ED56"/>
    <w:multiLevelType w:val="hybridMultilevel"/>
    <w:lvl w:ilvl="0">
      <w:lvlJc w:val="left"/>
      <w:lvlText w:val="(%1)"/>
      <w:numFmt w:val="decimal"/>
      <w:start w:val="1"/>
    </w:lvl>
  </w:abstractNum>
  <w:abstractNum w:abstractNumId="254">
    <w:nsid w:val="23C049A"/>
    <w:multiLevelType w:val="hybridMultilevel"/>
    <w:lvl w:ilvl="0">
      <w:lvlJc w:val="left"/>
      <w:lvlText w:val="(%1)"/>
      <w:numFmt w:val="decimal"/>
      <w:start w:val="1"/>
    </w:lvl>
  </w:abstractNum>
  <w:abstractNum w:abstractNumId="255">
    <w:nsid w:val="5BDA35D4"/>
    <w:multiLevelType w:val="hybridMultilevel"/>
    <w:lvl w:ilvl="0">
      <w:lvlJc w:val="left"/>
      <w:lvlText w:val="(%1)"/>
      <w:numFmt w:val="decimal"/>
      <w:start w:val="7"/>
    </w:lvl>
  </w:abstractNum>
  <w:abstractNum w:abstractNumId="256">
    <w:nsid w:val="496FB218"/>
    <w:multiLevelType w:val="hybridMultilevel"/>
    <w:lvl w:ilvl="0">
      <w:lvlJc w:val="left"/>
      <w:lvlText w:val="(%1)"/>
      <w:numFmt w:val="decimal"/>
      <w:start w:val="1"/>
    </w:lvl>
  </w:abstractNum>
  <w:abstractNum w:abstractNumId="257">
    <w:nsid w:val="680EA5D1"/>
    <w:multiLevelType w:val="hybridMultilevel"/>
    <w:lvl w:ilvl="0">
      <w:lvlJc w:val="left"/>
      <w:lvlText w:val="(%1)"/>
      <w:numFmt w:val="decimal"/>
      <w:start w:val="1"/>
    </w:lvl>
  </w:abstractNum>
  <w:abstractNum w:abstractNumId="258">
    <w:nsid w:val="4A9554FE"/>
    <w:multiLevelType w:val="hybridMultilevel"/>
    <w:lvl w:ilvl="0">
      <w:lvlJc w:val="left"/>
      <w:lvlText w:val="(%1)"/>
      <w:numFmt w:val="decimal"/>
      <w:start w:val="1"/>
    </w:lvl>
  </w:abstractNum>
  <w:abstractNum w:abstractNumId="259">
    <w:nsid w:val="392EDBE4"/>
    <w:multiLevelType w:val="hybridMultilevel"/>
    <w:lvl w:ilvl="0">
      <w:lvlJc w:val="left"/>
      <w:lvlText w:val="(%1)"/>
      <w:numFmt w:val="decimal"/>
      <w:start w:val="2"/>
    </w:lvl>
  </w:abstractNum>
  <w:abstractNum w:abstractNumId="260">
    <w:nsid w:val="3D1A2DD9"/>
    <w:multiLevelType w:val="hybridMultilevel"/>
    <w:lvl w:ilvl="0">
      <w:lvlJc w:val="left"/>
      <w:lvlText w:val="•"/>
      <w:numFmt w:val="bullet"/>
      <w:start w:val="1"/>
    </w:lvl>
  </w:abstractNum>
  <w:abstractNum w:abstractNumId="261">
    <w:nsid w:val="7F618FCD"/>
    <w:multiLevelType w:val="hybridMultilevel"/>
    <w:lvl w:ilvl="0">
      <w:lvlJc w:val="left"/>
      <w:lvlText w:val="(%1)"/>
      <w:numFmt w:val="decimal"/>
      <w:start w:val="1"/>
    </w:lvl>
  </w:abstractNum>
  <w:abstractNum w:abstractNumId="262">
    <w:nsid w:val="7843E45"/>
    <w:multiLevelType w:val="hybridMultilevel"/>
    <w:lvl w:ilvl="0">
      <w:lvlJc w:val="left"/>
      <w:lvlText w:val="(%1)"/>
      <w:numFmt w:val="decimal"/>
      <w:start w:val="1"/>
    </w:lvl>
  </w:abstractNum>
  <w:abstractNum w:abstractNumId="263">
    <w:nsid w:val="9815DA3"/>
    <w:multiLevelType w:val="hybridMultilevel"/>
    <w:lvl w:ilvl="0">
      <w:lvlJc w:val="left"/>
      <w:lvlText w:val="(%1)"/>
      <w:numFmt w:val="decimal"/>
      <w:start w:val="1"/>
    </w:lvl>
  </w:abstractNum>
  <w:abstractNum w:abstractNumId="264">
    <w:nsid w:val="5204A191"/>
    <w:multiLevelType w:val="hybridMultilevel"/>
    <w:lvl w:ilvl="0">
      <w:lvlJc w:val="left"/>
      <w:lvlText w:val="(%1)"/>
      <w:numFmt w:val="decimal"/>
      <w:start w:val="2"/>
    </w:lvl>
  </w:abstractNum>
  <w:abstractNum w:abstractNumId="265">
    <w:nsid w:val="4C73A9C6"/>
    <w:multiLevelType w:val="hybridMultilevel"/>
    <w:lvl w:ilvl="0">
      <w:lvlJc w:val="left"/>
      <w:lvlText w:val="•"/>
      <w:numFmt w:val="bullet"/>
      <w:start w:val="1"/>
    </w:lvl>
  </w:abstractNum>
  <w:abstractNum w:abstractNumId="266">
    <w:nsid w:val="1C7E3C01"/>
    <w:multiLevelType w:val="hybridMultilevel"/>
    <w:lvl w:ilvl="0">
      <w:lvlJc w:val="left"/>
      <w:lvlText w:val="*"/>
      <w:numFmt w:val="bullet"/>
      <w:start w:val="1"/>
    </w:lvl>
  </w:abstractNum>
  <w:abstractNum w:abstractNumId="267">
    <w:nsid w:val="1C2201FF"/>
    <w:multiLevelType w:val="hybridMultilevel"/>
    <w:lvl w:ilvl="0">
      <w:lvlJc w:val="left"/>
      <w:lvlText w:val="(%1)"/>
      <w:numFmt w:val="lowerRoman"/>
      <w:start w:val="9"/>
    </w:lvl>
  </w:abstractNum>
  <w:abstractNum w:abstractNumId="268">
    <w:nsid w:val="50ABCEC9"/>
    <w:multiLevelType w:val="hybridMultilevel"/>
    <w:lvl w:ilvl="0">
      <w:lvlJc w:val="left"/>
      <w:lvlText w:val="(%1)"/>
      <w:numFmt w:val="decimal"/>
      <w:start w:val="16"/>
    </w:lvl>
  </w:abstractNum>
  <w:abstractNum w:abstractNumId="269">
    <w:nsid w:val="7635AA2A"/>
    <w:multiLevelType w:val="hybridMultilevel"/>
    <w:lvl w:ilvl="0">
      <w:lvlJc w:val="left"/>
      <w:lvlText w:val="(%1)"/>
      <w:numFmt w:val="lowerRoman"/>
      <w:start w:val="2"/>
    </w:lvl>
  </w:abstractNum>
  <w:abstractNum w:abstractNumId="270">
    <w:nsid w:val="5E74C4D9"/>
    <w:multiLevelType w:val="hybridMultilevel"/>
    <w:lvl w:ilvl="0">
      <w:lvlJc w:val="left"/>
      <w:lvlText w:val="•"/>
      <w:numFmt w:val="bullet"/>
      <w:start w:val="1"/>
    </w:lvl>
  </w:abstractNum>
  <w:abstractNum w:abstractNumId="271">
    <w:nsid w:val="3B3EBE15"/>
    <w:multiLevelType w:val="hybridMultilevel"/>
    <w:lvl w:ilvl="0">
      <w:lvlJc w:val="left"/>
      <w:lvlText w:val="•"/>
      <w:numFmt w:val="bullet"/>
      <w:start w:val="1"/>
    </w:lvl>
  </w:abstractNum>
  <w:abstractNum w:abstractNumId="272">
    <w:nsid w:val="3822CB01"/>
    <w:multiLevelType w:val="hybridMultilevel"/>
    <w:lvl w:ilvl="0">
      <w:lvlJc w:val="left"/>
      <w:lvlText w:val="•"/>
      <w:numFmt w:val="bullet"/>
      <w:start w:val="1"/>
    </w:lvl>
  </w:abstractNum>
  <w:abstractNum w:abstractNumId="273">
    <w:nsid w:val="6CE00443"/>
    <w:multiLevelType w:val="hybridMultilevel"/>
    <w:lvl w:ilvl="0">
      <w:lvlJc w:val="left"/>
      <w:lvlText w:val="•"/>
      <w:numFmt w:val="bullet"/>
      <w:start w:val="1"/>
    </w:lvl>
  </w:abstractNum>
  <w:abstractNum w:abstractNumId="274">
    <w:nsid w:val="79F0D62F"/>
    <w:multiLevelType w:val="hybridMultilevel"/>
    <w:lvl w:ilvl="0">
      <w:lvlJc w:val="left"/>
      <w:lvlText w:val="•"/>
      <w:numFmt w:val="bullet"/>
      <w:start w:val="1"/>
    </w:lvl>
  </w:abstractNum>
  <w:abstractNum w:abstractNumId="275">
    <w:nsid w:val="7975E8EE"/>
    <w:multiLevelType w:val="hybridMultilevel"/>
    <w:lvl w:ilvl="0">
      <w:lvlJc w:val="left"/>
      <w:lvlText w:val="•"/>
      <w:numFmt w:val="bullet"/>
      <w:start w:val="1"/>
    </w:lvl>
  </w:abstractNum>
  <w:abstractNum w:abstractNumId="276">
    <w:nsid w:val="73154115"/>
    <w:multiLevelType w:val="hybridMultilevel"/>
    <w:lvl w:ilvl="0">
      <w:lvlJc w:val="left"/>
      <w:lvlText w:val="•"/>
      <w:numFmt w:val="bullet"/>
      <w:start w:val="1"/>
    </w:lvl>
  </w:abstractNum>
  <w:abstractNum w:abstractNumId="277">
    <w:nsid w:val="622D8102"/>
    <w:multiLevelType w:val="hybridMultilevel"/>
    <w:lvl w:ilvl="0">
      <w:lvlJc w:val="left"/>
      <w:lvlText w:val="%1."/>
      <w:numFmt w:val="decimal"/>
      <w:start w:val="1"/>
    </w:lvl>
  </w:abstractNum>
  <w:abstractNum w:abstractNumId="278">
    <w:nsid w:val="2AB26587"/>
    <w:multiLevelType w:val="hybridMultilevel"/>
    <w:lvl w:ilvl="0">
      <w:lvlJc w:val="left"/>
      <w:lvlText w:val="%1."/>
      <w:numFmt w:val="decimal"/>
      <w:start w:val="2"/>
    </w:lvl>
  </w:abstractNum>
  <w:abstractNum w:abstractNumId="279">
    <w:nsid w:val="44B3FA61"/>
    <w:multiLevelType w:val="hybridMultilevel"/>
    <w:lvl w:ilvl="0">
      <w:lvlJc w:val="left"/>
      <w:lvlText w:val="(%1)"/>
      <w:numFmt w:val="lowerRoman"/>
      <w:start w:val="3"/>
    </w:lvl>
  </w:abstractNum>
  <w:abstractNum w:abstractNumId="280">
    <w:nsid w:val="1C0CA67C"/>
    <w:multiLevelType w:val="hybridMultilevel"/>
    <w:lvl w:ilvl="0">
      <w:lvlJc w:val="left"/>
      <w:lvlText w:val="(%1)"/>
      <w:numFmt w:val="lowerRoman"/>
      <w:start w:val="5"/>
    </w:lvl>
  </w:abstractNum>
  <w:abstractNum w:abstractNumId="281">
    <w:nsid w:val="3D206613"/>
    <w:multiLevelType w:val="hybridMultilevel"/>
    <w:lvl w:ilvl="0">
      <w:lvlJc w:val="left"/>
      <w:lvlText w:val="*"/>
      <w:numFmt w:val="bullet"/>
      <w:start w:val="1"/>
    </w:lvl>
  </w:abstractNum>
  <w:abstractNum w:abstractNumId="282">
    <w:nsid w:val="7993B662"/>
    <w:multiLevelType w:val="hybridMultilevel"/>
    <w:lvl w:ilvl="0">
      <w:lvlJc w:val="left"/>
      <w:lvlText w:val="•"/>
      <w:numFmt w:val="bullet"/>
      <w:start w:val="1"/>
    </w:lvl>
  </w:abstractNum>
  <w:abstractNum w:abstractNumId="283">
    <w:nsid w:val="3BAB699E"/>
    <w:multiLevelType w:val="hybridMultilevel"/>
    <w:lvl w:ilvl="0">
      <w:lvlJc w:val="left"/>
      <w:lvlText w:val="•"/>
      <w:numFmt w:val="bullet"/>
      <w:start w:val="1"/>
    </w:lvl>
  </w:abstractNum>
  <w:abstractNum w:abstractNumId="284">
    <w:nsid w:val="71315369"/>
    <w:multiLevelType w:val="hybridMultilevel"/>
    <w:lvl w:ilvl="0">
      <w:lvlJc w:val="left"/>
      <w:lvlText w:val="(%1)"/>
      <w:numFmt w:val="lowerRoman"/>
      <w:start w:val="2"/>
    </w:lvl>
  </w:abstractNum>
  <w:abstractNum w:abstractNumId="285">
    <w:nsid w:val="7BCFBAFC"/>
    <w:multiLevelType w:val="hybridMultilevel"/>
    <w:lvl w:ilvl="0">
      <w:lvlJc w:val="left"/>
      <w:lvlText w:val="(%1)"/>
      <w:numFmt w:val="decimal"/>
      <w:start w:val="5"/>
    </w:lvl>
    <w:lvl w:ilvl="1">
      <w:lvlJc w:val="left"/>
      <w:lvlText w:val="•"/>
      <w:numFmt w:val="bullet"/>
      <w:start w:val="1"/>
    </w:lvl>
  </w:abstractNum>
  <w:abstractNum w:abstractNumId="286">
    <w:nsid w:val="17859F72"/>
    <w:multiLevelType w:val="hybridMultilevel"/>
    <w:lvl w:ilvl="0">
      <w:lvlJc w:val="left"/>
      <w:lvlText w:val="%1."/>
      <w:numFmt w:val="decimal"/>
      <w:start w:val="3"/>
    </w:lvl>
  </w:abstractNum>
  <w:abstractNum w:abstractNumId="287">
    <w:nsid w:val="3AA10581"/>
    <w:multiLevelType w:val="hybridMultilevel"/>
    <w:lvl w:ilvl="0">
      <w:lvlJc w:val="left"/>
      <w:lvlText w:val="(%1)"/>
      <w:numFmt w:val="decimal"/>
      <w:start w:val="1"/>
    </w:lvl>
  </w:abstractNum>
  <w:abstractNum w:abstractNumId="288">
    <w:nsid w:val="63DE60CD"/>
    <w:multiLevelType w:val="hybridMultilevel"/>
    <w:lvl w:ilvl="0">
      <w:lvlJc w:val="left"/>
      <w:lvlText w:val="%1."/>
      <w:numFmt w:val="decimal"/>
      <w:start w:val="4"/>
    </w:lvl>
  </w:abstractNum>
  <w:abstractNum w:abstractNumId="289">
    <w:nsid w:val="621AF471"/>
    <w:multiLevelType w:val="hybridMultilevel"/>
    <w:lvl w:ilvl="0">
      <w:lvlJc w:val="left"/>
      <w:lvlText w:val="%1."/>
      <w:numFmt w:val="decimal"/>
      <w:start w:val="5"/>
    </w:lvl>
  </w:abstractNum>
  <w:abstractNum w:abstractNumId="290">
    <w:nsid w:val="73CFE165"/>
    <w:multiLevelType w:val="hybridMultilevel"/>
    <w:lvl w:ilvl="0">
      <w:lvlJc w:val="left"/>
      <w:lvlText w:val="%1."/>
      <w:numFmt w:val="decimal"/>
      <w:start w:val="6"/>
    </w:lvl>
  </w:abstractNum>
  <w:abstractNum w:abstractNumId="291">
    <w:nsid w:val="20F88EA6"/>
    <w:multiLevelType w:val="hybridMultilevel"/>
    <w:lvl w:ilvl="0">
      <w:lvlJc w:val="left"/>
      <w:lvlText w:val="%1."/>
      <w:numFmt w:val="decimal"/>
      <w:start w:val="7"/>
    </w:lvl>
  </w:abstractNum>
  <w:abstractNum w:abstractNumId="292">
    <w:nsid w:val="617C843E"/>
    <w:multiLevelType w:val="hybridMultilevel"/>
    <w:lvl w:ilvl="0">
      <w:lvlJc w:val="left"/>
      <w:lvlText w:val="%1."/>
      <w:numFmt w:val="decimal"/>
      <w:start w:val="8"/>
    </w:lvl>
  </w:abstractNum>
  <w:abstractNum w:abstractNumId="293">
    <w:nsid w:val="7B541FAB"/>
    <w:multiLevelType w:val="hybridMultilevel"/>
    <w:lvl w:ilvl="0">
      <w:lvlJc w:val="left"/>
      <w:lvlText w:val="(%1)"/>
      <w:numFmt w:val="decimal"/>
      <w:start w:val="1"/>
    </w:lvl>
  </w:abstractNum>
  <w:abstractNum w:abstractNumId="294">
    <w:nsid w:val="2A79EC49"/>
    <w:multiLevelType w:val="hybridMultilevel"/>
    <w:lvl w:ilvl="0">
      <w:lvlJc w:val="left"/>
      <w:lvlText w:val="%1."/>
      <w:numFmt w:val="decimal"/>
      <w:start w:val="10"/>
    </w:lvl>
  </w:abstractNum>
  <w:abstractNum w:abstractNumId="295">
    <w:nsid w:val="338125CF"/>
    <w:multiLevelType w:val="hybridMultilevel"/>
    <w:lvl w:ilvl="0">
      <w:lvlJc w:val="left"/>
      <w:lvlText w:val="%1."/>
      <w:numFmt w:val="decimal"/>
      <w:start w:val="11"/>
    </w:lvl>
  </w:abstractNum>
  <w:abstractNum w:abstractNumId="296">
    <w:nsid w:val="47C7C971"/>
    <w:multiLevelType w:val="hybridMultilevel"/>
    <w:lvl w:ilvl="0">
      <w:lvlJc w:val="left"/>
      <w:lvlText w:val="%1."/>
      <w:numFmt w:val="decimal"/>
      <w:start w:val="12"/>
    </w:lvl>
  </w:abstractNum>
  <w:abstractNum w:abstractNumId="297">
    <w:nsid w:val="46F8284B"/>
    <w:multiLevelType w:val="hybridMultilevel"/>
    <w:lvl w:ilvl="0">
      <w:lvlJc w:val="left"/>
      <w:lvlText w:val="%1."/>
      <w:numFmt w:val="decimal"/>
      <w:start w:val="13"/>
    </w:lvl>
  </w:abstractNum>
  <w:abstractNum w:abstractNumId="298">
    <w:nsid w:val="4FA327CE"/>
    <w:multiLevelType w:val="hybridMultilevel"/>
    <w:lvl w:ilvl="0">
      <w:lvlJc w:val="left"/>
      <w:lvlText w:val="%1."/>
      <w:numFmt w:val="decimal"/>
      <w:start w:val="14"/>
    </w:lvl>
  </w:abstractNum>
  <w:abstractNum w:abstractNumId="299">
    <w:nsid w:val="1873983A"/>
    <w:multiLevelType w:val="hybridMultilevel"/>
    <w:lvl w:ilvl="0">
      <w:lvlJc w:val="left"/>
      <w:lvlText w:val="%1."/>
      <w:numFmt w:val="decimal"/>
      <w:start w:val="15"/>
    </w:lvl>
  </w:abstractNum>
  <w:abstractNum w:abstractNumId="300">
    <w:nsid w:val="3D2DD275"/>
    <w:multiLevelType w:val="hybridMultilevel"/>
    <w:lvl w:ilvl="0">
      <w:lvlJc w:val="left"/>
      <w:lvlText w:val="%1."/>
      <w:numFmt w:val="decimal"/>
      <w:start w:val="16"/>
    </w:lvl>
  </w:abstractNum>
  <w:abstractNum w:abstractNumId="301">
    <w:nsid w:val="2E17ECA7"/>
    <w:multiLevelType w:val="hybridMultilevel"/>
    <w:lvl w:ilvl="0">
      <w:lvlJc w:val="left"/>
      <w:lvlText w:val="%1."/>
      <w:numFmt w:val="decimal"/>
      <w:start w:val="17"/>
    </w:lvl>
  </w:abstractNum>
  <w:abstractNum w:abstractNumId="302">
    <w:nsid w:val="53B2564F"/>
    <w:multiLevelType w:val="hybridMultilevel"/>
    <w:lvl w:ilvl="0">
      <w:lvlJc w:val="left"/>
      <w:lvlText w:val="*"/>
      <w:numFmt w:val="bullet"/>
      <w:start w:val="1"/>
    </w:lvl>
  </w:abstractNum>
  <w:abstractNum w:abstractNumId="303">
    <w:nsid w:val="75509D76"/>
    <w:multiLevelType w:val="hybridMultilevel"/>
    <w:lvl w:ilvl="0">
      <w:lvlJc w:val="left"/>
      <w:lvlText w:val="%1."/>
      <w:numFmt w:val="decimal"/>
      <w:start w:val="701"/>
    </w:lvl>
  </w:abstractNum>
  <w:abstractNum w:abstractNumId="304">
    <w:nsid w:val="1AF7F0EA"/>
    <w:multiLevelType w:val="hybridMultilevel"/>
    <w:lvl w:ilvl="0">
      <w:lvlJc w:val="left"/>
      <w:lvlText w:val="†"/>
      <w:numFmt w:val="bullet"/>
      <w:start w:val="1"/>
    </w:lvl>
  </w:abstractNum>
  <w:abstractNum w:abstractNumId="305">
    <w:nsid w:val="4DA32C7E"/>
    <w:multiLevelType w:val="hybridMultilevel"/>
    <w:lvl w:ilvl="0">
      <w:lvlJc w:val="left"/>
      <w:lvlText w:val="*"/>
      <w:numFmt w:val="bullet"/>
      <w:start w:val="1"/>
    </w:lvl>
  </w:abstractNum>
  <w:abstractNum w:abstractNumId="306">
    <w:nsid w:val="6EC68664"/>
    <w:multiLevelType w:val="hybridMultilevel"/>
    <w:lvl w:ilvl="0">
      <w:lvlJc w:val="left"/>
      <w:lvlText w:val="+"/>
      <w:numFmt w:val="bullet"/>
      <w:start w:val="1"/>
    </w:lvl>
  </w:abstractNum>
  <w:abstractNum w:abstractNumId="307">
    <w:nsid w:val="E0D3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2023-08-25T23:32:58Z</dcterms:created>
  <dcterms:modified xsi:type="dcterms:W3CDTF">2023-08-25T23:32:58Z</dcterms:modified>
</cp:coreProperties>
</file>